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574" w:rsidRPr="00DD40EA" w:rsidRDefault="001D7574" w:rsidP="001D7574">
      <w:pPr>
        <w:pStyle w:val="a3"/>
        <w:rPr>
          <w:rFonts w:ascii="Tahoma" w:hAnsi="Tahoma" w:cs="Tahoma"/>
          <w:sz w:val="12"/>
        </w:rPr>
      </w:pPr>
      <w:r w:rsidRPr="0018502B">
        <w:rPr>
          <w:rFonts w:ascii="Candara" w:hAnsi="Candara" w:cs="Tahoma"/>
          <w:i/>
          <w:sz w:val="16"/>
          <w:szCs w:val="16"/>
        </w:rPr>
        <w:t xml:space="preserve">      </w:t>
      </w:r>
      <w:r>
        <w:rPr>
          <w:rFonts w:ascii="Candara" w:hAnsi="Candara" w:cs="Tahoma"/>
          <w:i/>
          <w:sz w:val="16"/>
          <w:szCs w:val="16"/>
        </w:rPr>
        <w:t xml:space="preserve">              </w:t>
      </w:r>
      <w:r w:rsidRPr="0018502B">
        <w:rPr>
          <w:rFonts w:ascii="Candara" w:hAnsi="Candara" w:cs="Tahoma"/>
          <w:i/>
          <w:sz w:val="16"/>
          <w:szCs w:val="16"/>
        </w:rPr>
        <w:t xml:space="preserve">                </w:t>
      </w:r>
    </w:p>
    <w:p w:rsidR="001D7574" w:rsidRPr="009A1D27" w:rsidRDefault="001D7574" w:rsidP="001D7574">
      <w:pPr>
        <w:pStyle w:val="a4"/>
        <w:framePr w:wrap="notBeside" w:vAnchor="text" w:hAnchor="margin" w:xAlign="center" w:y="1"/>
        <w:rPr>
          <w:rStyle w:val="ab"/>
          <w:rFonts w:ascii="Tahoma" w:hAnsi="Tahoma" w:cs="Tahoma"/>
          <w:b/>
          <w:bCs/>
          <w:i/>
          <w:iCs/>
          <w:color w:val="333399"/>
          <w:sz w:val="18"/>
          <w:szCs w:val="18"/>
        </w:rPr>
      </w:pPr>
    </w:p>
    <w:tbl>
      <w:tblPr>
        <w:tblW w:w="9793" w:type="dxa"/>
        <w:jc w:val="center"/>
        <w:tblLook w:val="04A0" w:firstRow="1" w:lastRow="0" w:firstColumn="1" w:lastColumn="0" w:noHBand="0" w:noVBand="1"/>
      </w:tblPr>
      <w:tblGrid>
        <w:gridCol w:w="4713"/>
        <w:gridCol w:w="5080"/>
      </w:tblGrid>
      <w:tr w:rsidR="001D7574" w:rsidRPr="009A1D27" w:rsidTr="00383415">
        <w:trPr>
          <w:jc w:val="center"/>
        </w:trPr>
        <w:tc>
          <w:tcPr>
            <w:tcW w:w="4713" w:type="dxa"/>
            <w:shd w:val="clear" w:color="auto" w:fill="auto"/>
            <w:vAlign w:val="center"/>
          </w:tcPr>
          <w:p w:rsidR="001D7574" w:rsidRPr="009A1D27" w:rsidRDefault="001D7574" w:rsidP="00383415">
            <w:pPr>
              <w:tabs>
                <w:tab w:val="left" w:pos="3089"/>
                <w:tab w:val="left" w:pos="9180"/>
              </w:tabs>
              <w:spacing w:before="120" w:line="320" w:lineRule="atLeast"/>
              <w:jc w:val="both"/>
              <w:rPr>
                <w:rFonts w:ascii="Tahoma" w:hAnsi="Tahoma" w:cs="Tahoma"/>
                <w:color w:val="333399"/>
                <w:sz w:val="18"/>
                <w:szCs w:val="18"/>
              </w:rPr>
            </w:pPr>
          </w:p>
        </w:tc>
        <w:tc>
          <w:tcPr>
            <w:tcW w:w="5080" w:type="dxa"/>
            <w:shd w:val="clear" w:color="auto" w:fill="auto"/>
            <w:vAlign w:val="center"/>
          </w:tcPr>
          <w:p w:rsidR="001D7574" w:rsidRPr="009A1D27" w:rsidRDefault="001D7574" w:rsidP="00383415">
            <w:pPr>
              <w:tabs>
                <w:tab w:val="left" w:pos="3089"/>
                <w:tab w:val="left" w:pos="9180"/>
              </w:tabs>
              <w:spacing w:before="120"/>
              <w:jc w:val="center"/>
              <w:rPr>
                <w:rFonts w:ascii="Tahoma" w:hAnsi="Tahoma" w:cs="Tahoma"/>
                <w:color w:val="333399"/>
                <w:sz w:val="18"/>
                <w:szCs w:val="18"/>
              </w:rPr>
            </w:pPr>
          </w:p>
        </w:tc>
      </w:tr>
    </w:tbl>
    <w:p w:rsidR="001D7574" w:rsidRPr="009A1D27" w:rsidRDefault="001D7574" w:rsidP="001D7574">
      <w:pPr>
        <w:tabs>
          <w:tab w:val="left" w:pos="3089"/>
          <w:tab w:val="left" w:pos="9180"/>
        </w:tabs>
        <w:jc w:val="both"/>
        <w:rPr>
          <w:rFonts w:ascii="Tahoma" w:hAnsi="Tahoma" w:cs="Tahoma"/>
          <w:color w:val="333399"/>
        </w:rPr>
      </w:pPr>
    </w:p>
    <w:p w:rsidR="001D7574" w:rsidRPr="009A1D27" w:rsidRDefault="001D7574" w:rsidP="001D7574">
      <w:pPr>
        <w:spacing w:after="0"/>
        <w:jc w:val="center"/>
        <w:rPr>
          <w:rFonts w:ascii="Calibri" w:hAnsi="Calibri"/>
          <w:sz w:val="18"/>
          <w:szCs w:val="18"/>
        </w:rPr>
      </w:pPr>
      <w:r w:rsidRPr="009A1D27">
        <w:rPr>
          <w:rFonts w:ascii="Calibri" w:hAnsi="Calibri"/>
          <w:sz w:val="18"/>
          <w:szCs w:val="18"/>
        </w:rPr>
        <w:t xml:space="preserve">                                                                                                       </w:t>
      </w:r>
    </w:p>
    <w:p w:rsidR="001D7574" w:rsidRPr="009A1D27" w:rsidRDefault="001D7574" w:rsidP="001D7574">
      <w:pPr>
        <w:spacing w:after="0"/>
        <w:jc w:val="center"/>
        <w:rPr>
          <w:rFonts w:ascii="Calibri" w:hAnsi="Calibri"/>
          <w:sz w:val="18"/>
          <w:szCs w:val="18"/>
        </w:rPr>
      </w:pPr>
      <w:r w:rsidRPr="009A1D27">
        <w:rPr>
          <w:rFonts w:ascii="Calibri" w:hAnsi="Calibri"/>
          <w:sz w:val="18"/>
          <w:szCs w:val="18"/>
        </w:rPr>
        <w:t xml:space="preserve">                                                                                                                       </w:t>
      </w:r>
    </w:p>
    <w:p w:rsidR="001D7574" w:rsidRPr="009A1D27" w:rsidRDefault="001D7574" w:rsidP="001D7574">
      <w:pPr>
        <w:spacing w:after="0"/>
        <w:jc w:val="center"/>
        <w:rPr>
          <w:rFonts w:ascii="Calibri" w:hAnsi="Calibri"/>
          <w:sz w:val="18"/>
          <w:szCs w:val="18"/>
        </w:rPr>
      </w:pPr>
      <w:r w:rsidRPr="009A1D27">
        <w:rPr>
          <w:rFonts w:ascii="Calibri" w:hAnsi="Calibri" w:cs="Tahoma"/>
          <w:sz w:val="18"/>
          <w:szCs w:val="18"/>
        </w:rPr>
        <w:t xml:space="preserve">                                                                                                            </w:t>
      </w:r>
    </w:p>
    <w:p w:rsidR="001D7574" w:rsidRPr="009A1D27" w:rsidRDefault="001D7574" w:rsidP="001D7574">
      <w:pPr>
        <w:spacing w:after="0"/>
        <w:rPr>
          <w:rFonts w:ascii="Tahoma" w:hAnsi="Tahoma" w:cs="Tahoma"/>
          <w:b/>
          <w:sz w:val="20"/>
        </w:rPr>
      </w:pPr>
    </w:p>
    <w:p w:rsidR="001D7574" w:rsidRPr="009A1D27" w:rsidRDefault="001D7574" w:rsidP="001D7574">
      <w:pPr>
        <w:tabs>
          <w:tab w:val="left" w:pos="3089"/>
          <w:tab w:val="left" w:pos="9180"/>
        </w:tabs>
        <w:jc w:val="both"/>
        <w:rPr>
          <w:rFonts w:ascii="Tahoma" w:hAnsi="Tahoma" w:cs="Tahoma"/>
          <w:color w:val="333399"/>
          <w:sz w:val="20"/>
        </w:rPr>
      </w:pPr>
      <w:r w:rsidRPr="009A1D27">
        <w:rPr>
          <w:rFonts w:ascii="Tahoma" w:hAnsi="Tahoma" w:cs="Tahoma"/>
          <w:color w:val="333399"/>
        </w:rPr>
        <w:t xml:space="preserve">              </w:t>
      </w:r>
    </w:p>
    <w:p w:rsidR="001D7574" w:rsidRPr="00557EFE" w:rsidRDefault="00285085" w:rsidP="001D7574">
      <w:pPr>
        <w:pStyle w:val="a3"/>
        <w:rPr>
          <w:rFonts w:ascii="Tahoma" w:hAnsi="Tahoma" w:cs="Tahoma"/>
          <w:color w:val="333399"/>
          <w:sz w:val="20"/>
          <w:szCs w:val="20"/>
        </w:rPr>
      </w:pPr>
      <w:r>
        <w:rPr>
          <w:rFonts w:ascii="Tahoma" w:hAnsi="Tahoma" w:cs="Tahoma"/>
          <w:color w:val="333399"/>
          <w:sz w:val="32"/>
          <w:szCs w:val="32"/>
        </w:rPr>
        <w:pict>
          <v:rect id="_x0000_i1025" style="width:510.2pt;height:2pt" o:hralign="center" o:hrstd="t" o:hrnoshade="t" o:hr="t" fillcolor="maroon" stroked="f">
            <v:fill color2="#ff9" angle="-90" focus="50%" type="gradient"/>
          </v:rect>
        </w:pict>
      </w:r>
    </w:p>
    <w:p w:rsidR="001D7574" w:rsidRPr="00557EFE" w:rsidRDefault="001D7574" w:rsidP="001D7574">
      <w:pPr>
        <w:pStyle w:val="a3"/>
        <w:jc w:val="center"/>
        <w:rPr>
          <w:rFonts w:ascii="Tahoma" w:hAnsi="Tahoma" w:cs="Tahoma"/>
          <w:color w:val="333399"/>
          <w:sz w:val="20"/>
          <w:szCs w:val="20"/>
        </w:rPr>
      </w:pPr>
    </w:p>
    <w:p w:rsidR="001D7574" w:rsidRPr="009A1D27" w:rsidRDefault="00A914DB" w:rsidP="001D7574">
      <w:pPr>
        <w:spacing w:before="120" w:line="360" w:lineRule="auto"/>
        <w:jc w:val="both"/>
        <w:rPr>
          <w:rFonts w:ascii="Tahoma" w:hAnsi="Tahoma" w:cs="Tahoma"/>
          <w:b/>
          <w:bCs/>
          <w:color w:val="0070C0"/>
          <w:sz w:val="28"/>
          <w:szCs w:val="28"/>
        </w:rPr>
      </w:pPr>
      <w:r>
        <w:rPr>
          <w:rFonts w:ascii="Tahoma" w:hAnsi="Tahoma" w:cs="Tahoma"/>
          <w:b/>
          <w:bCs/>
          <w:color w:val="0070C0"/>
          <w:sz w:val="28"/>
          <w:szCs w:val="28"/>
        </w:rPr>
        <w:t xml:space="preserve">Επικαιροποίηση του </w:t>
      </w:r>
      <w:r w:rsidR="001D7574" w:rsidRPr="009A1D27">
        <w:rPr>
          <w:rFonts w:ascii="Tahoma" w:hAnsi="Tahoma" w:cs="Tahoma"/>
          <w:b/>
          <w:bCs/>
          <w:color w:val="0070C0"/>
          <w:sz w:val="28"/>
          <w:szCs w:val="28"/>
        </w:rPr>
        <w:t>“</w:t>
      </w:r>
      <w:r>
        <w:rPr>
          <w:rFonts w:ascii="Tahoma" w:hAnsi="Tahoma" w:cs="Tahoma"/>
          <w:b/>
          <w:bCs/>
          <w:color w:val="0070C0"/>
          <w:sz w:val="28"/>
          <w:szCs w:val="28"/>
        </w:rPr>
        <w:t xml:space="preserve">Συνοδευτικού </w:t>
      </w:r>
      <w:proofErr w:type="spellStart"/>
      <w:r>
        <w:rPr>
          <w:rFonts w:ascii="Tahoma" w:hAnsi="Tahoma" w:cs="Tahoma"/>
          <w:b/>
          <w:bCs/>
          <w:color w:val="0070C0"/>
          <w:sz w:val="28"/>
          <w:szCs w:val="28"/>
        </w:rPr>
        <w:t>Τεκμηριωτικού</w:t>
      </w:r>
      <w:proofErr w:type="spellEnd"/>
      <w:r>
        <w:rPr>
          <w:rFonts w:ascii="Tahoma" w:hAnsi="Tahoma" w:cs="Tahoma"/>
          <w:b/>
          <w:bCs/>
          <w:color w:val="0070C0"/>
          <w:sz w:val="28"/>
          <w:szCs w:val="28"/>
        </w:rPr>
        <w:t xml:space="preserve"> Εγγράφου Δεικτών</w:t>
      </w:r>
      <w:r w:rsidR="001D7574" w:rsidRPr="009A1D27">
        <w:rPr>
          <w:rFonts w:ascii="Tahoma" w:hAnsi="Tahoma" w:cs="Tahoma"/>
          <w:b/>
          <w:bCs/>
          <w:color w:val="0070C0"/>
          <w:sz w:val="28"/>
          <w:szCs w:val="28"/>
        </w:rPr>
        <w:t>”</w:t>
      </w:r>
      <w:r>
        <w:rPr>
          <w:rFonts w:ascii="Tahoma" w:hAnsi="Tahoma" w:cs="Tahoma"/>
          <w:b/>
          <w:bCs/>
          <w:color w:val="0070C0"/>
          <w:sz w:val="28"/>
          <w:szCs w:val="28"/>
        </w:rPr>
        <w:t xml:space="preserve"> του ΕΠ ΜΔΤ</w:t>
      </w:r>
    </w:p>
    <w:p w:rsidR="001D7574" w:rsidRPr="00A70123" w:rsidRDefault="00285085" w:rsidP="001D7574">
      <w:pPr>
        <w:pStyle w:val="a3"/>
        <w:spacing w:line="360" w:lineRule="auto"/>
        <w:rPr>
          <w:rFonts w:ascii="Tahoma" w:hAnsi="Tahoma" w:cs="Tahoma"/>
          <w:sz w:val="28"/>
          <w:szCs w:val="28"/>
          <w14:shadow w14:blurRad="50800" w14:dist="38100" w14:dir="2700000" w14:sx="100000" w14:sy="100000" w14:kx="0" w14:ky="0" w14:algn="tl">
            <w14:srgbClr w14:val="000000">
              <w14:alpha w14:val="60000"/>
            </w14:srgbClr>
          </w14:shadow>
        </w:rPr>
      </w:pPr>
      <w:r>
        <w:rPr>
          <w:rFonts w:ascii="Tahoma" w:hAnsi="Tahoma" w:cs="Tahoma"/>
          <w:color w:val="0070C0"/>
          <w:sz w:val="20"/>
          <w:szCs w:val="20"/>
        </w:rPr>
        <w:pict>
          <v:rect id="_x0000_i1026" style="width:510.2pt;height:2pt" o:hralign="center" o:hrstd="t" o:hrnoshade="t" o:hr="t" fillcolor="maroon" stroked="f">
            <v:fill color2="#ff9" angle="-90" type="gradient"/>
          </v:rect>
        </w:pict>
      </w:r>
    </w:p>
    <w:p w:rsidR="001D7574" w:rsidRPr="00A70123" w:rsidRDefault="001D7574" w:rsidP="001D7574">
      <w:pPr>
        <w:pStyle w:val="a3"/>
        <w:spacing w:line="360" w:lineRule="auto"/>
        <w:jc w:val="center"/>
        <w:rPr>
          <w:rFonts w:ascii="Tahoma" w:hAnsi="Tahoma" w:cs="Tahoma"/>
          <w:b/>
          <w:bCs/>
          <w:color w:val="000000"/>
          <w:sz w:val="28"/>
          <w:szCs w:val="28"/>
          <w:u w:val="single"/>
          <w14:shadow w14:blurRad="50800" w14:dist="38100" w14:dir="2700000" w14:sx="100000" w14:sy="100000" w14:kx="0" w14:ky="0" w14:algn="tl">
            <w14:srgbClr w14:val="000000">
              <w14:alpha w14:val="60000"/>
            </w14:srgbClr>
          </w14:shadow>
        </w:rPr>
      </w:pPr>
    </w:p>
    <w:p w:rsidR="001D7574" w:rsidRPr="00A70123" w:rsidRDefault="001D7574" w:rsidP="001D7574">
      <w:pPr>
        <w:pStyle w:val="a3"/>
        <w:spacing w:line="360" w:lineRule="auto"/>
        <w:jc w:val="center"/>
        <w:rPr>
          <w:rFonts w:ascii="Tahoma" w:hAnsi="Tahoma" w:cs="Tahoma"/>
          <w:b/>
          <w:bCs/>
          <w:color w:val="000000"/>
          <w:sz w:val="28"/>
          <w:szCs w:val="28"/>
          <w:u w:val="single"/>
          <w14:shadow w14:blurRad="50800" w14:dist="38100" w14:dir="2700000" w14:sx="100000" w14:sy="100000" w14:kx="0" w14:ky="0" w14:algn="tl">
            <w14:srgbClr w14:val="000000">
              <w14:alpha w14:val="60000"/>
            </w14:srgbClr>
          </w14:shadow>
        </w:rPr>
      </w:pPr>
    </w:p>
    <w:p w:rsidR="001D7574" w:rsidRDefault="001D7574" w:rsidP="001D7574">
      <w:pPr>
        <w:pStyle w:val="a3"/>
        <w:spacing w:line="360" w:lineRule="auto"/>
        <w:jc w:val="center"/>
        <w:rPr>
          <w:rFonts w:ascii="Tahoma" w:hAnsi="Tahoma" w:cs="Tahoma"/>
          <w:b/>
          <w:bCs/>
          <w14:shadow w14:blurRad="50800" w14:dist="38100" w14:dir="2700000" w14:sx="100000" w14:sy="100000" w14:kx="0" w14:ky="0" w14:algn="tl">
            <w14:srgbClr w14:val="000000">
              <w14:alpha w14:val="60000"/>
            </w14:srgbClr>
          </w14:shadow>
        </w:rPr>
      </w:pPr>
    </w:p>
    <w:p w:rsidR="00A914DB" w:rsidRDefault="00A914DB" w:rsidP="001D7574">
      <w:pPr>
        <w:pStyle w:val="a3"/>
        <w:spacing w:line="360" w:lineRule="auto"/>
        <w:jc w:val="center"/>
        <w:rPr>
          <w:rFonts w:ascii="Tahoma" w:hAnsi="Tahoma" w:cs="Tahoma"/>
          <w:b/>
          <w:bCs/>
          <w14:shadow w14:blurRad="50800" w14:dist="38100" w14:dir="2700000" w14:sx="100000" w14:sy="100000" w14:kx="0" w14:ky="0" w14:algn="tl">
            <w14:srgbClr w14:val="000000">
              <w14:alpha w14:val="60000"/>
            </w14:srgbClr>
          </w14:shadow>
        </w:rPr>
      </w:pPr>
    </w:p>
    <w:p w:rsidR="00A914DB" w:rsidRDefault="00A914DB" w:rsidP="001D7574">
      <w:pPr>
        <w:pStyle w:val="a3"/>
        <w:spacing w:line="360" w:lineRule="auto"/>
        <w:jc w:val="center"/>
        <w:rPr>
          <w:rFonts w:ascii="Tahoma" w:hAnsi="Tahoma" w:cs="Tahoma"/>
          <w:b/>
          <w:bCs/>
          <w14:shadow w14:blurRad="50800" w14:dist="38100" w14:dir="2700000" w14:sx="100000" w14:sy="100000" w14:kx="0" w14:ky="0" w14:algn="tl">
            <w14:srgbClr w14:val="000000">
              <w14:alpha w14:val="60000"/>
            </w14:srgbClr>
          </w14:shadow>
        </w:rPr>
      </w:pPr>
    </w:p>
    <w:p w:rsidR="00A914DB" w:rsidRPr="00A70123" w:rsidRDefault="00A914DB" w:rsidP="001D7574">
      <w:pPr>
        <w:pStyle w:val="a3"/>
        <w:spacing w:line="360" w:lineRule="auto"/>
        <w:jc w:val="center"/>
        <w:rPr>
          <w:rFonts w:ascii="Tahoma" w:hAnsi="Tahoma" w:cs="Tahoma"/>
          <w:b/>
          <w:bCs/>
          <w14:shadow w14:blurRad="50800" w14:dist="38100" w14:dir="2700000" w14:sx="100000" w14:sy="100000" w14:kx="0" w14:ky="0" w14:algn="tl">
            <w14:srgbClr w14:val="000000">
              <w14:alpha w14:val="60000"/>
            </w14:srgbClr>
          </w14:shadow>
        </w:rPr>
      </w:pPr>
    </w:p>
    <w:p w:rsidR="001D7574" w:rsidRPr="00A70123" w:rsidRDefault="001D7574" w:rsidP="001D7574">
      <w:pPr>
        <w:pStyle w:val="a3"/>
        <w:spacing w:line="360" w:lineRule="auto"/>
        <w:jc w:val="center"/>
        <w:rPr>
          <w:rFonts w:ascii="Tahoma" w:hAnsi="Tahoma" w:cs="Tahoma"/>
          <w:b/>
          <w:bCs/>
          <w14:shadow w14:blurRad="50800" w14:dist="38100" w14:dir="2700000" w14:sx="100000" w14:sy="100000" w14:kx="0" w14:ky="0" w14:algn="tl">
            <w14:srgbClr w14:val="000000">
              <w14:alpha w14:val="60000"/>
            </w14:srgbClr>
          </w14:shadow>
        </w:rPr>
      </w:pPr>
    </w:p>
    <w:p w:rsidR="001D7574" w:rsidRPr="00A70123" w:rsidRDefault="001D7574" w:rsidP="001D7574">
      <w:pPr>
        <w:pStyle w:val="a3"/>
        <w:spacing w:line="360" w:lineRule="auto"/>
        <w:jc w:val="center"/>
        <w:rPr>
          <w:rFonts w:ascii="Tahoma" w:hAnsi="Tahoma" w:cs="Tahoma"/>
          <w:b/>
          <w:bCs/>
          <w14:shadow w14:blurRad="50800" w14:dist="38100" w14:dir="2700000" w14:sx="100000" w14:sy="100000" w14:kx="0" w14:ky="0" w14:algn="tl">
            <w14:srgbClr w14:val="000000">
              <w14:alpha w14:val="60000"/>
            </w14:srgbClr>
          </w14:shadow>
        </w:rPr>
      </w:pPr>
      <w:r w:rsidRPr="00A70123">
        <w:rPr>
          <w:rFonts w:ascii="Tahoma" w:hAnsi="Tahoma" w:cs="Tahoma"/>
          <w:b/>
          <w:bCs/>
          <w14:shadow w14:blurRad="50800" w14:dist="38100" w14:dir="2700000" w14:sx="100000" w14:sy="100000" w14:kx="0" w14:ky="0" w14:algn="tl">
            <w14:srgbClr w14:val="000000">
              <w14:alpha w14:val="60000"/>
            </w14:srgbClr>
          </w14:shadow>
        </w:rPr>
        <w:t>Σεπτέμβριος, 2017</w:t>
      </w:r>
    </w:p>
    <w:p w:rsidR="001D7574" w:rsidRPr="001D7574" w:rsidRDefault="001D7574" w:rsidP="001D7574">
      <w:pPr>
        <w:pStyle w:val="a3"/>
        <w:spacing w:line="480" w:lineRule="auto"/>
        <w:rPr>
          <w:rFonts w:ascii="Tahoma" w:hAnsi="Tahoma" w:cs="Tahoma"/>
          <w:color w:val="000000"/>
        </w:rPr>
      </w:pPr>
    </w:p>
    <w:p w:rsidR="001D7574" w:rsidRDefault="001D7574" w:rsidP="001D7574">
      <w:pPr>
        <w:pStyle w:val="10"/>
      </w:pPr>
    </w:p>
    <w:p w:rsidR="001D7574" w:rsidRPr="004A47F4" w:rsidRDefault="001D7574" w:rsidP="001D7574">
      <w:pPr>
        <w:tabs>
          <w:tab w:val="left" w:pos="5723"/>
        </w:tabs>
        <w:sectPr w:rsidR="001D7574" w:rsidRPr="004A47F4" w:rsidSect="00383415">
          <w:headerReference w:type="default" r:id="rId9"/>
          <w:footerReference w:type="even" r:id="rId10"/>
          <w:footerReference w:type="default" r:id="rId11"/>
          <w:footerReference w:type="first" r:id="rId12"/>
          <w:pgSz w:w="11906" w:h="16838" w:code="9"/>
          <w:pgMar w:top="1440" w:right="1800" w:bottom="1440" w:left="1800" w:header="706" w:footer="706" w:gutter="0"/>
          <w:cols w:space="708"/>
          <w:titlePg/>
          <w:docGrid w:linePitch="360"/>
        </w:sectPr>
      </w:pPr>
      <w:r>
        <w:tab/>
      </w:r>
    </w:p>
    <w:p w:rsidR="008C4CBE" w:rsidRPr="00247D9A" w:rsidRDefault="001344B3" w:rsidP="002B3076">
      <w:pPr>
        <w:autoSpaceDE w:val="0"/>
        <w:autoSpaceDN w:val="0"/>
        <w:adjustRightInd w:val="0"/>
        <w:spacing w:after="0" w:line="240" w:lineRule="auto"/>
        <w:jc w:val="center"/>
        <w:rPr>
          <w:rFonts w:cstheme="minorHAnsi"/>
          <w:b/>
          <w:bCs/>
          <w:sz w:val="28"/>
          <w:szCs w:val="28"/>
        </w:rPr>
      </w:pPr>
      <w:r w:rsidRPr="00247D9A">
        <w:rPr>
          <w:rFonts w:cstheme="minorHAnsi"/>
          <w:b/>
          <w:bCs/>
          <w:sz w:val="28"/>
          <w:szCs w:val="28"/>
        </w:rPr>
        <w:lastRenderedPageBreak/>
        <w:t xml:space="preserve">Συνοδευτικό </w:t>
      </w:r>
      <w:proofErr w:type="spellStart"/>
      <w:r w:rsidRPr="00247D9A">
        <w:rPr>
          <w:rFonts w:cstheme="minorHAnsi"/>
          <w:b/>
          <w:bCs/>
          <w:sz w:val="28"/>
          <w:szCs w:val="28"/>
        </w:rPr>
        <w:t>Τεκμηριωτικό</w:t>
      </w:r>
      <w:proofErr w:type="spellEnd"/>
      <w:r w:rsidRPr="00247D9A">
        <w:rPr>
          <w:rFonts w:cstheme="minorHAnsi"/>
          <w:b/>
          <w:bCs/>
          <w:sz w:val="28"/>
          <w:szCs w:val="28"/>
        </w:rPr>
        <w:t xml:space="preserve"> Έγγραφο Δεικτών </w:t>
      </w:r>
    </w:p>
    <w:p w:rsidR="00536E5E" w:rsidRPr="00247D9A" w:rsidRDefault="00671B26" w:rsidP="002B3076">
      <w:pPr>
        <w:autoSpaceDE w:val="0"/>
        <w:autoSpaceDN w:val="0"/>
        <w:adjustRightInd w:val="0"/>
        <w:spacing w:after="0" w:line="240" w:lineRule="auto"/>
        <w:jc w:val="center"/>
        <w:rPr>
          <w:rFonts w:cstheme="minorHAnsi"/>
          <w:b/>
          <w:bCs/>
          <w:sz w:val="28"/>
          <w:szCs w:val="28"/>
        </w:rPr>
      </w:pPr>
      <w:r w:rsidRPr="00247D9A">
        <w:rPr>
          <w:rFonts w:cstheme="minorHAnsi"/>
          <w:b/>
          <w:bCs/>
          <w:sz w:val="28"/>
          <w:szCs w:val="28"/>
        </w:rPr>
        <w:t>ΕΠ ΜΔΤ 2014-2020</w:t>
      </w:r>
    </w:p>
    <w:p w:rsidR="00536E5E" w:rsidRPr="00247D9A" w:rsidRDefault="00536E5E" w:rsidP="00536E5E">
      <w:pPr>
        <w:autoSpaceDE w:val="0"/>
        <w:autoSpaceDN w:val="0"/>
        <w:adjustRightInd w:val="0"/>
        <w:spacing w:after="0" w:line="240" w:lineRule="auto"/>
        <w:rPr>
          <w:rFonts w:cstheme="minorHAnsi"/>
          <w:b/>
          <w:bCs/>
          <w:sz w:val="24"/>
          <w:szCs w:val="24"/>
        </w:rPr>
      </w:pPr>
    </w:p>
    <w:p w:rsidR="003857AB" w:rsidRPr="00A914DB" w:rsidRDefault="003857AB" w:rsidP="00E73650">
      <w:pPr>
        <w:spacing w:after="240"/>
        <w:ind w:right="-2"/>
        <w:jc w:val="both"/>
        <w:rPr>
          <w:rFonts w:cstheme="minorHAnsi"/>
          <w:sz w:val="24"/>
          <w:szCs w:val="24"/>
        </w:rPr>
      </w:pPr>
      <w:r w:rsidRPr="006C1383">
        <w:rPr>
          <w:rFonts w:cstheme="minorHAnsi"/>
          <w:sz w:val="24"/>
          <w:szCs w:val="24"/>
          <w:highlight w:val="yellow"/>
        </w:rPr>
        <w:t xml:space="preserve">Το παρόν </w:t>
      </w:r>
      <w:r w:rsidR="00705581" w:rsidRPr="006C1383">
        <w:rPr>
          <w:rFonts w:cstheme="minorHAnsi"/>
          <w:sz w:val="24"/>
          <w:szCs w:val="24"/>
          <w:highlight w:val="yellow"/>
        </w:rPr>
        <w:t xml:space="preserve">έγγραφο αποτελεί το </w:t>
      </w:r>
      <w:r w:rsidR="00A914DB">
        <w:rPr>
          <w:rFonts w:cstheme="minorHAnsi"/>
          <w:sz w:val="24"/>
          <w:szCs w:val="24"/>
          <w:highlight w:val="yellow"/>
        </w:rPr>
        <w:t xml:space="preserve"> </w:t>
      </w:r>
      <w:proofErr w:type="spellStart"/>
      <w:r w:rsidR="00A914DB">
        <w:rPr>
          <w:rFonts w:cstheme="minorHAnsi"/>
          <w:sz w:val="24"/>
          <w:szCs w:val="24"/>
          <w:highlight w:val="yellow"/>
        </w:rPr>
        <w:t>επικαιροποιημένο</w:t>
      </w:r>
      <w:proofErr w:type="spellEnd"/>
      <w:r w:rsidR="00705581" w:rsidRPr="006C1383">
        <w:rPr>
          <w:rFonts w:cstheme="minorHAnsi"/>
          <w:sz w:val="24"/>
          <w:szCs w:val="24"/>
          <w:highlight w:val="yellow"/>
        </w:rPr>
        <w:t xml:space="preserve"> Συνοδευτικό </w:t>
      </w:r>
      <w:proofErr w:type="spellStart"/>
      <w:r w:rsidR="00705581" w:rsidRPr="006C1383">
        <w:rPr>
          <w:rFonts w:cstheme="minorHAnsi"/>
          <w:sz w:val="24"/>
          <w:szCs w:val="24"/>
          <w:highlight w:val="yellow"/>
        </w:rPr>
        <w:t>Τεκμηριωτικό</w:t>
      </w:r>
      <w:proofErr w:type="spellEnd"/>
      <w:r w:rsidR="00705581" w:rsidRPr="006C1383">
        <w:rPr>
          <w:rFonts w:cstheme="minorHAnsi"/>
          <w:sz w:val="24"/>
          <w:szCs w:val="24"/>
          <w:highlight w:val="yellow"/>
        </w:rPr>
        <w:t xml:space="preserve"> Έγγραφο των Δεικτών (ΣΤΕΔ) που υποβάλλεται με το ΕΠ</w:t>
      </w:r>
      <w:r w:rsidR="006C1383" w:rsidRPr="006C1383">
        <w:rPr>
          <w:rFonts w:cstheme="minorHAnsi"/>
          <w:sz w:val="24"/>
          <w:szCs w:val="24"/>
          <w:highlight w:val="yellow"/>
        </w:rPr>
        <w:t xml:space="preserve"> στο πλαίσιο της διαδικασίας αναθεώρησης</w:t>
      </w:r>
      <w:r w:rsidR="00705581" w:rsidRPr="006C1383">
        <w:rPr>
          <w:rFonts w:cstheme="minorHAnsi"/>
          <w:sz w:val="24"/>
          <w:szCs w:val="24"/>
          <w:highlight w:val="yellow"/>
        </w:rPr>
        <w:t>.</w:t>
      </w:r>
      <w:r w:rsidR="00247D9A" w:rsidRPr="006C1383">
        <w:rPr>
          <w:rFonts w:cstheme="minorHAnsi"/>
          <w:sz w:val="24"/>
          <w:szCs w:val="24"/>
          <w:highlight w:val="yellow"/>
        </w:rPr>
        <w:t xml:space="preserve"> </w:t>
      </w:r>
      <w:r w:rsidR="00383415">
        <w:rPr>
          <w:rStyle w:val="aa"/>
          <w:rFonts w:cstheme="minorHAnsi"/>
          <w:sz w:val="24"/>
          <w:szCs w:val="24"/>
          <w:highlight w:val="yellow"/>
        </w:rPr>
        <w:footnoteReference w:id="1"/>
      </w:r>
    </w:p>
    <w:p w:rsidR="00E73650" w:rsidRPr="00247D9A" w:rsidRDefault="00297E0B" w:rsidP="00E73650">
      <w:pPr>
        <w:spacing w:after="240"/>
        <w:ind w:right="-2"/>
        <w:jc w:val="both"/>
        <w:rPr>
          <w:rFonts w:cstheme="minorHAnsi"/>
          <w:sz w:val="24"/>
          <w:szCs w:val="24"/>
        </w:rPr>
      </w:pPr>
      <w:proofErr w:type="gramStart"/>
      <w:r w:rsidRPr="006C1383">
        <w:rPr>
          <w:rFonts w:cstheme="minorHAnsi"/>
          <w:sz w:val="24"/>
          <w:szCs w:val="24"/>
          <w:lang w:val="en-US"/>
        </w:rPr>
        <w:t>To</w:t>
      </w:r>
      <w:r w:rsidRPr="006C1383">
        <w:rPr>
          <w:rFonts w:cstheme="minorHAnsi"/>
          <w:sz w:val="24"/>
          <w:szCs w:val="24"/>
        </w:rPr>
        <w:t xml:space="preserve"> Επιχειρησιακό Πρόγραμμα Μεταρρύθμιση Δημόσιου Τομέα </w:t>
      </w:r>
      <w:r w:rsidR="00E73650" w:rsidRPr="006C1383">
        <w:rPr>
          <w:rFonts w:cstheme="minorHAnsi"/>
          <w:sz w:val="24"/>
          <w:szCs w:val="24"/>
        </w:rPr>
        <w:t xml:space="preserve">αφορά δράσεις που χρηματοδοτούνται στο πλαίσιο </w:t>
      </w:r>
      <w:r w:rsidRPr="006C1383">
        <w:rPr>
          <w:rFonts w:cstheme="minorHAnsi"/>
          <w:sz w:val="24"/>
          <w:szCs w:val="24"/>
        </w:rPr>
        <w:t>των Θεματικών Στόχων 2 και</w:t>
      </w:r>
      <w:r w:rsidR="00E73650" w:rsidRPr="006C1383">
        <w:rPr>
          <w:rFonts w:cstheme="minorHAnsi"/>
          <w:sz w:val="24"/>
          <w:szCs w:val="24"/>
        </w:rPr>
        <w:t xml:space="preserve"> 11 (Ταμείο </w:t>
      </w:r>
      <w:r w:rsidRPr="006C1383">
        <w:rPr>
          <w:rFonts w:cstheme="minorHAnsi"/>
          <w:sz w:val="24"/>
          <w:szCs w:val="24"/>
        </w:rPr>
        <w:t>ΕΤΠΑ και</w:t>
      </w:r>
      <w:r w:rsidRPr="00247D9A">
        <w:rPr>
          <w:rFonts w:cstheme="minorHAnsi"/>
          <w:sz w:val="24"/>
          <w:szCs w:val="24"/>
        </w:rPr>
        <w:t xml:space="preserve"> </w:t>
      </w:r>
      <w:r w:rsidR="00E73650" w:rsidRPr="00247D9A">
        <w:rPr>
          <w:rFonts w:cstheme="minorHAnsi"/>
          <w:sz w:val="24"/>
          <w:szCs w:val="24"/>
        </w:rPr>
        <w:t>ΕΚΤ</w:t>
      </w:r>
      <w:r w:rsidRPr="00247D9A">
        <w:rPr>
          <w:rFonts w:cstheme="minorHAnsi"/>
          <w:sz w:val="24"/>
          <w:szCs w:val="24"/>
        </w:rPr>
        <w:t xml:space="preserve"> αντίστοιχα</w:t>
      </w:r>
      <w:r w:rsidR="00E73650" w:rsidRPr="00247D9A">
        <w:rPr>
          <w:rFonts w:cstheme="minorHAnsi"/>
          <w:sz w:val="24"/>
          <w:szCs w:val="24"/>
        </w:rPr>
        <w:t>)</w:t>
      </w:r>
      <w:r w:rsidR="00701073" w:rsidRPr="00247D9A">
        <w:rPr>
          <w:rFonts w:cstheme="minorHAnsi"/>
          <w:sz w:val="24"/>
          <w:szCs w:val="24"/>
        </w:rPr>
        <w:t>.</w:t>
      </w:r>
      <w:proofErr w:type="gramEnd"/>
      <w:r w:rsidR="00701073" w:rsidRPr="00247D9A">
        <w:rPr>
          <w:rFonts w:cstheme="minorHAnsi"/>
          <w:sz w:val="24"/>
          <w:szCs w:val="24"/>
        </w:rPr>
        <w:t xml:space="preserve"> </w:t>
      </w:r>
      <w:r w:rsidR="00E73650" w:rsidRPr="00247D9A">
        <w:rPr>
          <w:rFonts w:cstheme="minorHAnsi"/>
          <w:sz w:val="24"/>
          <w:szCs w:val="24"/>
        </w:rPr>
        <w:t>Κύριος στόχος είναι η ενίσχυση της αποτελεσματικότητας και αποδοτικότητας των δημοσίων φορέων και η εξασφάλιση της ενιαίας λειτουργίας του δημοσίου τομέα προς όφελος του κράτους, των πολιτών και των επιχειρήσεων. Στο πλαίσιο αυτό χρηματοδοτούνται δράσεις για:</w:t>
      </w:r>
    </w:p>
    <w:p w:rsidR="00E73650" w:rsidRPr="00247D9A" w:rsidRDefault="00E73650" w:rsidP="007B3067">
      <w:pPr>
        <w:pStyle w:val="a6"/>
        <w:numPr>
          <w:ilvl w:val="0"/>
          <w:numId w:val="15"/>
        </w:numPr>
        <w:spacing w:before="120" w:after="240" w:line="300" w:lineRule="atLeast"/>
        <w:ind w:right="-2"/>
        <w:jc w:val="both"/>
        <w:rPr>
          <w:rFonts w:cstheme="minorHAnsi"/>
          <w:sz w:val="24"/>
          <w:szCs w:val="24"/>
        </w:rPr>
      </w:pPr>
      <w:r w:rsidRPr="00247D9A">
        <w:rPr>
          <w:rFonts w:cstheme="minorHAnsi"/>
          <w:sz w:val="24"/>
          <w:szCs w:val="24"/>
        </w:rPr>
        <w:t xml:space="preserve">την ενίσχυση του συντονισμού των φορέων του δημοσίου τομέα,  </w:t>
      </w:r>
    </w:p>
    <w:p w:rsidR="00E73650" w:rsidRPr="00247D9A" w:rsidRDefault="00E73650" w:rsidP="007B3067">
      <w:pPr>
        <w:pStyle w:val="a6"/>
        <w:numPr>
          <w:ilvl w:val="0"/>
          <w:numId w:val="15"/>
        </w:numPr>
        <w:spacing w:before="120" w:after="240" w:line="300" w:lineRule="atLeast"/>
        <w:ind w:right="-2"/>
        <w:jc w:val="both"/>
        <w:rPr>
          <w:rFonts w:cstheme="minorHAnsi"/>
          <w:sz w:val="24"/>
          <w:szCs w:val="24"/>
        </w:rPr>
      </w:pPr>
      <w:r w:rsidRPr="00247D9A">
        <w:rPr>
          <w:rFonts w:cstheme="minorHAnsi"/>
          <w:sz w:val="24"/>
          <w:szCs w:val="24"/>
        </w:rPr>
        <w:t xml:space="preserve">την ενίσχυση της επιτελικής ικανότητας της κεντρικής κυβέρνησης, </w:t>
      </w:r>
    </w:p>
    <w:p w:rsidR="00E73650" w:rsidRPr="00247D9A" w:rsidRDefault="00E73650" w:rsidP="007B3067">
      <w:pPr>
        <w:pStyle w:val="a6"/>
        <w:numPr>
          <w:ilvl w:val="0"/>
          <w:numId w:val="15"/>
        </w:numPr>
        <w:spacing w:before="120" w:after="240" w:line="300" w:lineRule="atLeast"/>
        <w:ind w:right="-2"/>
        <w:jc w:val="both"/>
        <w:rPr>
          <w:rFonts w:cstheme="minorHAnsi"/>
          <w:sz w:val="24"/>
          <w:szCs w:val="24"/>
        </w:rPr>
      </w:pPr>
      <w:r w:rsidRPr="00247D9A">
        <w:rPr>
          <w:rFonts w:cstheme="minorHAnsi"/>
          <w:sz w:val="24"/>
          <w:szCs w:val="24"/>
        </w:rPr>
        <w:t xml:space="preserve">την επαναοριοθέτηση αρμοδιοτήτων τόσο οριζόντια, όσο και κάθετα μεταξύ των τριών επιπέδων άσκησης της εκτελεστικής εξουσίας (κεντρική διοίκηση, αποκεντρωμένη διοίκηση, τοπική αυτοδιοίκηση) </w:t>
      </w:r>
    </w:p>
    <w:p w:rsidR="00E73650" w:rsidRPr="00247D9A" w:rsidRDefault="00E73650" w:rsidP="007B3067">
      <w:pPr>
        <w:pStyle w:val="a6"/>
        <w:numPr>
          <w:ilvl w:val="0"/>
          <w:numId w:val="15"/>
        </w:numPr>
        <w:spacing w:before="120" w:after="240" w:line="300" w:lineRule="atLeast"/>
        <w:ind w:right="-2"/>
        <w:jc w:val="both"/>
        <w:rPr>
          <w:rFonts w:cstheme="minorHAnsi"/>
          <w:sz w:val="24"/>
          <w:szCs w:val="24"/>
        </w:rPr>
      </w:pPr>
      <w:r w:rsidRPr="00247D9A">
        <w:rPr>
          <w:rFonts w:cstheme="minorHAnsi"/>
          <w:sz w:val="24"/>
          <w:szCs w:val="24"/>
        </w:rPr>
        <w:t>τη λειτουργική αναδιοργάνωση και την απλοποίηση διαδικασιών των φορέων του δημοσίου τομέα</w:t>
      </w:r>
    </w:p>
    <w:p w:rsidR="00E73650" w:rsidRPr="00247D9A" w:rsidRDefault="00E73650" w:rsidP="007B3067">
      <w:pPr>
        <w:pStyle w:val="a6"/>
        <w:numPr>
          <w:ilvl w:val="0"/>
          <w:numId w:val="15"/>
        </w:numPr>
        <w:spacing w:before="120" w:after="240" w:line="300" w:lineRule="atLeast"/>
        <w:ind w:right="-2"/>
        <w:jc w:val="both"/>
        <w:rPr>
          <w:rFonts w:cstheme="minorHAnsi"/>
          <w:sz w:val="24"/>
          <w:szCs w:val="24"/>
        </w:rPr>
      </w:pPr>
      <w:r w:rsidRPr="00247D9A">
        <w:rPr>
          <w:rFonts w:cstheme="minorHAnsi"/>
          <w:sz w:val="24"/>
          <w:szCs w:val="24"/>
        </w:rPr>
        <w:t>τη λειτουργία των δημοσίων φορέων με γνώμονα το αποτέλεσμα και την επίτευξη τεθέντων στόχων με βασικές αρχές την διαφάνεια και την</w:t>
      </w:r>
      <w:r w:rsidR="00701073" w:rsidRPr="00247D9A">
        <w:rPr>
          <w:rFonts w:cstheme="minorHAnsi"/>
          <w:sz w:val="24"/>
          <w:szCs w:val="24"/>
        </w:rPr>
        <w:t xml:space="preserve"> λογοδοσία</w:t>
      </w:r>
    </w:p>
    <w:p w:rsidR="00701073" w:rsidRPr="00247D9A" w:rsidRDefault="00701073" w:rsidP="007B3067">
      <w:pPr>
        <w:pStyle w:val="a6"/>
        <w:numPr>
          <w:ilvl w:val="0"/>
          <w:numId w:val="15"/>
        </w:numPr>
        <w:spacing w:before="120" w:after="240" w:line="300" w:lineRule="atLeast"/>
        <w:ind w:right="-2"/>
        <w:jc w:val="both"/>
        <w:rPr>
          <w:rFonts w:cstheme="minorHAnsi"/>
          <w:sz w:val="24"/>
          <w:szCs w:val="24"/>
        </w:rPr>
      </w:pPr>
      <w:r w:rsidRPr="00247D9A">
        <w:rPr>
          <w:rFonts w:cstheme="minorHAnsi"/>
          <w:sz w:val="24"/>
          <w:szCs w:val="24"/>
        </w:rPr>
        <w:t>την ανάπτυξη ή</w:t>
      </w:r>
      <w:r w:rsidR="00190233" w:rsidRPr="00247D9A">
        <w:rPr>
          <w:rFonts w:cstheme="minorHAnsi"/>
          <w:sz w:val="24"/>
          <w:szCs w:val="24"/>
        </w:rPr>
        <w:t>/και</w:t>
      </w:r>
      <w:r w:rsidRPr="00247D9A">
        <w:rPr>
          <w:rFonts w:cstheme="minorHAnsi"/>
          <w:sz w:val="24"/>
          <w:szCs w:val="24"/>
        </w:rPr>
        <w:t xml:space="preserve"> αναβάθμιση των συστημάτων, εφαρμογών και υπηρεσιών ΤΠΕ που χρησιμοποιούν οι φορείς του Δημοσίου Τομέα τόσο για την οργάνωση και  λειτουργία τους όσο και για την παροχή πλήρως και ολοκληρωμένων ηλεκτρονικών υπηρεσιών προς τους πολίτες και τις επιχειρήσεις.</w:t>
      </w:r>
    </w:p>
    <w:p w:rsidR="00701073" w:rsidRPr="00247D9A" w:rsidRDefault="00701073" w:rsidP="007B3067">
      <w:pPr>
        <w:pStyle w:val="a6"/>
        <w:numPr>
          <w:ilvl w:val="0"/>
          <w:numId w:val="15"/>
        </w:numPr>
        <w:spacing w:before="120" w:after="240" w:line="300" w:lineRule="atLeast"/>
        <w:ind w:right="-2"/>
        <w:jc w:val="both"/>
        <w:rPr>
          <w:rFonts w:cstheme="minorHAnsi"/>
          <w:sz w:val="24"/>
          <w:szCs w:val="24"/>
        </w:rPr>
      </w:pPr>
      <w:r w:rsidRPr="00247D9A">
        <w:rPr>
          <w:rFonts w:cstheme="minorHAnsi"/>
          <w:sz w:val="24"/>
          <w:szCs w:val="24"/>
        </w:rPr>
        <w:t>τη βελτίωση των πολιτικών προσωπικού και εφαρμογής τους και δράσεις ανάπτυξης και εφαρμογής συστημάτων διαχείρισης του ανθρώπινου δυναμικού</w:t>
      </w:r>
    </w:p>
    <w:p w:rsidR="00701073" w:rsidRPr="00247D9A" w:rsidRDefault="00701073" w:rsidP="007B3067">
      <w:pPr>
        <w:pStyle w:val="a6"/>
        <w:numPr>
          <w:ilvl w:val="0"/>
          <w:numId w:val="15"/>
        </w:numPr>
        <w:spacing w:before="120" w:after="240" w:line="300" w:lineRule="atLeast"/>
        <w:ind w:right="-2"/>
        <w:jc w:val="both"/>
        <w:rPr>
          <w:rFonts w:cstheme="minorHAnsi"/>
          <w:sz w:val="24"/>
          <w:szCs w:val="24"/>
        </w:rPr>
      </w:pPr>
      <w:r w:rsidRPr="00247D9A">
        <w:rPr>
          <w:rFonts w:cstheme="minorHAnsi"/>
          <w:sz w:val="24"/>
          <w:szCs w:val="24"/>
        </w:rPr>
        <w:t>την ανάπτυξη γνώσεων, δεξιοτήτων και ικανοτήτων ανθρώπινου δυναμικού του Δημοσίου Τομέα</w:t>
      </w:r>
    </w:p>
    <w:p w:rsidR="00701073" w:rsidRPr="00247D9A" w:rsidRDefault="00701073" w:rsidP="007B3067">
      <w:pPr>
        <w:pStyle w:val="a6"/>
        <w:numPr>
          <w:ilvl w:val="0"/>
          <w:numId w:val="15"/>
        </w:numPr>
        <w:spacing w:before="120" w:after="240" w:line="300" w:lineRule="atLeast"/>
        <w:ind w:right="-2"/>
        <w:jc w:val="both"/>
        <w:rPr>
          <w:rFonts w:cstheme="minorHAnsi"/>
          <w:sz w:val="24"/>
          <w:szCs w:val="24"/>
        </w:rPr>
      </w:pPr>
      <w:r w:rsidRPr="00247D9A">
        <w:rPr>
          <w:rFonts w:cstheme="minorHAnsi"/>
          <w:sz w:val="24"/>
          <w:szCs w:val="24"/>
        </w:rPr>
        <w:t>τη βελτίωση της ποιότητας σχεδιασμού των προγραμμάτων σπουδών και του εκπαιδευτικού υλικού</w:t>
      </w:r>
    </w:p>
    <w:p w:rsidR="00E73650" w:rsidRPr="00247D9A" w:rsidRDefault="00E73650" w:rsidP="00E73650">
      <w:pPr>
        <w:spacing w:after="240"/>
        <w:ind w:left="20" w:right="-2"/>
        <w:jc w:val="both"/>
        <w:rPr>
          <w:rFonts w:cstheme="minorHAnsi"/>
          <w:sz w:val="24"/>
          <w:szCs w:val="24"/>
        </w:rPr>
      </w:pPr>
      <w:r w:rsidRPr="00247D9A">
        <w:rPr>
          <w:rFonts w:cstheme="minorHAnsi"/>
          <w:sz w:val="24"/>
          <w:szCs w:val="24"/>
        </w:rPr>
        <w:t xml:space="preserve">Οι ανωτέρω δράσεις χαρακτηρίζονται στη συντριπτική τους πλειοψηφία οριζόντιες συστημικές, δηλαδή μη χωροθετημένες, και έχουν άμεση επίπτωση σε όλες τις περιφέρειες της χώρας. Ως εκ τούτου οι νομικές τους δεσμεύσεις καθώς και τα </w:t>
      </w:r>
      <w:r w:rsidRPr="00247D9A">
        <w:rPr>
          <w:rFonts w:cstheme="minorHAnsi"/>
          <w:sz w:val="24"/>
          <w:szCs w:val="24"/>
        </w:rPr>
        <w:lastRenderedPageBreak/>
        <w:t xml:space="preserve">παραδοτέα τους δεν είναι δυνατόν να ποσοτικοποιηθούν και να χωροθετηθούν διακριτά. Μολονότι η κεντρική κυβέρνηση εδρεύει κατά κύριο λόγο στην Αττική,  επειδή το αποτέλεσμα των δράσεων αφορά και επηρεάζει τη λειτουργία των δημόσιων υπηρεσιών και την εξυπηρέτηση των πολιτών και των επιχειρήσεων όλης της χώρας, η χρηματοδότησή τους επιμερίζεται σε όλες τις περιφέρειες. </w:t>
      </w:r>
    </w:p>
    <w:p w:rsidR="009831DD" w:rsidRPr="00247D9A" w:rsidRDefault="00E73650" w:rsidP="009831DD">
      <w:pPr>
        <w:spacing w:after="240"/>
        <w:ind w:left="20" w:right="-2"/>
        <w:jc w:val="both"/>
        <w:rPr>
          <w:rFonts w:cstheme="minorHAnsi"/>
          <w:sz w:val="24"/>
          <w:szCs w:val="24"/>
        </w:rPr>
      </w:pPr>
      <w:r w:rsidRPr="00247D9A">
        <w:rPr>
          <w:rFonts w:cstheme="minorHAnsi"/>
          <w:sz w:val="24"/>
          <w:szCs w:val="24"/>
        </w:rPr>
        <w:t xml:space="preserve">Αναφορικά με τα δύο άλλα επίπεδα διοίκησης, (αποκεντρωμένη διοίκηση, τοπική αυτοδιοίκηση) εφόσον η στρατηγική επιλογή του καθ’ ύλην αρμόδιου Υπουργείου για την υλοποίηση των δράσεων, είναι η υιοθέτηση οριζοντίων προτύπων και στη συνέχεια η εφαρμογή τους για το σύνολο του κάθε επιπέδου διοίκησης, οι δράσεις χαρακτηρίζονται οριζόντιες συστημικές ως ανωτέρω. Σε διαφορετική περίπτωση όπου συγκεκριμένες δράσεις είναι χωροθετημένες θα χρηματοδοτηθούν από πόρους συγκεκριμένων περιφερειών.  </w:t>
      </w:r>
    </w:p>
    <w:p w:rsidR="00E73650" w:rsidRPr="00247D9A" w:rsidRDefault="009831DD" w:rsidP="009831DD">
      <w:pPr>
        <w:spacing w:after="240"/>
        <w:ind w:left="20" w:right="-2"/>
        <w:jc w:val="both"/>
        <w:rPr>
          <w:rFonts w:cstheme="minorHAnsi"/>
          <w:sz w:val="24"/>
          <w:szCs w:val="24"/>
        </w:rPr>
      </w:pPr>
      <w:r w:rsidRPr="00247D9A">
        <w:rPr>
          <w:rFonts w:cstheme="minorHAnsi"/>
          <w:sz w:val="24"/>
          <w:szCs w:val="24"/>
        </w:rPr>
        <w:t>Κατά συνέπεια οι Άξονες Προτεραιότητας</w:t>
      </w:r>
      <w:r w:rsidR="006C1383">
        <w:rPr>
          <w:rFonts w:cstheme="minorHAnsi"/>
          <w:sz w:val="24"/>
          <w:szCs w:val="24"/>
        </w:rPr>
        <w:t xml:space="preserve"> </w:t>
      </w:r>
      <w:r w:rsidRPr="00247D9A">
        <w:rPr>
          <w:rFonts w:cstheme="minorHAnsi"/>
          <w:sz w:val="24"/>
          <w:szCs w:val="24"/>
        </w:rPr>
        <w:t>επιλέγονται</w:t>
      </w:r>
      <w:r w:rsidR="00E73650" w:rsidRPr="00247D9A">
        <w:rPr>
          <w:rFonts w:cstheme="minorHAnsi"/>
          <w:sz w:val="24"/>
          <w:szCs w:val="24"/>
        </w:rPr>
        <w:t xml:space="preserve"> από πλευράς επιχειρησιακής προσέγγισης και στοχοθεσίας να είναι ένας και για τους τρεις τύπους περιφερειών (εξαιρουμένων των Περιφερειών Νοτίου Αιγαίου και Στερεάς Ελλάδας). Οι δράσεις που εντάσσονται επιχειρησιακά στον εν λόγω Άξονα Προτεραιότητας και αφορούν στις Περιφέρειες Νοτίου Αιγαίου και Στερεάς Ελλάδας, λόγω διαφορετικού ποσοστού συγχρηματοδότησης (50% έναντι 80% των λοιπών Περιφερειών) και σχετικής οδηγίας της Ευρωπαϊκής Επιτροπής, αντιμετωπίζονται ως ξεχωριστοί Άξονες Προτεραιότητας</w:t>
      </w:r>
      <w:r w:rsidRPr="00247D9A">
        <w:rPr>
          <w:rFonts w:cstheme="minorHAnsi"/>
          <w:sz w:val="24"/>
          <w:szCs w:val="24"/>
        </w:rPr>
        <w:t>.</w:t>
      </w:r>
    </w:p>
    <w:p w:rsidR="00E73650" w:rsidRPr="00247D9A" w:rsidRDefault="00E73650" w:rsidP="00E73650">
      <w:pPr>
        <w:spacing w:after="240"/>
        <w:ind w:left="20" w:right="84"/>
        <w:jc w:val="both"/>
        <w:rPr>
          <w:rFonts w:cstheme="minorHAnsi"/>
          <w:sz w:val="24"/>
          <w:szCs w:val="24"/>
        </w:rPr>
      </w:pPr>
      <w:r w:rsidRPr="00247D9A">
        <w:rPr>
          <w:rFonts w:cstheme="minorHAnsi"/>
          <w:sz w:val="24"/>
          <w:szCs w:val="24"/>
        </w:rPr>
        <w:t xml:space="preserve">Η στοχοθεσία των δεικτών εκροής και κατ’ επέκταση και του πλαισίου επίδοσης έχει τεθεί για το σύνολο της χώρας. Η καταχώρηση της στοχοθεσίας στο </w:t>
      </w:r>
      <w:r w:rsidRPr="00247D9A">
        <w:rPr>
          <w:rFonts w:cstheme="minorHAnsi"/>
          <w:sz w:val="24"/>
          <w:szCs w:val="24"/>
          <w:lang w:val="en-US"/>
        </w:rPr>
        <w:t>sfc</w:t>
      </w:r>
      <w:r w:rsidRPr="00247D9A">
        <w:rPr>
          <w:rFonts w:cstheme="minorHAnsi"/>
          <w:sz w:val="24"/>
          <w:szCs w:val="24"/>
        </w:rPr>
        <w:t xml:space="preserve"> έγινε με επιμερισμό της συνολικής τιμής</w:t>
      </w:r>
      <w:r w:rsidR="00190233" w:rsidRPr="00247D9A">
        <w:rPr>
          <w:rFonts w:cstheme="minorHAnsi"/>
          <w:sz w:val="24"/>
          <w:szCs w:val="24"/>
        </w:rPr>
        <w:t xml:space="preserve"> του δείκτη </w:t>
      </w:r>
      <w:r w:rsidRPr="00247D9A">
        <w:rPr>
          <w:rFonts w:cstheme="minorHAnsi"/>
          <w:sz w:val="24"/>
          <w:szCs w:val="24"/>
        </w:rPr>
        <w:t xml:space="preserve">ανά </w:t>
      </w:r>
      <w:r w:rsidR="00190233" w:rsidRPr="00247D9A">
        <w:rPr>
          <w:rFonts w:cstheme="minorHAnsi"/>
          <w:sz w:val="24"/>
          <w:szCs w:val="24"/>
        </w:rPr>
        <w:t xml:space="preserve">άξονα προτεραιότητας </w:t>
      </w:r>
      <w:r w:rsidR="00D866B4" w:rsidRPr="00247D9A">
        <w:rPr>
          <w:rFonts w:cstheme="minorHAnsi"/>
          <w:sz w:val="24"/>
          <w:szCs w:val="24"/>
        </w:rPr>
        <w:t xml:space="preserve">και ανά </w:t>
      </w:r>
      <w:r w:rsidRPr="00247D9A">
        <w:rPr>
          <w:rFonts w:cstheme="minorHAnsi"/>
          <w:sz w:val="24"/>
          <w:szCs w:val="24"/>
        </w:rPr>
        <w:t>κατηγορία περιφερειών</w:t>
      </w:r>
      <w:r w:rsidR="00190233" w:rsidRPr="00247D9A">
        <w:rPr>
          <w:rFonts w:cstheme="minorHAnsi"/>
          <w:sz w:val="24"/>
          <w:szCs w:val="24"/>
        </w:rPr>
        <w:t xml:space="preserve"> μ</w:t>
      </w:r>
      <w:r w:rsidRPr="00247D9A">
        <w:rPr>
          <w:rFonts w:cstheme="minorHAnsi"/>
          <w:sz w:val="24"/>
          <w:szCs w:val="24"/>
        </w:rPr>
        <w:t>ε βάση την</w:t>
      </w:r>
      <w:r w:rsidR="00190233" w:rsidRPr="00247D9A">
        <w:rPr>
          <w:rFonts w:cstheme="minorHAnsi"/>
          <w:sz w:val="24"/>
          <w:szCs w:val="24"/>
        </w:rPr>
        <w:t xml:space="preserve"> κλείδα επιμερισμού του πρ/σμού</w:t>
      </w:r>
      <w:r w:rsidRPr="00247D9A">
        <w:rPr>
          <w:rFonts w:cstheme="minorHAnsi"/>
          <w:sz w:val="24"/>
          <w:szCs w:val="24"/>
        </w:rPr>
        <w:t>.</w:t>
      </w:r>
    </w:p>
    <w:p w:rsidR="00D75B27" w:rsidRPr="00247D9A" w:rsidRDefault="00D75B27" w:rsidP="00CD2BB6">
      <w:pPr>
        <w:spacing w:after="0" w:line="360" w:lineRule="auto"/>
        <w:jc w:val="both"/>
        <w:rPr>
          <w:rFonts w:eastAsia="Calibri" w:cstheme="minorHAnsi"/>
          <w:sz w:val="24"/>
          <w:szCs w:val="24"/>
          <w:highlight w:val="yellow"/>
        </w:rPr>
      </w:pPr>
      <w:r w:rsidRPr="00247D9A">
        <w:rPr>
          <w:rFonts w:eastAsia="Calibri" w:cstheme="minorHAnsi"/>
          <w:sz w:val="24"/>
          <w:szCs w:val="24"/>
          <w:highlight w:val="yellow"/>
        </w:rPr>
        <w:t xml:space="preserve">Επισημαίνεται ότι </w:t>
      </w:r>
      <w:r w:rsidR="006C1383">
        <w:rPr>
          <w:rFonts w:eastAsia="Calibri" w:cstheme="minorHAnsi"/>
          <w:sz w:val="24"/>
          <w:szCs w:val="24"/>
          <w:highlight w:val="yellow"/>
        </w:rPr>
        <w:t>λόγω των αλλαγών</w:t>
      </w:r>
      <w:r w:rsidRPr="00247D9A">
        <w:rPr>
          <w:rFonts w:eastAsia="Calibri" w:cstheme="minorHAnsi"/>
          <w:sz w:val="24"/>
          <w:szCs w:val="24"/>
          <w:highlight w:val="yellow"/>
        </w:rPr>
        <w:t xml:space="preserve"> στις κλείδες που προκύπτουν από την προτεινόμενη </w:t>
      </w:r>
      <w:r w:rsidR="00A914DB">
        <w:rPr>
          <w:rFonts w:eastAsia="Calibri" w:cstheme="minorHAnsi"/>
          <w:sz w:val="24"/>
          <w:szCs w:val="24"/>
          <w:highlight w:val="yellow"/>
        </w:rPr>
        <w:t>τροποποίηση/</w:t>
      </w:r>
      <w:r w:rsidRPr="00247D9A">
        <w:rPr>
          <w:rFonts w:eastAsia="Calibri" w:cstheme="minorHAnsi"/>
          <w:sz w:val="24"/>
          <w:szCs w:val="24"/>
          <w:highlight w:val="yellow"/>
        </w:rPr>
        <w:t>αναθεώρηση</w:t>
      </w:r>
      <w:r w:rsidR="006C1383">
        <w:rPr>
          <w:rFonts w:eastAsia="Calibri" w:cstheme="minorHAnsi"/>
          <w:sz w:val="24"/>
          <w:szCs w:val="24"/>
          <w:highlight w:val="yellow"/>
        </w:rPr>
        <w:t xml:space="preserve">, τροποποιούνται οι επιμερισμοί των τιμών των δεικτών στους Άξονες Προτεραιότητας </w:t>
      </w:r>
      <w:r w:rsidR="00A914DB">
        <w:rPr>
          <w:rFonts w:eastAsia="Calibri" w:cstheme="minorHAnsi"/>
          <w:sz w:val="24"/>
          <w:szCs w:val="24"/>
          <w:highlight w:val="yellow"/>
        </w:rPr>
        <w:t>αντίστοιχα</w:t>
      </w:r>
      <w:r w:rsidRPr="00247D9A">
        <w:rPr>
          <w:rFonts w:eastAsia="Calibri" w:cstheme="minorHAnsi"/>
          <w:sz w:val="24"/>
          <w:szCs w:val="24"/>
          <w:highlight w:val="yellow"/>
        </w:rPr>
        <w:t xml:space="preserve"> </w:t>
      </w:r>
      <w:r w:rsidR="00A914DB">
        <w:rPr>
          <w:rFonts w:eastAsia="Calibri" w:cstheme="minorHAnsi"/>
          <w:sz w:val="24"/>
          <w:szCs w:val="24"/>
          <w:highlight w:val="yellow"/>
        </w:rPr>
        <w:t xml:space="preserve">ενώ </w:t>
      </w:r>
      <w:r w:rsidRPr="00247D9A">
        <w:rPr>
          <w:rFonts w:eastAsia="Calibri" w:cstheme="minorHAnsi"/>
          <w:sz w:val="24"/>
          <w:szCs w:val="24"/>
          <w:highlight w:val="yellow"/>
        </w:rPr>
        <w:t>δεν αλλοιώνουν τη στόχευση του Προγράμματος. Επισημαίνεται ότι οι κλείδες αναπτύχθηκαν από τους φορείς σχεδιασμού ως αποτέλεσμα αποτύπωσης χρηματοδοτικών δεδομένων ανά έτος, ΕΠ, Ταμείο και Θεματικό Στόχο με βάση την ανάλυση του σχεδιασμού για έκαστο τομεακό / περιφερειακό πρόγραμμα. Αποτελούν δηλαδή  «εργαλείο» για την κατανομή της χρηματοδότησης και δεν επηρεάζουν τη στόχευση και τη λογική παρέμβασης του Ε.Π. Μ.Δ.Τ., δεδομένου ότι όλα σχεδόν τα έργα έχουν οριζόντιο χαρακτήρα.</w:t>
      </w:r>
    </w:p>
    <w:p w:rsidR="006C1383" w:rsidRDefault="006C1383" w:rsidP="009D3ED1">
      <w:pPr>
        <w:autoSpaceDE w:val="0"/>
        <w:autoSpaceDN w:val="0"/>
        <w:adjustRightInd w:val="0"/>
        <w:spacing w:after="0" w:line="240" w:lineRule="auto"/>
        <w:jc w:val="center"/>
        <w:rPr>
          <w:rFonts w:cstheme="minorHAnsi"/>
          <w:sz w:val="24"/>
          <w:szCs w:val="24"/>
        </w:rPr>
      </w:pPr>
    </w:p>
    <w:p w:rsidR="009D3ED1" w:rsidRPr="00247D9A" w:rsidRDefault="009D3ED1" w:rsidP="009D3ED1">
      <w:pPr>
        <w:autoSpaceDE w:val="0"/>
        <w:autoSpaceDN w:val="0"/>
        <w:adjustRightInd w:val="0"/>
        <w:spacing w:after="0" w:line="240" w:lineRule="auto"/>
        <w:jc w:val="center"/>
        <w:rPr>
          <w:rFonts w:cstheme="minorHAnsi"/>
          <w:b/>
          <w:bCs/>
          <w:sz w:val="28"/>
          <w:szCs w:val="28"/>
        </w:rPr>
      </w:pPr>
      <w:r w:rsidRPr="00247D9A">
        <w:rPr>
          <w:rFonts w:cstheme="minorHAnsi"/>
          <w:b/>
          <w:bCs/>
          <w:sz w:val="28"/>
          <w:szCs w:val="28"/>
        </w:rPr>
        <w:t>Αιτιολόγηση για τη μη συμμετοχή κοινών δεικτών στο πλαίσιο δεικτών του ΕΠΜΔΤ 2014 – 2020</w:t>
      </w:r>
    </w:p>
    <w:p w:rsidR="00A74EC3" w:rsidRPr="00247D9A" w:rsidRDefault="00A74EC3" w:rsidP="009D3ED1">
      <w:pPr>
        <w:autoSpaceDE w:val="0"/>
        <w:autoSpaceDN w:val="0"/>
        <w:adjustRightInd w:val="0"/>
        <w:spacing w:after="0" w:line="240" w:lineRule="auto"/>
        <w:jc w:val="center"/>
        <w:rPr>
          <w:rFonts w:cstheme="minorHAnsi"/>
          <w:b/>
          <w:bCs/>
          <w:sz w:val="28"/>
          <w:szCs w:val="28"/>
        </w:rPr>
      </w:pPr>
    </w:p>
    <w:p w:rsidR="00BA0FFD" w:rsidRPr="00247D9A" w:rsidRDefault="009D3ED1" w:rsidP="00BA0FFD">
      <w:pPr>
        <w:spacing w:after="240"/>
        <w:ind w:left="20" w:right="84"/>
        <w:jc w:val="both"/>
        <w:rPr>
          <w:rFonts w:cstheme="minorHAnsi"/>
          <w:sz w:val="24"/>
          <w:szCs w:val="24"/>
        </w:rPr>
      </w:pPr>
      <w:r w:rsidRPr="00247D9A">
        <w:rPr>
          <w:rFonts w:cstheme="minorHAnsi"/>
          <w:sz w:val="24"/>
          <w:szCs w:val="24"/>
        </w:rPr>
        <w:t>Στο κοινό πλαίσιο δεικτών του ΕΚΤ για την προγραμματική περίοδο 2014-2020 εμπεριέχεται μόλις ένας δείκτης εκροής («Αριθμός έργων που αφορά δημόσια διοίκηση ή δημόσιες υπηρεσίες σε εθνικό περιφερειακό και τοπικό επίπεδο») που αναφέρεται στην ενίσχυση της θεσμικής ικανότητας και καλύπτεται από το Θεματικό Στόχο 11, ενώ δεν εμπεριέχεται κανένας δείκτης αποτελέσματος. Για αυτό το λόγο, η Ευρωπαϊκή Επιτροπή, αναγνωρίζοντας την ανάγκη κατάρτισης ειδικών (program</w:t>
      </w:r>
      <w:r w:rsidR="006C1383">
        <w:rPr>
          <w:rFonts w:cstheme="minorHAnsi"/>
          <w:sz w:val="24"/>
          <w:szCs w:val="24"/>
        </w:rPr>
        <w:t xml:space="preserve"> </w:t>
      </w:r>
      <w:r w:rsidRPr="00247D9A">
        <w:rPr>
          <w:rFonts w:cstheme="minorHAnsi"/>
          <w:sz w:val="24"/>
          <w:szCs w:val="24"/>
        </w:rPr>
        <w:t>specific) δεικτών για τα συγκεκριμένα Επιχειρησιακά Προγράμματα, εξέδωσε ειδικό μεθοδολογικό έγγραφο,</w:t>
      </w:r>
      <w:r w:rsidRPr="006C1383">
        <w:rPr>
          <w:rFonts w:cstheme="minorHAnsi"/>
          <w:sz w:val="24"/>
          <w:szCs w:val="24"/>
          <w:vertAlign w:val="superscript"/>
        </w:rPr>
        <w:footnoteReference w:id="2"/>
      </w:r>
      <w:r w:rsidRPr="00247D9A">
        <w:rPr>
          <w:rFonts w:cstheme="minorHAnsi"/>
          <w:sz w:val="24"/>
          <w:szCs w:val="24"/>
        </w:rPr>
        <w:t xml:space="preserve"> με σκοπό να παράσχει οδηγίες και κατευθύνσεις για τη διαμόρφωση του πλέγματος δεικτών εκροών και αποτελεσμάτων των εν λόγω ΕΠ. </w:t>
      </w:r>
      <w:r w:rsidR="00BA0FFD" w:rsidRPr="00247D9A">
        <w:rPr>
          <w:rFonts w:cstheme="minorHAnsi"/>
          <w:sz w:val="24"/>
          <w:szCs w:val="24"/>
        </w:rPr>
        <w:t>Η διατύπωση του συγκεκριμένου κοινού δείκτη εκροής είναι γενικ</w:t>
      </w:r>
      <w:r w:rsidR="00B5080C" w:rsidRPr="00247D9A">
        <w:rPr>
          <w:rFonts w:cstheme="minorHAnsi"/>
          <w:sz w:val="24"/>
          <w:szCs w:val="24"/>
        </w:rPr>
        <w:t>ή, θα μπορούσε εν δυνάμει να χρησιμοποιηθεί αλλά</w:t>
      </w:r>
      <w:r w:rsidR="006C1383">
        <w:rPr>
          <w:rFonts w:cstheme="minorHAnsi"/>
          <w:sz w:val="24"/>
          <w:szCs w:val="24"/>
        </w:rPr>
        <w:t xml:space="preserve"> </w:t>
      </w:r>
      <w:r w:rsidR="00B5080C" w:rsidRPr="00247D9A">
        <w:rPr>
          <w:rFonts w:cstheme="minorHAnsi"/>
          <w:sz w:val="24"/>
          <w:szCs w:val="24"/>
        </w:rPr>
        <w:t xml:space="preserve">δεδομένου ότι </w:t>
      </w:r>
      <w:r w:rsidR="00BA0FFD" w:rsidRPr="00247D9A">
        <w:rPr>
          <w:rFonts w:cstheme="minorHAnsi"/>
          <w:sz w:val="24"/>
          <w:szCs w:val="24"/>
        </w:rPr>
        <w:t>δεν μπορεί να αποδώσει την επιμέρους εξειδίκευση των παρεμβάσεων που θα χρηματοδοτηθούν από το Πρόγραμμα όπως ενδεικτικά π.χ. έργα  κωδικοποίησης νομοθεσίας, απλοποίηση διαδικασιών, δημιουργία ή αναβάθμισης συστημάτων ΤΠΕ για την υποστήριξη οριζόντιων λειτουργιών των δημόσιων φορέων</w:t>
      </w:r>
      <w:r w:rsidR="00B5080C" w:rsidRPr="00247D9A">
        <w:rPr>
          <w:rFonts w:cstheme="minorHAnsi"/>
          <w:sz w:val="24"/>
          <w:szCs w:val="24"/>
        </w:rPr>
        <w:t>, κρίθηκε αναγκαία η υιοθέτηση ειδικών δεικτών.</w:t>
      </w:r>
    </w:p>
    <w:p w:rsidR="009D3ED1" w:rsidRPr="00247D9A" w:rsidRDefault="009D3ED1" w:rsidP="009D3ED1">
      <w:pPr>
        <w:spacing w:after="240"/>
        <w:ind w:left="20" w:right="84"/>
        <w:jc w:val="both"/>
        <w:rPr>
          <w:rFonts w:cstheme="minorHAnsi"/>
          <w:sz w:val="24"/>
          <w:szCs w:val="24"/>
        </w:rPr>
      </w:pPr>
      <w:r w:rsidRPr="00247D9A">
        <w:rPr>
          <w:rFonts w:cstheme="minorHAnsi"/>
          <w:sz w:val="24"/>
          <w:szCs w:val="24"/>
        </w:rPr>
        <w:t>Σημειώνεται επίσης ότι οι κοινοί δείκτες δε μπορούν να χρησιμοποιηθούν από το ΕΠΜΔΤ για τις δράσεις εκπαίδευσης και κατάρτισης που θα χρηματοδοτήσει, καθότι οι δράσεις αυτές αφορούν μόνο σε δημοσίους υπαλλήλους.</w:t>
      </w:r>
    </w:p>
    <w:p w:rsidR="009D3ED1" w:rsidRPr="00247D9A" w:rsidRDefault="009D3ED1" w:rsidP="009D3ED1">
      <w:pPr>
        <w:spacing w:after="240"/>
        <w:ind w:left="20" w:right="84"/>
        <w:jc w:val="both"/>
        <w:rPr>
          <w:rFonts w:cstheme="minorHAnsi"/>
          <w:sz w:val="24"/>
          <w:szCs w:val="24"/>
        </w:rPr>
      </w:pPr>
      <w:r w:rsidRPr="00247D9A">
        <w:rPr>
          <w:rFonts w:cstheme="minorHAnsi"/>
          <w:sz w:val="24"/>
          <w:szCs w:val="24"/>
        </w:rPr>
        <w:t>Σαν αποτέλεσμα των ανωτέρω, κατά την κατάρτιση του ΕΠΜΔΤ 2014-2020 διαμορφώθηκε το πλαίσιο των δεικτών εκροής και αποτελέσματος βάσει του προαναφερόμενου μεθοδολογικού εγγράφου της Ευρωπαϊκής Επιτροπής, χρησιμοποιώντας εξ ολοκλήρου ειδικούς δείκτες που σχεδιάστηκαν για το συγκεκριμένο ΕΠ.</w:t>
      </w:r>
    </w:p>
    <w:p w:rsidR="00E73650" w:rsidRPr="00247D9A" w:rsidRDefault="00E73650" w:rsidP="00E73650">
      <w:pPr>
        <w:spacing w:after="240"/>
        <w:ind w:left="20" w:right="84"/>
        <w:jc w:val="both"/>
        <w:rPr>
          <w:rFonts w:cstheme="minorHAnsi"/>
          <w:sz w:val="24"/>
          <w:szCs w:val="24"/>
        </w:rPr>
      </w:pPr>
      <w:r w:rsidRPr="00247D9A">
        <w:rPr>
          <w:rFonts w:cstheme="minorHAnsi"/>
          <w:sz w:val="24"/>
          <w:szCs w:val="24"/>
        </w:rPr>
        <w:t>Στη συνέχεια παρατίθεται η τεκμηρίωση γι</w:t>
      </w:r>
      <w:r w:rsidR="009831DD" w:rsidRPr="00247D9A">
        <w:rPr>
          <w:rFonts w:cstheme="minorHAnsi"/>
          <w:sz w:val="24"/>
          <w:szCs w:val="24"/>
        </w:rPr>
        <w:t xml:space="preserve">α την επιλογή των δεικτών του ΕΠΜΔΤ ανά </w:t>
      </w:r>
      <w:r w:rsidR="00574E44" w:rsidRPr="00247D9A">
        <w:rPr>
          <w:rFonts w:cstheme="minorHAnsi"/>
          <w:sz w:val="24"/>
          <w:szCs w:val="24"/>
        </w:rPr>
        <w:t xml:space="preserve">άξονα </w:t>
      </w:r>
      <w:r w:rsidR="00BB7A3D" w:rsidRPr="00247D9A">
        <w:rPr>
          <w:rFonts w:cstheme="minorHAnsi"/>
          <w:sz w:val="24"/>
          <w:szCs w:val="24"/>
        </w:rPr>
        <w:t xml:space="preserve">προτεραιότητας </w:t>
      </w:r>
      <w:r w:rsidR="00574E44" w:rsidRPr="00247D9A">
        <w:rPr>
          <w:rFonts w:cstheme="minorHAnsi"/>
          <w:sz w:val="24"/>
          <w:szCs w:val="24"/>
        </w:rPr>
        <w:t xml:space="preserve">και </w:t>
      </w:r>
      <w:r w:rsidR="009831DD" w:rsidRPr="00247D9A">
        <w:rPr>
          <w:rFonts w:cstheme="minorHAnsi"/>
          <w:sz w:val="24"/>
          <w:szCs w:val="24"/>
        </w:rPr>
        <w:t>ειδικό στόχο</w:t>
      </w:r>
      <w:r w:rsidRPr="00247D9A">
        <w:rPr>
          <w:rFonts w:cstheme="minorHAnsi"/>
          <w:sz w:val="24"/>
          <w:szCs w:val="24"/>
        </w:rPr>
        <w:t>.</w:t>
      </w:r>
      <w:r w:rsidR="00D866B4" w:rsidRPr="00247D9A">
        <w:rPr>
          <w:rFonts w:cstheme="minorHAnsi"/>
          <w:sz w:val="24"/>
          <w:szCs w:val="24"/>
        </w:rPr>
        <w:t xml:space="preserve"> Σημειώνεται ότι η αναφερόμενη στοχοθεσία αφορά στο σύνολο της χώρας.</w:t>
      </w:r>
    </w:p>
    <w:p w:rsidR="0002435B" w:rsidRPr="00247D9A" w:rsidRDefault="0002435B">
      <w:pPr>
        <w:rPr>
          <w:rFonts w:cstheme="minorHAnsi"/>
          <w:b/>
          <w:i/>
          <w:sz w:val="24"/>
          <w:szCs w:val="24"/>
          <w:u w:val="single"/>
        </w:rPr>
      </w:pPr>
      <w:r w:rsidRPr="00247D9A">
        <w:rPr>
          <w:rFonts w:cstheme="minorHAnsi"/>
          <w:b/>
          <w:i/>
          <w:sz w:val="24"/>
          <w:szCs w:val="24"/>
          <w:u w:val="single"/>
        </w:rPr>
        <w:br w:type="page"/>
      </w:r>
    </w:p>
    <w:p w:rsidR="00671B26" w:rsidRPr="00247D9A" w:rsidRDefault="00743FE6" w:rsidP="00743FE6">
      <w:pPr>
        <w:jc w:val="both"/>
        <w:rPr>
          <w:rFonts w:cstheme="minorHAnsi"/>
          <w:b/>
          <w:i/>
          <w:sz w:val="24"/>
          <w:szCs w:val="24"/>
          <w:u w:val="single"/>
        </w:rPr>
      </w:pPr>
      <w:r w:rsidRPr="00247D9A">
        <w:rPr>
          <w:rFonts w:cstheme="minorHAnsi"/>
          <w:b/>
          <w:i/>
          <w:sz w:val="24"/>
          <w:szCs w:val="24"/>
          <w:u w:val="single"/>
        </w:rPr>
        <w:lastRenderedPageBreak/>
        <w:t>Άξονες Προτεραιότητας 1, 2, 3 «Διοικητική και οργανωτική μεταρρύθμιση για την αύξηση της αποδοτικότητας και αποτελεσματικότητας του Δημοσίου Τομέα»</w:t>
      </w:r>
      <w:r w:rsidR="00C037E7" w:rsidRPr="00247D9A">
        <w:rPr>
          <w:rFonts w:cstheme="minorHAnsi"/>
          <w:b/>
          <w:i/>
          <w:sz w:val="24"/>
          <w:szCs w:val="24"/>
          <w:u w:val="single"/>
        </w:rPr>
        <w:t>–</w:t>
      </w:r>
      <w:r w:rsidRPr="00247D9A">
        <w:rPr>
          <w:rFonts w:cstheme="minorHAnsi"/>
          <w:b/>
          <w:i/>
          <w:sz w:val="24"/>
          <w:szCs w:val="24"/>
          <w:u w:val="single"/>
        </w:rPr>
        <w:t xml:space="preserve">Ταμείο </w:t>
      </w:r>
      <w:r w:rsidR="00990571" w:rsidRPr="00247D9A">
        <w:rPr>
          <w:rFonts w:cstheme="minorHAnsi"/>
          <w:b/>
          <w:i/>
          <w:sz w:val="24"/>
          <w:szCs w:val="24"/>
          <w:u w:val="single"/>
        </w:rPr>
        <w:t>ΕΚΤ</w:t>
      </w:r>
    </w:p>
    <w:p w:rsidR="00ED5D5E" w:rsidRPr="00247D9A" w:rsidRDefault="002151F1" w:rsidP="00675BBC">
      <w:pPr>
        <w:jc w:val="both"/>
        <w:rPr>
          <w:rFonts w:cstheme="minorHAnsi"/>
          <w:b/>
          <w:i/>
          <w:sz w:val="24"/>
          <w:szCs w:val="24"/>
          <w:u w:val="single"/>
        </w:rPr>
      </w:pPr>
      <w:r w:rsidRPr="00247D9A">
        <w:rPr>
          <w:rFonts w:cstheme="minorHAnsi"/>
          <w:b/>
          <w:i/>
          <w:sz w:val="24"/>
          <w:szCs w:val="24"/>
          <w:u w:val="single"/>
        </w:rPr>
        <w:t>Ειδικός στόχος 1.1.1: Αύξηση των τομέων δημόσιας δράσης στους οποίους εφαρμόζονται νέα συστήματα και διαδικασίες για την ενίσχυση του επιτελικού χαρακτήρα της δημόσιας διοίκησης</w:t>
      </w:r>
    </w:p>
    <w:p w:rsidR="002B3076" w:rsidRPr="00247D9A" w:rsidRDefault="002B3076" w:rsidP="002B3076">
      <w:pPr>
        <w:jc w:val="both"/>
        <w:rPr>
          <w:rFonts w:cstheme="minorHAnsi"/>
          <w:b/>
          <w:i/>
          <w:sz w:val="24"/>
          <w:szCs w:val="24"/>
          <w:u w:val="single"/>
        </w:rPr>
      </w:pPr>
      <w:r w:rsidRPr="00247D9A">
        <w:rPr>
          <w:rFonts w:cstheme="minorHAnsi"/>
          <w:b/>
          <w:i/>
          <w:sz w:val="24"/>
          <w:szCs w:val="24"/>
          <w:u w:val="single"/>
        </w:rPr>
        <w:t xml:space="preserve">Δείκτες </w:t>
      </w:r>
      <w:r w:rsidR="002151F1" w:rsidRPr="00247D9A">
        <w:rPr>
          <w:rFonts w:cstheme="minorHAnsi"/>
          <w:b/>
          <w:i/>
          <w:sz w:val="24"/>
          <w:szCs w:val="24"/>
          <w:u w:val="single"/>
        </w:rPr>
        <w:t>Αποτελέσματος</w:t>
      </w:r>
    </w:p>
    <w:p w:rsidR="002B3076" w:rsidRPr="00247D9A" w:rsidRDefault="002B3076" w:rsidP="0061180A">
      <w:pPr>
        <w:pStyle w:val="a6"/>
        <w:numPr>
          <w:ilvl w:val="0"/>
          <w:numId w:val="5"/>
        </w:numPr>
        <w:jc w:val="both"/>
        <w:rPr>
          <w:rFonts w:cstheme="minorHAnsi"/>
          <w:b/>
          <w:sz w:val="24"/>
          <w:szCs w:val="24"/>
        </w:rPr>
      </w:pPr>
      <w:r w:rsidRPr="00247D9A">
        <w:rPr>
          <w:rFonts w:cstheme="minorHAnsi"/>
          <w:b/>
          <w:sz w:val="24"/>
          <w:szCs w:val="24"/>
        </w:rPr>
        <w:t xml:space="preserve">Αριθμός </w:t>
      </w:r>
      <w:r w:rsidR="0027300C" w:rsidRPr="00247D9A">
        <w:rPr>
          <w:rFonts w:cstheme="minorHAnsi"/>
          <w:b/>
          <w:sz w:val="24"/>
          <w:szCs w:val="24"/>
        </w:rPr>
        <w:t>τομέων</w:t>
      </w:r>
      <w:r w:rsidRPr="00247D9A">
        <w:rPr>
          <w:rFonts w:cstheme="minorHAnsi"/>
          <w:b/>
          <w:sz w:val="24"/>
          <w:szCs w:val="24"/>
        </w:rPr>
        <w:t xml:space="preserve"> δημόσιας πολιτικής στους οποίους εφαρμόστηκε κωδικοποίηση του ρυθμιστικού περιβάλλοντος, η οποία διατίθεται από το διαδίκτυο</w:t>
      </w:r>
    </w:p>
    <w:p w:rsidR="00CD75AD" w:rsidRPr="00247D9A" w:rsidRDefault="001B7FD1" w:rsidP="0061180A">
      <w:pPr>
        <w:jc w:val="both"/>
        <w:rPr>
          <w:rFonts w:cstheme="minorHAnsi"/>
          <w:sz w:val="24"/>
          <w:szCs w:val="24"/>
        </w:rPr>
      </w:pPr>
      <w:r w:rsidRPr="00247D9A">
        <w:rPr>
          <w:rFonts w:cstheme="minorHAnsi"/>
          <w:sz w:val="24"/>
          <w:szCs w:val="24"/>
        </w:rPr>
        <w:t xml:space="preserve">Πεδίο/Τομέας δημόσιας πολιτικής είναι το πεδίο ευθύνης που διαχειρίζεται μία επιτελική υπηρεσία του κράτους πχ Υπουργείο, Γενική Γραμματεία. </w:t>
      </w:r>
    </w:p>
    <w:p w:rsidR="0061180A" w:rsidRPr="00247D9A" w:rsidRDefault="0061180A" w:rsidP="0061180A">
      <w:pPr>
        <w:jc w:val="both"/>
        <w:rPr>
          <w:rFonts w:cstheme="minorHAnsi"/>
          <w:sz w:val="24"/>
          <w:szCs w:val="24"/>
        </w:rPr>
      </w:pPr>
      <w:r w:rsidRPr="00247D9A">
        <w:rPr>
          <w:rFonts w:cstheme="minorHAnsi"/>
          <w:sz w:val="24"/>
          <w:szCs w:val="24"/>
        </w:rPr>
        <w:t>Παραδείγματα πεδίων/τομέων δημόσιας πολιτικής αποτελούν τα εξής:</w:t>
      </w:r>
    </w:p>
    <w:p w:rsidR="001B7FD1" w:rsidRPr="00247D9A" w:rsidRDefault="0061180A" w:rsidP="0061180A">
      <w:pPr>
        <w:jc w:val="both"/>
        <w:rPr>
          <w:rFonts w:cstheme="minorHAnsi"/>
          <w:sz w:val="24"/>
          <w:szCs w:val="24"/>
        </w:rPr>
      </w:pPr>
      <w:r w:rsidRPr="00247D9A">
        <w:rPr>
          <w:rFonts w:cstheme="minorHAnsi"/>
          <w:sz w:val="24"/>
          <w:szCs w:val="24"/>
        </w:rPr>
        <w:t>Φορολογία-Δημόσια Έσοδα, Διοικητική Μεταρρύθμιση, Ανταγωνιστικότητα-Επιχειρηματικότητα, Περιβάλλον, Ενέργεια, Περιβάλλον, Εργασιακές Σχέσεις-Εργασιακό Περιβάλλον, Αναδιοργάνωση φορέων δημοσίου, Υγεία, Κοινωνική Ασφάλιση, Εθνική Άμυνα, Εξωτερική Πολιτική, Υποδομές-Δίκτυα, Χωροταξικός σχεδιασμός, Περιφερειακή Πολιτική, Παιδεία, Δίκτυα Επικοινωνιών, Μεταφορές, Συγκοινωνίες, Μετανάστευση, Δασική πολιτική, Πολιτική προστασία, Ισότητα Φύλων, Διαχείριση Απορριμμάτων, Ασφάλεια τροφίμων-ποτών, Στατιστικά, Φάρμακα, Δημόσια Τάξη-Προστασία Πολίτη κλπ</w:t>
      </w:r>
      <w:r w:rsidR="00E760B4" w:rsidRPr="00247D9A">
        <w:rPr>
          <w:rFonts w:cstheme="minorHAnsi"/>
          <w:sz w:val="24"/>
          <w:szCs w:val="24"/>
        </w:rPr>
        <w:t>.</w:t>
      </w:r>
    </w:p>
    <w:p w:rsidR="005F4963" w:rsidRPr="00247D9A" w:rsidRDefault="00E760B4" w:rsidP="0061180A">
      <w:pPr>
        <w:jc w:val="both"/>
        <w:rPr>
          <w:rFonts w:cstheme="minorHAnsi"/>
          <w:sz w:val="24"/>
          <w:szCs w:val="24"/>
        </w:rPr>
      </w:pPr>
      <w:r w:rsidRPr="00247D9A">
        <w:rPr>
          <w:rFonts w:cstheme="minorHAnsi"/>
          <w:sz w:val="24"/>
          <w:szCs w:val="24"/>
        </w:rPr>
        <w:t xml:space="preserve">Η τιμή βάσης του δείκτη είναι 3 </w:t>
      </w:r>
      <w:r w:rsidR="001B7FD1" w:rsidRPr="00247D9A">
        <w:rPr>
          <w:rFonts w:cstheme="minorHAnsi"/>
          <w:sz w:val="24"/>
          <w:szCs w:val="24"/>
        </w:rPr>
        <w:t xml:space="preserve">και </w:t>
      </w:r>
      <w:r w:rsidR="0027300C" w:rsidRPr="00247D9A">
        <w:rPr>
          <w:rFonts w:cstheme="minorHAnsi"/>
          <w:sz w:val="24"/>
          <w:szCs w:val="24"/>
        </w:rPr>
        <w:t xml:space="preserve">προκύπτει από την υλοποίηση έργων κωδικοποίησης </w:t>
      </w:r>
      <w:r w:rsidR="001B7FD1" w:rsidRPr="00247D9A">
        <w:rPr>
          <w:rFonts w:cstheme="minorHAnsi"/>
          <w:sz w:val="24"/>
          <w:szCs w:val="24"/>
        </w:rPr>
        <w:t xml:space="preserve">στους </w:t>
      </w:r>
      <w:r w:rsidRPr="00247D9A">
        <w:rPr>
          <w:rFonts w:cstheme="minorHAnsi"/>
          <w:sz w:val="24"/>
          <w:szCs w:val="24"/>
        </w:rPr>
        <w:t xml:space="preserve">τομείς </w:t>
      </w:r>
      <w:r w:rsidR="005D58BE" w:rsidRPr="00247D9A">
        <w:rPr>
          <w:rFonts w:cstheme="minorHAnsi"/>
          <w:sz w:val="24"/>
          <w:szCs w:val="24"/>
        </w:rPr>
        <w:t>ισότητας, κοινωνική</w:t>
      </w:r>
      <w:r w:rsidR="00007337" w:rsidRPr="00247D9A">
        <w:rPr>
          <w:rFonts w:cstheme="minorHAnsi"/>
          <w:sz w:val="24"/>
          <w:szCs w:val="24"/>
        </w:rPr>
        <w:t>ς</w:t>
      </w:r>
      <w:r w:rsidR="005D58BE" w:rsidRPr="00247D9A">
        <w:rPr>
          <w:rFonts w:cstheme="minorHAnsi"/>
          <w:sz w:val="24"/>
          <w:szCs w:val="24"/>
        </w:rPr>
        <w:t xml:space="preserve"> ασφάλιση</w:t>
      </w:r>
      <w:r w:rsidR="00007337" w:rsidRPr="00247D9A">
        <w:rPr>
          <w:rFonts w:cstheme="minorHAnsi"/>
          <w:sz w:val="24"/>
          <w:szCs w:val="24"/>
        </w:rPr>
        <w:t xml:space="preserve">ς </w:t>
      </w:r>
      <w:r w:rsidR="005D58BE" w:rsidRPr="00247D9A">
        <w:rPr>
          <w:rFonts w:cstheme="minorHAnsi"/>
          <w:sz w:val="24"/>
          <w:szCs w:val="24"/>
        </w:rPr>
        <w:t xml:space="preserve">και </w:t>
      </w:r>
      <w:r w:rsidR="001B7FD1" w:rsidRPr="00247D9A">
        <w:rPr>
          <w:rFonts w:cstheme="minorHAnsi"/>
          <w:sz w:val="24"/>
          <w:szCs w:val="24"/>
        </w:rPr>
        <w:t xml:space="preserve">υπαίθριου </w:t>
      </w:r>
      <w:r w:rsidR="005D58BE" w:rsidRPr="00247D9A">
        <w:rPr>
          <w:rFonts w:cstheme="minorHAnsi"/>
          <w:sz w:val="24"/>
          <w:szCs w:val="24"/>
        </w:rPr>
        <w:t>εμπορίου</w:t>
      </w:r>
      <w:r w:rsidR="001B7FD1" w:rsidRPr="00247D9A">
        <w:rPr>
          <w:rFonts w:cstheme="minorHAnsi"/>
          <w:sz w:val="24"/>
          <w:szCs w:val="24"/>
        </w:rPr>
        <w:t xml:space="preserve"> (</w:t>
      </w:r>
      <w:r w:rsidR="0027300C" w:rsidRPr="00247D9A">
        <w:rPr>
          <w:rFonts w:cstheme="minorHAnsi"/>
          <w:sz w:val="24"/>
          <w:szCs w:val="24"/>
        </w:rPr>
        <w:t xml:space="preserve">επισημαίνεται ότι </w:t>
      </w:r>
      <w:r w:rsidR="001B7FD1" w:rsidRPr="00247D9A">
        <w:rPr>
          <w:rFonts w:cstheme="minorHAnsi"/>
          <w:sz w:val="24"/>
          <w:szCs w:val="24"/>
        </w:rPr>
        <w:t xml:space="preserve">τα </w:t>
      </w:r>
      <w:r w:rsidR="00CD75AD" w:rsidRPr="00247D9A">
        <w:rPr>
          <w:rFonts w:cstheme="minorHAnsi"/>
          <w:sz w:val="24"/>
          <w:szCs w:val="24"/>
        </w:rPr>
        <w:t>έργα</w:t>
      </w:r>
      <w:r w:rsidR="001B7FD1" w:rsidRPr="00247D9A">
        <w:rPr>
          <w:rFonts w:cstheme="minorHAnsi"/>
          <w:sz w:val="24"/>
          <w:szCs w:val="24"/>
        </w:rPr>
        <w:t xml:space="preserve"> υλοποιήθηκαν στο </w:t>
      </w:r>
      <w:r w:rsidR="00CD75AD" w:rsidRPr="00247D9A">
        <w:rPr>
          <w:rFonts w:cstheme="minorHAnsi"/>
          <w:sz w:val="24"/>
          <w:szCs w:val="24"/>
        </w:rPr>
        <w:t xml:space="preserve">πλαίσιο του </w:t>
      </w:r>
      <w:r w:rsidR="001B7FD1" w:rsidRPr="00247D9A">
        <w:rPr>
          <w:rFonts w:cstheme="minorHAnsi"/>
          <w:sz w:val="24"/>
          <w:szCs w:val="24"/>
        </w:rPr>
        <w:t>ΕΠΔΜ 2007-2013)</w:t>
      </w:r>
      <w:r w:rsidR="001E1263" w:rsidRPr="00247D9A">
        <w:rPr>
          <w:rFonts w:cstheme="minorHAnsi"/>
          <w:sz w:val="24"/>
          <w:szCs w:val="24"/>
        </w:rPr>
        <w:t xml:space="preserve">. </w:t>
      </w:r>
    </w:p>
    <w:p w:rsidR="00680D53" w:rsidRDefault="001E1263" w:rsidP="0061180A">
      <w:pPr>
        <w:jc w:val="both"/>
        <w:rPr>
          <w:rFonts w:cstheme="minorHAnsi"/>
          <w:sz w:val="24"/>
          <w:szCs w:val="24"/>
        </w:rPr>
      </w:pPr>
      <w:r w:rsidRPr="00247D9A">
        <w:rPr>
          <w:rFonts w:cstheme="minorHAnsi"/>
          <w:sz w:val="24"/>
          <w:szCs w:val="24"/>
        </w:rPr>
        <w:t>Ο δείκτης έχει τιμή</w:t>
      </w:r>
      <w:r w:rsidR="00007337" w:rsidRPr="00247D9A">
        <w:rPr>
          <w:rFonts w:cstheme="minorHAnsi"/>
          <w:sz w:val="24"/>
          <w:szCs w:val="24"/>
        </w:rPr>
        <w:t xml:space="preserve"> στόχο 7</w:t>
      </w:r>
      <w:r w:rsidRPr="00247D9A">
        <w:rPr>
          <w:rFonts w:cstheme="minorHAnsi"/>
          <w:sz w:val="24"/>
          <w:szCs w:val="24"/>
        </w:rPr>
        <w:t xml:space="preserve"> και αντιστοιχεί σε συγκεκριμένους τομείς δημόσιας πολιτικής στους οποίους θα εφαρμοστεί κωδικοποίηση. Ενδεικτικά αναφέρονται οι τομείς της δασικής και περιφερειακής πολιτικής</w:t>
      </w:r>
      <w:r w:rsidR="00E760B4" w:rsidRPr="00247D9A">
        <w:rPr>
          <w:rFonts w:cstheme="minorHAnsi"/>
          <w:sz w:val="24"/>
          <w:szCs w:val="24"/>
        </w:rPr>
        <w:t>.</w:t>
      </w:r>
      <w:r w:rsidR="006C1383">
        <w:rPr>
          <w:rFonts w:cstheme="minorHAnsi"/>
          <w:sz w:val="24"/>
          <w:szCs w:val="24"/>
        </w:rPr>
        <w:t xml:space="preserve"> </w:t>
      </w:r>
      <w:r w:rsidR="00680D53" w:rsidRPr="00247D9A">
        <w:rPr>
          <w:rFonts w:cstheme="minorHAnsi"/>
          <w:sz w:val="24"/>
          <w:szCs w:val="24"/>
        </w:rPr>
        <w:t>Ο συγκεκριμένος δείκτης αποτελέσματος συνδέεται με το δείκτη εκροής «Αριθμός έργων κωδικοποίησης θεσμικού και νομοθετικού πλαισίου»</w:t>
      </w:r>
      <w:r w:rsidR="0027300C" w:rsidRPr="00247D9A">
        <w:rPr>
          <w:rFonts w:cstheme="minorHAnsi"/>
          <w:sz w:val="24"/>
          <w:szCs w:val="24"/>
        </w:rPr>
        <w:t>.</w:t>
      </w:r>
    </w:p>
    <w:p w:rsidR="006C1383" w:rsidRDefault="006C1383" w:rsidP="0061180A">
      <w:pPr>
        <w:jc w:val="both"/>
        <w:rPr>
          <w:rFonts w:cstheme="minorHAnsi"/>
          <w:sz w:val="24"/>
          <w:szCs w:val="24"/>
        </w:rPr>
      </w:pPr>
    </w:p>
    <w:p w:rsidR="00A914DB" w:rsidRDefault="00A914DB" w:rsidP="0061180A">
      <w:pPr>
        <w:jc w:val="both"/>
        <w:rPr>
          <w:rFonts w:cstheme="minorHAnsi"/>
          <w:sz w:val="24"/>
          <w:szCs w:val="24"/>
        </w:rPr>
      </w:pPr>
    </w:p>
    <w:p w:rsidR="00A914DB" w:rsidRPr="00247D9A" w:rsidRDefault="00A914DB" w:rsidP="0061180A">
      <w:pPr>
        <w:jc w:val="both"/>
        <w:rPr>
          <w:rFonts w:cstheme="minorHAnsi"/>
          <w:sz w:val="24"/>
          <w:szCs w:val="24"/>
        </w:rPr>
      </w:pPr>
    </w:p>
    <w:p w:rsidR="002B3076" w:rsidRPr="00247D9A" w:rsidRDefault="002B3076" w:rsidP="0061180A">
      <w:pPr>
        <w:pStyle w:val="a6"/>
        <w:numPr>
          <w:ilvl w:val="0"/>
          <w:numId w:val="5"/>
        </w:numPr>
        <w:jc w:val="both"/>
        <w:rPr>
          <w:rFonts w:cstheme="minorHAnsi"/>
          <w:b/>
          <w:sz w:val="24"/>
          <w:szCs w:val="24"/>
        </w:rPr>
      </w:pPr>
      <w:r w:rsidRPr="00247D9A">
        <w:rPr>
          <w:rFonts w:cstheme="minorHAnsi"/>
          <w:b/>
          <w:sz w:val="24"/>
          <w:szCs w:val="24"/>
        </w:rPr>
        <w:lastRenderedPageBreak/>
        <w:t>Αριθμός επιτελικών λειτουργιών της Δημ</w:t>
      </w:r>
      <w:r w:rsidR="004D45F4" w:rsidRPr="00247D9A">
        <w:rPr>
          <w:rFonts w:cstheme="minorHAnsi"/>
          <w:b/>
          <w:sz w:val="24"/>
          <w:szCs w:val="24"/>
        </w:rPr>
        <w:t>όσιας Διοίκησης που ενισχύονται</w:t>
      </w:r>
    </w:p>
    <w:p w:rsidR="005F4963" w:rsidRPr="00247D9A" w:rsidRDefault="001E1263" w:rsidP="00076227">
      <w:pPr>
        <w:jc w:val="both"/>
        <w:rPr>
          <w:rFonts w:cstheme="minorHAnsi"/>
          <w:sz w:val="24"/>
          <w:szCs w:val="24"/>
        </w:rPr>
      </w:pPr>
      <w:r w:rsidRPr="00247D9A">
        <w:rPr>
          <w:rFonts w:cstheme="minorHAnsi"/>
          <w:sz w:val="24"/>
          <w:szCs w:val="24"/>
        </w:rPr>
        <w:t xml:space="preserve">Η </w:t>
      </w:r>
      <w:r w:rsidR="004D45F4" w:rsidRPr="00247D9A">
        <w:rPr>
          <w:rFonts w:cstheme="minorHAnsi"/>
          <w:sz w:val="24"/>
          <w:szCs w:val="24"/>
        </w:rPr>
        <w:t xml:space="preserve">τιμή βάσης </w:t>
      </w:r>
      <w:r w:rsidRPr="00247D9A">
        <w:rPr>
          <w:rFonts w:cstheme="minorHAnsi"/>
          <w:sz w:val="24"/>
          <w:szCs w:val="24"/>
        </w:rPr>
        <w:t xml:space="preserve">του δείκτη είναι </w:t>
      </w:r>
      <w:r w:rsidR="004D45F4" w:rsidRPr="00247D9A">
        <w:rPr>
          <w:rFonts w:cstheme="minorHAnsi"/>
          <w:sz w:val="24"/>
          <w:szCs w:val="24"/>
        </w:rPr>
        <w:t>2</w:t>
      </w:r>
      <w:r w:rsidR="006C1383">
        <w:rPr>
          <w:rFonts w:cstheme="minorHAnsi"/>
          <w:sz w:val="24"/>
          <w:szCs w:val="24"/>
        </w:rPr>
        <w:t xml:space="preserve"> </w:t>
      </w:r>
      <w:r w:rsidRPr="00247D9A">
        <w:rPr>
          <w:rFonts w:cstheme="minorHAnsi"/>
          <w:sz w:val="24"/>
          <w:szCs w:val="24"/>
        </w:rPr>
        <w:t>και αφορά στην ενίσχυση των επιτελικών λειτουργιών:α) οργάνωση των δομών των 18 υπουργείων μέσω της εκπόνησης των νέων οργανισμών τους, β) λειτουργία της Ενιαίας Αρχής Πληρωμής</w:t>
      </w:r>
      <w:r w:rsidR="005432F9" w:rsidRPr="00247D9A">
        <w:rPr>
          <w:rFonts w:cstheme="minorHAnsi"/>
          <w:sz w:val="24"/>
          <w:szCs w:val="24"/>
        </w:rPr>
        <w:t>.</w:t>
      </w:r>
    </w:p>
    <w:p w:rsidR="004D45F4" w:rsidRPr="00247D9A" w:rsidRDefault="001E1263" w:rsidP="00076227">
      <w:pPr>
        <w:jc w:val="both"/>
        <w:rPr>
          <w:rFonts w:cstheme="minorHAnsi"/>
          <w:sz w:val="24"/>
          <w:szCs w:val="24"/>
        </w:rPr>
      </w:pPr>
      <w:r w:rsidRPr="00247D9A">
        <w:rPr>
          <w:rFonts w:cstheme="minorHAnsi"/>
          <w:sz w:val="24"/>
          <w:szCs w:val="24"/>
        </w:rPr>
        <w:t>Η τιμή στόχος για το έτος 2023 του δείκτη είναι 8</w:t>
      </w:r>
      <w:r w:rsidR="006C1383">
        <w:rPr>
          <w:rFonts w:cstheme="minorHAnsi"/>
          <w:sz w:val="24"/>
          <w:szCs w:val="24"/>
        </w:rPr>
        <w:t xml:space="preserve"> </w:t>
      </w:r>
      <w:r w:rsidRPr="00247D9A">
        <w:rPr>
          <w:rFonts w:cstheme="minorHAnsi"/>
          <w:sz w:val="24"/>
          <w:szCs w:val="24"/>
        </w:rPr>
        <w:t xml:space="preserve">και προκύπτει από την ενίσχυση επιτελικών λειτουργιών της </w:t>
      </w:r>
      <w:r w:rsidR="00076227" w:rsidRPr="00247D9A">
        <w:rPr>
          <w:rFonts w:cstheme="minorHAnsi"/>
          <w:sz w:val="24"/>
          <w:szCs w:val="24"/>
        </w:rPr>
        <w:t>ΔΔ. Ε</w:t>
      </w:r>
      <w:r w:rsidRPr="00247D9A">
        <w:rPr>
          <w:rFonts w:cstheme="minorHAnsi"/>
          <w:sz w:val="24"/>
          <w:szCs w:val="24"/>
        </w:rPr>
        <w:t>νδεικτικά</w:t>
      </w:r>
      <w:r w:rsidR="006C1383">
        <w:rPr>
          <w:rFonts w:cstheme="minorHAnsi"/>
          <w:sz w:val="24"/>
          <w:szCs w:val="24"/>
        </w:rPr>
        <w:t xml:space="preserve"> </w:t>
      </w:r>
      <w:r w:rsidR="00076227" w:rsidRPr="00247D9A">
        <w:rPr>
          <w:rFonts w:cstheme="minorHAnsi"/>
          <w:sz w:val="24"/>
          <w:szCs w:val="24"/>
        </w:rPr>
        <w:t xml:space="preserve">αναφέρονται ο στρατηγικός προγραμματισμός, η καλή νομοθέτηση και η ηλεκτρονική διακυβέρνηση. </w:t>
      </w:r>
      <w:r w:rsidR="0053470F" w:rsidRPr="00247D9A">
        <w:rPr>
          <w:rFonts w:cstheme="minorHAnsi"/>
          <w:sz w:val="24"/>
          <w:szCs w:val="24"/>
        </w:rPr>
        <w:t>Ο συγκεκριμένος δείκτης</w:t>
      </w:r>
      <w:r w:rsidR="00680D53" w:rsidRPr="00247D9A">
        <w:rPr>
          <w:rFonts w:cstheme="minorHAnsi"/>
          <w:sz w:val="24"/>
          <w:szCs w:val="24"/>
        </w:rPr>
        <w:t xml:space="preserve"> αποτελέσματος</w:t>
      </w:r>
      <w:r w:rsidR="0053470F" w:rsidRPr="00247D9A">
        <w:rPr>
          <w:rFonts w:cstheme="minorHAnsi"/>
          <w:sz w:val="24"/>
          <w:szCs w:val="24"/>
        </w:rPr>
        <w:t xml:space="preserve"> συνδέεται με </w:t>
      </w:r>
      <w:r w:rsidR="00F07295" w:rsidRPr="00247D9A">
        <w:rPr>
          <w:rFonts w:cstheme="minorHAnsi"/>
          <w:sz w:val="24"/>
          <w:szCs w:val="24"/>
        </w:rPr>
        <w:t>τους δείκτες εκροής</w:t>
      </w:r>
      <w:r w:rsidR="0053470F" w:rsidRPr="00247D9A">
        <w:rPr>
          <w:rFonts w:cstheme="minorHAnsi"/>
          <w:sz w:val="24"/>
          <w:szCs w:val="24"/>
        </w:rPr>
        <w:t xml:space="preserve"> «Αριθμός έργων ενίσχυσης επιτελικών λειτουργιών της Δημόσιας Διοίκησης, περιλαμβανομένων μηχανισμών και συστημάτων παρακολούθησης εφαρμογής δημόσιων πολιτικών»</w:t>
      </w:r>
      <w:r w:rsidR="00F07295" w:rsidRPr="00247D9A">
        <w:rPr>
          <w:rFonts w:cstheme="minorHAnsi"/>
          <w:sz w:val="24"/>
          <w:szCs w:val="24"/>
        </w:rPr>
        <w:t xml:space="preserve"> και «Αριθμός έργων δημιουργίας Παρατηρητηρίου για την Περιφερειακή διοίκηση και την Τοπική Αυτοδιοίκηση».</w:t>
      </w:r>
    </w:p>
    <w:p w:rsidR="00680D53" w:rsidRPr="00247D9A" w:rsidRDefault="002B3076" w:rsidP="005265A1">
      <w:pPr>
        <w:pStyle w:val="a6"/>
        <w:numPr>
          <w:ilvl w:val="0"/>
          <w:numId w:val="5"/>
        </w:numPr>
        <w:jc w:val="both"/>
        <w:rPr>
          <w:rFonts w:cstheme="minorHAnsi"/>
          <w:b/>
          <w:sz w:val="24"/>
          <w:szCs w:val="24"/>
        </w:rPr>
      </w:pPr>
      <w:r w:rsidRPr="00247D9A">
        <w:rPr>
          <w:rFonts w:cstheme="minorHAnsi"/>
          <w:b/>
          <w:sz w:val="24"/>
          <w:szCs w:val="24"/>
        </w:rPr>
        <w:t>Αριθμός λειτουργικών περιοχών στις οποίες εφαρμόζεται επαναοριοθέτηση αρμοδιοτήτων μεταξύ των τεσσάρων επιπέδων διοίκησης</w:t>
      </w:r>
    </w:p>
    <w:p w:rsidR="005F4963" w:rsidRPr="00247D9A" w:rsidRDefault="008F159C" w:rsidP="00680D53">
      <w:pPr>
        <w:jc w:val="both"/>
        <w:rPr>
          <w:rFonts w:cstheme="minorHAnsi"/>
          <w:sz w:val="24"/>
          <w:szCs w:val="24"/>
        </w:rPr>
      </w:pPr>
      <w:r w:rsidRPr="00247D9A">
        <w:rPr>
          <w:rFonts w:cstheme="minorHAnsi"/>
          <w:sz w:val="24"/>
          <w:szCs w:val="24"/>
        </w:rPr>
        <w:t>Η τιμή βάσης</w:t>
      </w:r>
      <w:r w:rsidR="00076227" w:rsidRPr="00247D9A">
        <w:rPr>
          <w:rFonts w:cstheme="minorHAnsi"/>
          <w:sz w:val="24"/>
          <w:szCs w:val="24"/>
        </w:rPr>
        <w:t xml:space="preserve"> του δείκτη είναι 3 και</w:t>
      </w:r>
      <w:r w:rsidR="006C1383">
        <w:rPr>
          <w:rFonts w:cstheme="minorHAnsi"/>
          <w:sz w:val="24"/>
          <w:szCs w:val="24"/>
        </w:rPr>
        <w:t xml:space="preserve"> </w:t>
      </w:r>
      <w:r w:rsidR="00076227" w:rsidRPr="00247D9A">
        <w:rPr>
          <w:rFonts w:cstheme="minorHAnsi"/>
          <w:sz w:val="24"/>
          <w:szCs w:val="24"/>
        </w:rPr>
        <w:t>προκύπτει από τη</w:t>
      </w:r>
      <w:r w:rsidRPr="00247D9A">
        <w:rPr>
          <w:rFonts w:cstheme="minorHAnsi"/>
          <w:sz w:val="24"/>
          <w:szCs w:val="24"/>
        </w:rPr>
        <w:t>ν ε</w:t>
      </w:r>
      <w:r w:rsidR="00076227" w:rsidRPr="00247D9A">
        <w:rPr>
          <w:rFonts w:cstheme="minorHAnsi"/>
          <w:sz w:val="24"/>
          <w:szCs w:val="24"/>
        </w:rPr>
        <w:t xml:space="preserve">παναοριοθέτηση αρμοδιοτήτων στο πλαίσιο του </w:t>
      </w:r>
      <w:r w:rsidRPr="00247D9A">
        <w:rPr>
          <w:rFonts w:cstheme="minorHAnsi"/>
          <w:sz w:val="24"/>
          <w:szCs w:val="24"/>
        </w:rPr>
        <w:t xml:space="preserve">Ν.3852/2010 (ΦΕΚ Α' 87/07-06-2010) – «ΠΡΟΓΡΑΜΜΑ ΚΑΛΛΙΚΡΑΤΗΣ» </w:t>
      </w:r>
      <w:r w:rsidR="00076227" w:rsidRPr="00247D9A">
        <w:rPr>
          <w:rFonts w:cstheme="minorHAnsi"/>
          <w:sz w:val="24"/>
          <w:szCs w:val="24"/>
        </w:rPr>
        <w:t>για τις</w:t>
      </w:r>
      <w:r w:rsidRPr="00247D9A">
        <w:rPr>
          <w:rFonts w:cstheme="minorHAnsi"/>
          <w:sz w:val="24"/>
          <w:szCs w:val="24"/>
        </w:rPr>
        <w:t xml:space="preserve"> λειτουργικές περιοχές αδειοδότηση επαγγελματικής και επιχειρηματικής δραστηριότητας, </w:t>
      </w:r>
      <w:r w:rsidR="00076227" w:rsidRPr="00247D9A">
        <w:rPr>
          <w:rFonts w:cstheme="minorHAnsi"/>
          <w:sz w:val="24"/>
          <w:szCs w:val="24"/>
        </w:rPr>
        <w:t>αναπτυξιακή πολιτική</w:t>
      </w:r>
      <w:r w:rsidRPr="00247D9A">
        <w:rPr>
          <w:rFonts w:cstheme="minorHAnsi"/>
          <w:sz w:val="24"/>
          <w:szCs w:val="24"/>
        </w:rPr>
        <w:t xml:space="preserve"> και διαχείριση στερεών και υγρών αποβλήτων</w:t>
      </w:r>
      <w:r w:rsidR="00076227" w:rsidRPr="00247D9A">
        <w:rPr>
          <w:rFonts w:cstheme="minorHAnsi"/>
          <w:sz w:val="24"/>
          <w:szCs w:val="24"/>
        </w:rPr>
        <w:t xml:space="preserve"> μεταξύ των επιπέδων αποκεντρωμένης διοίκησης και τοπικής αυτοδιοίκησης α΄ και β΄ βαθμού</w:t>
      </w:r>
      <w:r w:rsidR="004C2D87" w:rsidRPr="00247D9A">
        <w:rPr>
          <w:rFonts w:cstheme="minorHAnsi"/>
          <w:sz w:val="24"/>
          <w:szCs w:val="24"/>
        </w:rPr>
        <w:t>.</w:t>
      </w:r>
    </w:p>
    <w:p w:rsidR="002151F1" w:rsidRPr="00247D9A" w:rsidRDefault="00076227" w:rsidP="00680D53">
      <w:pPr>
        <w:jc w:val="both"/>
        <w:rPr>
          <w:rFonts w:cstheme="minorHAnsi"/>
          <w:sz w:val="24"/>
          <w:szCs w:val="24"/>
        </w:rPr>
      </w:pPr>
      <w:r w:rsidRPr="00247D9A">
        <w:rPr>
          <w:rFonts w:cstheme="minorHAnsi"/>
          <w:sz w:val="24"/>
          <w:szCs w:val="24"/>
        </w:rPr>
        <w:t>Η τιμή στόχος για το έτος 2023 του δείκτη είναι 7</w:t>
      </w:r>
      <w:r w:rsidR="00DC5E1D" w:rsidRPr="00247D9A">
        <w:rPr>
          <w:rFonts w:cstheme="minorHAnsi"/>
          <w:sz w:val="24"/>
          <w:szCs w:val="24"/>
        </w:rPr>
        <w:t xml:space="preserve"> και αφορά την επαναοριοθέτηση αρμοδιοτήτων σε 6 λειτουργικές περιοχές χωρίς να αποκλείεται η εκ νέου ανακατανομή αρμοδιοτήτων σε λειτουργικές περιοχές που έχουν ήδη τύχει αντικείμενο παρέμβασης (συμπεριλαμβάνονται στην τιμή βάσης). </w:t>
      </w:r>
      <w:r w:rsidR="005265A1" w:rsidRPr="00247D9A">
        <w:rPr>
          <w:rFonts w:cstheme="minorHAnsi"/>
          <w:sz w:val="24"/>
          <w:szCs w:val="24"/>
        </w:rPr>
        <w:t xml:space="preserve">Ο συγκεκριμένος δείκτης </w:t>
      </w:r>
      <w:r w:rsidR="00680D53" w:rsidRPr="00247D9A">
        <w:rPr>
          <w:rFonts w:cstheme="minorHAnsi"/>
          <w:sz w:val="24"/>
          <w:szCs w:val="24"/>
        </w:rPr>
        <w:t xml:space="preserve">αποτελέσματος </w:t>
      </w:r>
      <w:r w:rsidR="005265A1" w:rsidRPr="00247D9A">
        <w:rPr>
          <w:rFonts w:cstheme="minorHAnsi"/>
          <w:sz w:val="24"/>
          <w:szCs w:val="24"/>
        </w:rPr>
        <w:t>συνδέεται με το δείκτη εκροής «Αριθμός έργων επαναοριοθέτησης αρμοδιοτήτων των τεσσάρων επιπέδων διοίκησης»</w:t>
      </w:r>
      <w:r w:rsidR="00DC5E1D" w:rsidRPr="00247D9A">
        <w:rPr>
          <w:rFonts w:cstheme="minorHAnsi"/>
          <w:sz w:val="24"/>
          <w:szCs w:val="24"/>
        </w:rPr>
        <w:t>.</w:t>
      </w:r>
    </w:p>
    <w:p w:rsidR="00B5585E" w:rsidRPr="00247D9A" w:rsidRDefault="00B5585E" w:rsidP="00B5585E">
      <w:pPr>
        <w:jc w:val="both"/>
        <w:rPr>
          <w:rFonts w:cstheme="minorHAnsi"/>
          <w:b/>
          <w:i/>
          <w:sz w:val="24"/>
          <w:szCs w:val="24"/>
          <w:u w:val="single"/>
        </w:rPr>
      </w:pPr>
      <w:r w:rsidRPr="00247D9A">
        <w:rPr>
          <w:rFonts w:cstheme="minorHAnsi"/>
          <w:b/>
          <w:i/>
          <w:sz w:val="24"/>
          <w:szCs w:val="24"/>
          <w:u w:val="single"/>
        </w:rPr>
        <w:t>Δείκτες εκροής</w:t>
      </w:r>
    </w:p>
    <w:p w:rsidR="00B5585E" w:rsidRPr="00247D9A" w:rsidRDefault="00B5585E" w:rsidP="00B5585E">
      <w:pPr>
        <w:pStyle w:val="a6"/>
        <w:numPr>
          <w:ilvl w:val="0"/>
          <w:numId w:val="1"/>
        </w:numPr>
        <w:jc w:val="both"/>
        <w:rPr>
          <w:rFonts w:cstheme="minorHAnsi"/>
          <w:b/>
          <w:sz w:val="24"/>
          <w:szCs w:val="24"/>
        </w:rPr>
      </w:pPr>
      <w:r w:rsidRPr="00247D9A">
        <w:rPr>
          <w:rFonts w:cstheme="minorHAnsi"/>
          <w:b/>
          <w:sz w:val="24"/>
          <w:szCs w:val="24"/>
        </w:rPr>
        <w:t>Αριθμός έργων επαναοριοθέτησης αρμοδιοτήτων των τεσσάρων επιπέδων διοίκησης</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εκροής είναι 6 με μέσο κόστος υλοποίησης,</w:t>
      </w:r>
      <w:r w:rsidR="006C1383">
        <w:rPr>
          <w:rFonts w:cstheme="minorHAnsi"/>
          <w:sz w:val="24"/>
          <w:szCs w:val="24"/>
        </w:rPr>
        <w:t xml:space="preserve"> </w:t>
      </w:r>
      <w:r w:rsidRPr="00247D9A">
        <w:rPr>
          <w:rFonts w:cstheme="minorHAnsi"/>
          <w:sz w:val="24"/>
          <w:szCs w:val="24"/>
        </w:rPr>
        <w:t>250.000€ ανά έργο.</w:t>
      </w:r>
    </w:p>
    <w:p w:rsidR="00B5585E" w:rsidRPr="00247D9A" w:rsidRDefault="00B5585E" w:rsidP="00B5585E">
      <w:pPr>
        <w:spacing w:after="120"/>
        <w:jc w:val="both"/>
        <w:rPr>
          <w:rFonts w:cstheme="minorHAnsi"/>
          <w:sz w:val="24"/>
          <w:szCs w:val="24"/>
        </w:rPr>
      </w:pPr>
      <w:r w:rsidRPr="00247D9A">
        <w:rPr>
          <w:rFonts w:cstheme="minorHAnsi"/>
          <w:sz w:val="24"/>
          <w:szCs w:val="24"/>
        </w:rPr>
        <w:t xml:space="preserve">Η μεθοδολογία για την επαναοριοθέτηση των αρμοδιοτήτων κατά λειτουργική περιοχή, είναι η ακόλουθη: </w:t>
      </w:r>
    </w:p>
    <w:p w:rsidR="00B5585E" w:rsidRPr="00247D9A" w:rsidRDefault="00B5585E" w:rsidP="007B3067">
      <w:pPr>
        <w:pStyle w:val="a6"/>
        <w:numPr>
          <w:ilvl w:val="0"/>
          <w:numId w:val="16"/>
        </w:numPr>
        <w:spacing w:after="120"/>
        <w:jc w:val="both"/>
        <w:rPr>
          <w:rFonts w:cstheme="minorHAnsi"/>
          <w:sz w:val="24"/>
          <w:szCs w:val="24"/>
        </w:rPr>
      </w:pPr>
      <w:r w:rsidRPr="00247D9A">
        <w:rPr>
          <w:rFonts w:cstheme="minorHAnsi"/>
          <w:sz w:val="24"/>
          <w:szCs w:val="24"/>
        </w:rPr>
        <w:lastRenderedPageBreak/>
        <w:t>Αξιολόγηση της σημερινής κατανομής των αρμοδιοτήτων στα τέσσερα επίπεδα της Δημόσιας Διοίκησης (Κεντρική Διοίκηση, Αποκεντρωμένες Διοικήσεις, Περιφέρειες και Δήμοι) και των μεταξύ τους σχέσεων κατά την άσκηση των αρμοδιοτήτων αυτών, ιδιαίτερα όταν αυτές είναι «συντρέχουσες»</w:t>
      </w:r>
      <w:r w:rsidR="006C1383">
        <w:rPr>
          <w:rFonts w:cstheme="minorHAnsi"/>
          <w:sz w:val="24"/>
          <w:szCs w:val="24"/>
        </w:rPr>
        <w:t>,</w:t>
      </w:r>
    </w:p>
    <w:p w:rsidR="00B5585E" w:rsidRPr="00247D9A" w:rsidRDefault="00B5585E" w:rsidP="007B3067">
      <w:pPr>
        <w:pStyle w:val="a6"/>
        <w:numPr>
          <w:ilvl w:val="0"/>
          <w:numId w:val="16"/>
        </w:numPr>
        <w:spacing w:after="120"/>
        <w:jc w:val="both"/>
        <w:rPr>
          <w:rFonts w:cstheme="minorHAnsi"/>
          <w:sz w:val="24"/>
          <w:szCs w:val="24"/>
        </w:rPr>
      </w:pPr>
      <w:r w:rsidRPr="00247D9A">
        <w:rPr>
          <w:rFonts w:cstheme="minorHAnsi"/>
          <w:sz w:val="24"/>
          <w:szCs w:val="24"/>
        </w:rPr>
        <w:t>Προτάσεις βελτίωσης του σχετικού κανονιστικού πλαισίου, προκειμένου να επιτυγχάνονται οι αρχές και στόχοι της αποτελεσματικότητας, της επικουρικότητας, της  ποιότητας, της προσβασιμότητας και καθολικότητας των υπηρεσιών προς τους πολίτες</w:t>
      </w:r>
      <w:r w:rsidR="006C1383">
        <w:rPr>
          <w:rFonts w:cstheme="minorHAnsi"/>
          <w:sz w:val="24"/>
          <w:szCs w:val="24"/>
        </w:rPr>
        <w:t>,</w:t>
      </w:r>
    </w:p>
    <w:p w:rsidR="00B5585E" w:rsidRPr="00247D9A" w:rsidRDefault="00B5585E" w:rsidP="007B3067">
      <w:pPr>
        <w:pStyle w:val="a6"/>
        <w:numPr>
          <w:ilvl w:val="0"/>
          <w:numId w:val="16"/>
        </w:numPr>
        <w:spacing w:after="120"/>
        <w:jc w:val="both"/>
        <w:rPr>
          <w:rFonts w:cstheme="minorHAnsi"/>
          <w:sz w:val="24"/>
          <w:szCs w:val="24"/>
        </w:rPr>
      </w:pPr>
      <w:r w:rsidRPr="00247D9A">
        <w:rPr>
          <w:rFonts w:cstheme="minorHAnsi"/>
          <w:sz w:val="24"/>
          <w:szCs w:val="24"/>
        </w:rPr>
        <w:t xml:space="preserve">Προσδιορισμός των προϋποθέσεων και των όρων για την εφαρμογή του νέου κανονιστικού πλαισίου και ιδιαίτερα των αναγκαίων υλικών και άυλων πόρων, περιλαμβανομένων των δομών, των λειτουργιών και των σχέσεων των αντίστοιχων Δημοσίων φορέων, καθώς και της διαλειτουργικότητας των συστημάτων </w:t>
      </w:r>
      <w:r w:rsidR="006C1383">
        <w:rPr>
          <w:rFonts w:cstheme="minorHAnsi"/>
          <w:sz w:val="24"/>
          <w:szCs w:val="24"/>
        </w:rPr>
        <w:t>τους,</w:t>
      </w:r>
    </w:p>
    <w:p w:rsidR="00B5585E" w:rsidRPr="00247D9A" w:rsidRDefault="00B5585E" w:rsidP="007B3067">
      <w:pPr>
        <w:pStyle w:val="a6"/>
        <w:numPr>
          <w:ilvl w:val="0"/>
          <w:numId w:val="16"/>
        </w:numPr>
        <w:spacing w:after="120"/>
        <w:jc w:val="both"/>
        <w:rPr>
          <w:rFonts w:cstheme="minorHAnsi"/>
          <w:sz w:val="24"/>
          <w:szCs w:val="24"/>
        </w:rPr>
      </w:pPr>
      <w:r w:rsidRPr="00247D9A">
        <w:rPr>
          <w:rFonts w:cstheme="minorHAnsi"/>
          <w:sz w:val="24"/>
          <w:szCs w:val="24"/>
        </w:rPr>
        <w:t>Εφαρμογή του κανονιστικού πλαισίου για την υλοποίηση των προτεινομένων αλλαγών και βελτιώσεων</w:t>
      </w:r>
      <w:r w:rsidR="006C1383">
        <w:rPr>
          <w:rFonts w:cstheme="minorHAnsi"/>
          <w:sz w:val="24"/>
          <w:szCs w:val="24"/>
        </w:rPr>
        <w:t>.</w:t>
      </w:r>
    </w:p>
    <w:p w:rsidR="00B5585E" w:rsidRPr="00247D9A" w:rsidRDefault="00B5585E" w:rsidP="00B5585E">
      <w:pPr>
        <w:jc w:val="both"/>
        <w:rPr>
          <w:rFonts w:cstheme="minorHAnsi"/>
          <w:sz w:val="24"/>
          <w:szCs w:val="24"/>
        </w:rPr>
      </w:pPr>
      <w:r w:rsidRPr="00247D9A">
        <w:rPr>
          <w:rFonts w:cstheme="minorHAnsi"/>
          <w:sz w:val="24"/>
          <w:szCs w:val="24"/>
        </w:rPr>
        <w:t xml:space="preserve">Η επαναοριοθέτηση των αρμοδιοτήτων θα πραγματοποιηθεί οριζόντια ανά λειτουργική περιοχή και κάθετα στα 4 επίπεδα διοίκησης (Κεντρική Διοίκηση, Αποκεντρωμένη Διοίκηση, Τοπική Αυτοδιοίκηση α΄ και β΄ βαθμού). Ενδεικτικά αναφέρονται 6 κρίσιμες λειτουργικές περιοχές: </w:t>
      </w:r>
    </w:p>
    <w:p w:rsidR="00B5585E" w:rsidRPr="00247D9A" w:rsidRDefault="00B5585E" w:rsidP="00B5585E">
      <w:pPr>
        <w:pStyle w:val="a6"/>
        <w:numPr>
          <w:ilvl w:val="0"/>
          <w:numId w:val="2"/>
        </w:numPr>
        <w:jc w:val="both"/>
        <w:rPr>
          <w:rFonts w:cstheme="minorHAnsi"/>
          <w:sz w:val="24"/>
          <w:szCs w:val="24"/>
        </w:rPr>
      </w:pPr>
      <w:r w:rsidRPr="00247D9A">
        <w:rPr>
          <w:rFonts w:cstheme="minorHAnsi"/>
          <w:sz w:val="24"/>
          <w:szCs w:val="24"/>
        </w:rPr>
        <w:t>Αδειοδότηση επαγγελματικής και επιχειρηματικής δραστηριότητας</w:t>
      </w:r>
    </w:p>
    <w:p w:rsidR="00B5585E" w:rsidRPr="00247D9A" w:rsidRDefault="00B5585E" w:rsidP="00B5585E">
      <w:pPr>
        <w:pStyle w:val="a6"/>
        <w:numPr>
          <w:ilvl w:val="0"/>
          <w:numId w:val="2"/>
        </w:numPr>
        <w:jc w:val="both"/>
        <w:rPr>
          <w:rFonts w:cstheme="minorHAnsi"/>
          <w:sz w:val="24"/>
          <w:szCs w:val="24"/>
        </w:rPr>
      </w:pPr>
      <w:r w:rsidRPr="00247D9A">
        <w:rPr>
          <w:rFonts w:cstheme="minorHAnsi"/>
          <w:sz w:val="24"/>
          <w:szCs w:val="24"/>
        </w:rPr>
        <w:t>Αδειοδότηση των έργων και επενδύσεων περιφερειακής και τοπικής σημασίας</w:t>
      </w:r>
    </w:p>
    <w:p w:rsidR="00B5585E" w:rsidRPr="00247D9A" w:rsidRDefault="00B5585E" w:rsidP="00B5585E">
      <w:pPr>
        <w:pStyle w:val="a6"/>
        <w:numPr>
          <w:ilvl w:val="0"/>
          <w:numId w:val="2"/>
        </w:numPr>
        <w:jc w:val="both"/>
        <w:rPr>
          <w:rFonts w:cstheme="minorHAnsi"/>
          <w:sz w:val="24"/>
          <w:szCs w:val="24"/>
        </w:rPr>
      </w:pPr>
      <w:r w:rsidRPr="00247D9A">
        <w:rPr>
          <w:rFonts w:cstheme="minorHAnsi"/>
          <w:sz w:val="24"/>
          <w:szCs w:val="24"/>
        </w:rPr>
        <w:t>Διαχείριση των υδάτων</w:t>
      </w:r>
    </w:p>
    <w:p w:rsidR="00B5585E" w:rsidRPr="00247D9A" w:rsidRDefault="00B5585E" w:rsidP="00B5585E">
      <w:pPr>
        <w:pStyle w:val="a6"/>
        <w:numPr>
          <w:ilvl w:val="0"/>
          <w:numId w:val="2"/>
        </w:numPr>
        <w:jc w:val="both"/>
        <w:rPr>
          <w:rFonts w:cstheme="minorHAnsi"/>
          <w:sz w:val="24"/>
          <w:szCs w:val="24"/>
        </w:rPr>
      </w:pPr>
      <w:r w:rsidRPr="00247D9A">
        <w:rPr>
          <w:rFonts w:cstheme="minorHAnsi"/>
          <w:sz w:val="24"/>
          <w:szCs w:val="24"/>
        </w:rPr>
        <w:t>Διαχείριση των στερεών και των υγρών αποβλήτων</w:t>
      </w:r>
    </w:p>
    <w:p w:rsidR="00B5585E" w:rsidRPr="00247D9A" w:rsidRDefault="00B5585E" w:rsidP="00B5585E">
      <w:pPr>
        <w:pStyle w:val="a6"/>
        <w:numPr>
          <w:ilvl w:val="0"/>
          <w:numId w:val="2"/>
        </w:numPr>
        <w:jc w:val="both"/>
        <w:rPr>
          <w:rFonts w:cstheme="minorHAnsi"/>
          <w:sz w:val="24"/>
          <w:szCs w:val="24"/>
        </w:rPr>
      </w:pPr>
      <w:r w:rsidRPr="00247D9A">
        <w:rPr>
          <w:rFonts w:cstheme="minorHAnsi"/>
          <w:sz w:val="24"/>
          <w:szCs w:val="24"/>
        </w:rPr>
        <w:t xml:space="preserve">Διαχείριση των κινδύνων από φυσικές και τεχνολογικές καταστροφές – Πολιτική προστασία </w:t>
      </w:r>
    </w:p>
    <w:p w:rsidR="00B5585E" w:rsidRPr="00247D9A" w:rsidRDefault="00B5585E" w:rsidP="00B5585E">
      <w:pPr>
        <w:pStyle w:val="a6"/>
        <w:numPr>
          <w:ilvl w:val="0"/>
          <w:numId w:val="2"/>
        </w:numPr>
        <w:jc w:val="both"/>
        <w:rPr>
          <w:rFonts w:cstheme="minorHAnsi"/>
          <w:sz w:val="24"/>
          <w:szCs w:val="24"/>
        </w:rPr>
      </w:pPr>
      <w:r w:rsidRPr="00247D9A">
        <w:rPr>
          <w:rFonts w:cstheme="minorHAnsi"/>
          <w:sz w:val="24"/>
          <w:szCs w:val="24"/>
        </w:rPr>
        <w:t>Προώθηση του τουρισμού</w:t>
      </w:r>
    </w:p>
    <w:p w:rsidR="00B5585E" w:rsidRPr="00247D9A" w:rsidRDefault="00B5585E" w:rsidP="00B5585E">
      <w:pPr>
        <w:pStyle w:val="a6"/>
        <w:jc w:val="both"/>
        <w:rPr>
          <w:rFonts w:cstheme="minorHAnsi"/>
          <w:sz w:val="24"/>
          <w:szCs w:val="24"/>
        </w:rPr>
      </w:pPr>
    </w:p>
    <w:p w:rsidR="00B5585E" w:rsidRPr="00247D9A" w:rsidRDefault="00B5585E" w:rsidP="00B5585E">
      <w:pPr>
        <w:pStyle w:val="a6"/>
        <w:numPr>
          <w:ilvl w:val="0"/>
          <w:numId w:val="1"/>
        </w:numPr>
        <w:jc w:val="both"/>
        <w:rPr>
          <w:rFonts w:cstheme="minorHAnsi"/>
          <w:b/>
          <w:sz w:val="24"/>
          <w:szCs w:val="24"/>
        </w:rPr>
      </w:pPr>
      <w:r w:rsidRPr="00247D9A">
        <w:rPr>
          <w:rFonts w:cstheme="minorHAnsi"/>
          <w:b/>
          <w:sz w:val="24"/>
          <w:szCs w:val="24"/>
        </w:rPr>
        <w:t xml:space="preserve">Αριθμός έργων ενίσχυσης επιτελικών λειτουργιών της Δημόσιας Διοίκησης, περιλαμβανομένων μηχανισμών και συστημάτων παρακολούθησης εφαρμογής δημόσιων πολιτικών </w:t>
      </w:r>
    </w:p>
    <w:p w:rsidR="00B5585E" w:rsidRPr="00247D9A" w:rsidRDefault="00B5585E" w:rsidP="00B5585E">
      <w:pPr>
        <w:jc w:val="both"/>
        <w:rPr>
          <w:rFonts w:cstheme="minorHAnsi"/>
          <w:sz w:val="24"/>
          <w:szCs w:val="24"/>
        </w:rPr>
      </w:pPr>
      <w:r w:rsidRPr="00247D9A">
        <w:rPr>
          <w:rFonts w:cstheme="minorHAnsi"/>
          <w:sz w:val="24"/>
          <w:szCs w:val="24"/>
        </w:rPr>
        <w:t xml:space="preserve">Η «Λευκή Βίβλος για τη Διακυβέρνηση» (2012) αναφέρει ως επιτελικές αρμοδιότητες της κεντρικής διοίκησης: το στρατηγικό σχεδιασμό, την οικονομική διοίκηση – προϋπολογισμό, την καλή νομοθέτηση, την ανάπτυξη ανθρώπινου δυναμικού, την ηλεκτρονική διακυβέρνηση, τη διαχείριση γνώσης, την επικοινωνία, τον έλεγχο της παρακολούθησης αποτελεσμάτων πολιτικής. Στο πλαίσιο αυτό θα </w:t>
      </w:r>
      <w:r w:rsidRPr="00247D9A">
        <w:rPr>
          <w:rFonts w:cstheme="minorHAnsi"/>
          <w:sz w:val="24"/>
          <w:szCs w:val="24"/>
        </w:rPr>
        <w:lastRenderedPageBreak/>
        <w:t>χρηματοδοτηθούν δράσεις ενίσχυσης των φορέων της ΔΔ για την άσκηση αυτών των αρμοδιοτήτων.</w:t>
      </w:r>
    </w:p>
    <w:p w:rsidR="00B5585E" w:rsidRPr="00247D9A" w:rsidRDefault="00B5585E" w:rsidP="00B5585E">
      <w:pPr>
        <w:jc w:val="both"/>
        <w:rPr>
          <w:rFonts w:cstheme="minorHAnsi"/>
          <w:sz w:val="24"/>
          <w:szCs w:val="24"/>
        </w:rPr>
      </w:pPr>
      <w:r w:rsidRPr="00247D9A">
        <w:rPr>
          <w:rFonts w:cstheme="minorHAnsi"/>
          <w:sz w:val="24"/>
          <w:szCs w:val="24"/>
        </w:rPr>
        <w:t>Για την επίτευξη του δείκτη θα χρηματοδοτηθούν και δράσεις δημιουργίας και υποστήριξης της λειτουργίας μηχανισμών, ανάπτυξης εργαλείων τεκμηρίωσης για την ενίσχυση της αποτελεσματικότητας δημόσιων πολιτικών.</w:t>
      </w:r>
    </w:p>
    <w:p w:rsidR="00B5585E" w:rsidRPr="00247D9A" w:rsidRDefault="00B5585E" w:rsidP="00B5585E">
      <w:pPr>
        <w:jc w:val="both"/>
        <w:rPr>
          <w:rFonts w:cstheme="minorHAnsi"/>
          <w:sz w:val="24"/>
          <w:szCs w:val="24"/>
        </w:rPr>
      </w:pPr>
      <w:r w:rsidRPr="00247D9A">
        <w:rPr>
          <w:rFonts w:cstheme="minorHAnsi"/>
          <w:sz w:val="24"/>
          <w:szCs w:val="24"/>
        </w:rPr>
        <w:t>Για συγκεκριμένους τομείς πολιτικής, π.χ. δασική πολιτική, ισότητα των φύλων θα ενισχυθούν οι επιτελικές λειτουργίες της Δημόσιας Διοίκησης όπως:</w:t>
      </w:r>
    </w:p>
    <w:p w:rsidR="00B5585E" w:rsidRPr="00247D9A" w:rsidRDefault="00B5585E" w:rsidP="007B3067">
      <w:pPr>
        <w:numPr>
          <w:ilvl w:val="0"/>
          <w:numId w:val="28"/>
        </w:numPr>
        <w:spacing w:after="0"/>
        <w:jc w:val="both"/>
        <w:rPr>
          <w:rFonts w:cstheme="minorHAnsi"/>
          <w:sz w:val="24"/>
          <w:szCs w:val="24"/>
        </w:rPr>
      </w:pPr>
      <w:r w:rsidRPr="00247D9A">
        <w:rPr>
          <w:rFonts w:cstheme="minorHAnsi"/>
          <w:sz w:val="24"/>
          <w:szCs w:val="24"/>
        </w:rPr>
        <w:t>Ο στρατηγικός προγραμματισμός</w:t>
      </w:r>
    </w:p>
    <w:p w:rsidR="00B5585E" w:rsidRPr="00247D9A" w:rsidRDefault="00B5585E" w:rsidP="007B3067">
      <w:pPr>
        <w:numPr>
          <w:ilvl w:val="0"/>
          <w:numId w:val="28"/>
        </w:numPr>
        <w:spacing w:after="0"/>
        <w:jc w:val="both"/>
        <w:rPr>
          <w:rFonts w:cstheme="minorHAnsi"/>
          <w:sz w:val="24"/>
          <w:szCs w:val="24"/>
        </w:rPr>
      </w:pPr>
      <w:r w:rsidRPr="00247D9A">
        <w:rPr>
          <w:rFonts w:cstheme="minorHAnsi"/>
          <w:sz w:val="24"/>
          <w:szCs w:val="24"/>
        </w:rPr>
        <w:t>Η καλή νομοθέτηση</w:t>
      </w:r>
    </w:p>
    <w:p w:rsidR="00B5585E" w:rsidRPr="00247D9A" w:rsidRDefault="00B5585E" w:rsidP="007B3067">
      <w:pPr>
        <w:numPr>
          <w:ilvl w:val="0"/>
          <w:numId w:val="28"/>
        </w:numPr>
        <w:spacing w:after="0"/>
        <w:jc w:val="both"/>
        <w:rPr>
          <w:rFonts w:cstheme="minorHAnsi"/>
          <w:sz w:val="24"/>
          <w:szCs w:val="24"/>
        </w:rPr>
      </w:pPr>
      <w:r w:rsidRPr="00247D9A">
        <w:rPr>
          <w:rFonts w:cstheme="minorHAnsi"/>
          <w:sz w:val="24"/>
          <w:szCs w:val="24"/>
        </w:rPr>
        <w:t>Η δημοσιονομική διαχείριση</w:t>
      </w:r>
    </w:p>
    <w:p w:rsidR="00B5585E" w:rsidRPr="00247D9A" w:rsidRDefault="00B5585E" w:rsidP="007B3067">
      <w:pPr>
        <w:numPr>
          <w:ilvl w:val="0"/>
          <w:numId w:val="28"/>
        </w:numPr>
        <w:spacing w:after="0"/>
        <w:jc w:val="both"/>
        <w:rPr>
          <w:rFonts w:cstheme="minorHAnsi"/>
          <w:sz w:val="24"/>
          <w:szCs w:val="24"/>
        </w:rPr>
      </w:pPr>
      <w:r w:rsidRPr="00247D9A">
        <w:rPr>
          <w:rFonts w:cstheme="minorHAnsi"/>
          <w:sz w:val="24"/>
          <w:szCs w:val="24"/>
        </w:rPr>
        <w:t>Η βελτίωση της ποιότητας</w:t>
      </w:r>
    </w:p>
    <w:p w:rsidR="00B5585E" w:rsidRPr="00247D9A" w:rsidRDefault="00B5585E" w:rsidP="007B3067">
      <w:pPr>
        <w:numPr>
          <w:ilvl w:val="0"/>
          <w:numId w:val="28"/>
        </w:numPr>
        <w:spacing w:after="0"/>
        <w:jc w:val="both"/>
        <w:rPr>
          <w:rFonts w:cstheme="minorHAnsi"/>
          <w:sz w:val="24"/>
          <w:szCs w:val="24"/>
        </w:rPr>
      </w:pPr>
      <w:r w:rsidRPr="00247D9A">
        <w:rPr>
          <w:rFonts w:cstheme="minorHAnsi"/>
          <w:sz w:val="24"/>
          <w:szCs w:val="24"/>
        </w:rPr>
        <w:t xml:space="preserve">Η ηλεκτρονική διακυβέρνηση </w:t>
      </w:r>
    </w:p>
    <w:p w:rsidR="00B5585E" w:rsidRPr="00247D9A" w:rsidRDefault="00B5585E" w:rsidP="007B3067">
      <w:pPr>
        <w:numPr>
          <w:ilvl w:val="0"/>
          <w:numId w:val="28"/>
        </w:numPr>
        <w:spacing w:after="0"/>
        <w:jc w:val="both"/>
        <w:rPr>
          <w:rFonts w:cstheme="minorHAnsi"/>
          <w:sz w:val="24"/>
          <w:szCs w:val="24"/>
        </w:rPr>
      </w:pPr>
      <w:r w:rsidRPr="00247D9A">
        <w:rPr>
          <w:rFonts w:cstheme="minorHAnsi"/>
          <w:sz w:val="24"/>
          <w:szCs w:val="24"/>
        </w:rPr>
        <w:t>Η διαχείριση της γνώσης</w:t>
      </w:r>
    </w:p>
    <w:p w:rsidR="00B5585E" w:rsidRPr="00247D9A" w:rsidRDefault="00B5585E" w:rsidP="00B5585E">
      <w:pPr>
        <w:spacing w:after="0"/>
        <w:jc w:val="both"/>
        <w:rPr>
          <w:rFonts w:cstheme="minorHAnsi"/>
          <w:sz w:val="24"/>
          <w:szCs w:val="24"/>
        </w:rPr>
      </w:pPr>
      <w:r w:rsidRPr="00247D9A">
        <w:rPr>
          <w:rFonts w:cstheme="minorHAnsi"/>
          <w:sz w:val="24"/>
          <w:szCs w:val="24"/>
        </w:rPr>
        <w:t xml:space="preserve">Η τιμή στόχος για το έτος 2023 του δείκτη εκροής είναι 6 με μέσο κόστος υλοποίησης, 600.000€ ανά έργο. Ενδεικτικά ώριμα έργα αποτελούν: </w:t>
      </w:r>
    </w:p>
    <w:p w:rsidR="00B5585E" w:rsidRPr="00247D9A" w:rsidRDefault="00B5585E" w:rsidP="007B3067">
      <w:pPr>
        <w:pStyle w:val="a6"/>
        <w:numPr>
          <w:ilvl w:val="0"/>
          <w:numId w:val="19"/>
        </w:numPr>
        <w:spacing w:after="0"/>
        <w:jc w:val="both"/>
        <w:rPr>
          <w:rFonts w:cstheme="minorHAnsi"/>
          <w:sz w:val="24"/>
          <w:szCs w:val="24"/>
        </w:rPr>
      </w:pPr>
      <w:r w:rsidRPr="00247D9A">
        <w:rPr>
          <w:rFonts w:cstheme="minorHAnsi"/>
          <w:sz w:val="24"/>
          <w:szCs w:val="24"/>
        </w:rPr>
        <w:t>Ανάπτυξη εργαλείων τεκμηρίωσης για την ενίσχυση της αποτελεσματικότητας των δημόσιων πολιτικών ως προς την προώθηση της ισότητας των φύλων</w:t>
      </w:r>
    </w:p>
    <w:p w:rsidR="00B5585E" w:rsidRPr="00247D9A" w:rsidRDefault="00B5585E" w:rsidP="007B3067">
      <w:pPr>
        <w:pStyle w:val="a6"/>
        <w:numPr>
          <w:ilvl w:val="0"/>
          <w:numId w:val="19"/>
        </w:numPr>
        <w:spacing w:after="0"/>
        <w:jc w:val="both"/>
        <w:rPr>
          <w:rFonts w:cstheme="minorHAnsi"/>
          <w:sz w:val="24"/>
          <w:szCs w:val="24"/>
        </w:rPr>
      </w:pPr>
      <w:r w:rsidRPr="00247D9A">
        <w:rPr>
          <w:rFonts w:cstheme="minorHAnsi"/>
          <w:sz w:val="24"/>
          <w:szCs w:val="24"/>
        </w:rPr>
        <w:t>Eνδυνάμωση των μηχανισμών σχεδιασμού, εφαρμογής και ελέγχου δασικής πολιτικής</w:t>
      </w:r>
    </w:p>
    <w:p w:rsidR="00B5585E" w:rsidRPr="00247D9A" w:rsidRDefault="00B5585E" w:rsidP="007B3067">
      <w:pPr>
        <w:pStyle w:val="a6"/>
        <w:numPr>
          <w:ilvl w:val="0"/>
          <w:numId w:val="19"/>
        </w:numPr>
        <w:spacing w:after="0"/>
        <w:jc w:val="both"/>
        <w:rPr>
          <w:rFonts w:cstheme="minorHAnsi"/>
          <w:sz w:val="24"/>
          <w:szCs w:val="24"/>
        </w:rPr>
      </w:pPr>
      <w:r w:rsidRPr="00247D9A">
        <w:rPr>
          <w:rFonts w:cstheme="minorHAnsi"/>
          <w:sz w:val="24"/>
          <w:szCs w:val="24"/>
        </w:rPr>
        <w:t>Παρακολούθηση από τη Βουλή των Ελλήνων της εφαρμογής των νόμων και των δημόσιων πολιτικών</w:t>
      </w:r>
    </w:p>
    <w:p w:rsidR="005F4963" w:rsidRPr="00247D9A" w:rsidRDefault="005F4963" w:rsidP="005F4963">
      <w:pPr>
        <w:pStyle w:val="a6"/>
        <w:spacing w:after="0"/>
        <w:jc w:val="both"/>
        <w:rPr>
          <w:rFonts w:cstheme="minorHAnsi"/>
          <w:sz w:val="24"/>
          <w:szCs w:val="24"/>
        </w:rPr>
      </w:pPr>
    </w:p>
    <w:p w:rsidR="00B5585E" w:rsidRPr="00247D9A" w:rsidRDefault="00B5585E" w:rsidP="00B5585E">
      <w:pPr>
        <w:pStyle w:val="a6"/>
        <w:numPr>
          <w:ilvl w:val="0"/>
          <w:numId w:val="1"/>
        </w:numPr>
        <w:jc w:val="both"/>
        <w:rPr>
          <w:rFonts w:cstheme="minorHAnsi"/>
          <w:b/>
          <w:sz w:val="24"/>
          <w:szCs w:val="24"/>
        </w:rPr>
      </w:pPr>
      <w:r w:rsidRPr="00247D9A">
        <w:rPr>
          <w:rFonts w:cstheme="minorHAnsi"/>
          <w:b/>
          <w:sz w:val="24"/>
          <w:szCs w:val="24"/>
        </w:rPr>
        <w:t>Αριθμός έργων δημιουργίας Παρατηρητηρίου για την Περιφερειακή διοίκηση και την Τοπική Αυτοδιοίκηση</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εκροής είναι 1 με εκτιμώμενο κόστος υλοποίησης</w:t>
      </w:r>
      <w:r w:rsidR="006C1383">
        <w:rPr>
          <w:rFonts w:cstheme="minorHAnsi"/>
          <w:sz w:val="24"/>
          <w:szCs w:val="24"/>
        </w:rPr>
        <w:t xml:space="preserve"> </w:t>
      </w:r>
      <w:r w:rsidRPr="00247D9A">
        <w:rPr>
          <w:rFonts w:cstheme="minorHAnsi"/>
          <w:sz w:val="24"/>
          <w:szCs w:val="24"/>
        </w:rPr>
        <w:t>800.000€, σύμφωνα με την πρόταση του φορέα άσκησης πολιτικής. Αφορά στη δημιουργία και λειτουργία μηχανισμού για την ενίσχυση τηςεποπτείας από το Υπουργείο Εσωτερικών.</w:t>
      </w:r>
    </w:p>
    <w:p w:rsidR="00B5585E" w:rsidRPr="00247D9A" w:rsidRDefault="00B5585E" w:rsidP="00B5585E">
      <w:pPr>
        <w:pStyle w:val="a6"/>
        <w:numPr>
          <w:ilvl w:val="0"/>
          <w:numId w:val="1"/>
        </w:numPr>
        <w:jc w:val="both"/>
        <w:rPr>
          <w:rFonts w:cstheme="minorHAnsi"/>
          <w:b/>
          <w:sz w:val="24"/>
          <w:szCs w:val="24"/>
        </w:rPr>
      </w:pPr>
      <w:r w:rsidRPr="00247D9A">
        <w:rPr>
          <w:rFonts w:cstheme="minorHAnsi"/>
          <w:b/>
          <w:sz w:val="24"/>
          <w:szCs w:val="24"/>
        </w:rPr>
        <w:t>Αριθμός έργων κωδικοποίησης θεσμικού και νομοθετικού πλαισίου</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εκροής είναι 12 με μέσο κόστος υλοποίησης 800.000€, σύμφωνα με τα στοιχεία</w:t>
      </w:r>
      <w:r w:rsidR="006C1383">
        <w:rPr>
          <w:rFonts w:cstheme="minorHAnsi"/>
          <w:sz w:val="24"/>
          <w:szCs w:val="24"/>
        </w:rPr>
        <w:t xml:space="preserve"> </w:t>
      </w:r>
      <w:r w:rsidRPr="00247D9A">
        <w:rPr>
          <w:rFonts w:cstheme="minorHAnsi"/>
          <w:sz w:val="24"/>
          <w:szCs w:val="24"/>
        </w:rPr>
        <w:t>παρόμοιων έργων στο πλαίσιο του ΕΠΔΜ 2007-2013.</w:t>
      </w:r>
    </w:p>
    <w:p w:rsidR="00B5585E" w:rsidRPr="00247D9A" w:rsidRDefault="00B5585E" w:rsidP="00B5585E">
      <w:pPr>
        <w:jc w:val="both"/>
        <w:rPr>
          <w:rFonts w:cstheme="minorHAnsi"/>
          <w:sz w:val="24"/>
          <w:szCs w:val="24"/>
        </w:rPr>
      </w:pPr>
      <w:r w:rsidRPr="00247D9A">
        <w:rPr>
          <w:rFonts w:cstheme="minorHAnsi"/>
          <w:sz w:val="24"/>
          <w:szCs w:val="24"/>
        </w:rPr>
        <w:t>Επισημαίνεται ότι τα κάτωθι έργα διοικητικής και νομοθετικής κωδικοποίησης, συγκεκριμένων τομέων πολιτικής, αποτελούν ενδεικτικά ώριμα έργα:</w:t>
      </w:r>
    </w:p>
    <w:p w:rsidR="00B5585E" w:rsidRPr="00247D9A" w:rsidRDefault="00B5585E" w:rsidP="007B3067">
      <w:pPr>
        <w:pStyle w:val="a6"/>
        <w:numPr>
          <w:ilvl w:val="0"/>
          <w:numId w:val="20"/>
        </w:numPr>
        <w:jc w:val="both"/>
        <w:rPr>
          <w:rFonts w:cstheme="minorHAnsi"/>
          <w:sz w:val="24"/>
          <w:szCs w:val="24"/>
        </w:rPr>
      </w:pPr>
      <w:r w:rsidRPr="00247D9A">
        <w:rPr>
          <w:rFonts w:cstheme="minorHAnsi"/>
          <w:sz w:val="24"/>
          <w:szCs w:val="24"/>
        </w:rPr>
        <w:lastRenderedPageBreak/>
        <w:t>Κωδικοποίηση νομοθεσίας που αφορά στη δημόσια περιουσία</w:t>
      </w:r>
    </w:p>
    <w:p w:rsidR="00B5585E" w:rsidRPr="00247D9A" w:rsidRDefault="00B5585E" w:rsidP="007B3067">
      <w:pPr>
        <w:pStyle w:val="a6"/>
        <w:numPr>
          <w:ilvl w:val="0"/>
          <w:numId w:val="20"/>
        </w:numPr>
        <w:jc w:val="both"/>
        <w:rPr>
          <w:rFonts w:cstheme="minorHAnsi"/>
          <w:sz w:val="24"/>
          <w:szCs w:val="24"/>
        </w:rPr>
      </w:pPr>
      <w:r w:rsidRPr="00247D9A">
        <w:rPr>
          <w:rFonts w:cstheme="minorHAnsi"/>
          <w:sz w:val="24"/>
          <w:szCs w:val="24"/>
        </w:rPr>
        <w:t>Κωδικοποίηση τουριστικής νομοθεσίας</w:t>
      </w:r>
    </w:p>
    <w:p w:rsidR="00B5585E" w:rsidRPr="00247D9A" w:rsidRDefault="00B5585E" w:rsidP="007B3067">
      <w:pPr>
        <w:pStyle w:val="a6"/>
        <w:numPr>
          <w:ilvl w:val="0"/>
          <w:numId w:val="20"/>
        </w:numPr>
        <w:jc w:val="both"/>
        <w:rPr>
          <w:rFonts w:cstheme="minorHAnsi"/>
          <w:sz w:val="24"/>
          <w:szCs w:val="24"/>
        </w:rPr>
      </w:pPr>
      <w:r w:rsidRPr="00247D9A">
        <w:rPr>
          <w:rFonts w:cstheme="minorHAnsi"/>
          <w:sz w:val="24"/>
          <w:szCs w:val="24"/>
        </w:rPr>
        <w:t>Κωδικοποίηση της νομοθετικής και κανονιστικής ύλης που αφορά στο ΑΣΕΠ και την εφαρμογή αξιοποίησής της, για τις ανάγκες αυτού και των πολιτών</w:t>
      </w:r>
    </w:p>
    <w:p w:rsidR="00B5585E" w:rsidRPr="00247D9A" w:rsidRDefault="00B5585E" w:rsidP="007B3067">
      <w:pPr>
        <w:pStyle w:val="a6"/>
        <w:numPr>
          <w:ilvl w:val="0"/>
          <w:numId w:val="20"/>
        </w:numPr>
        <w:jc w:val="both"/>
        <w:rPr>
          <w:rFonts w:cstheme="minorHAnsi"/>
          <w:sz w:val="24"/>
          <w:szCs w:val="24"/>
        </w:rPr>
      </w:pPr>
      <w:r w:rsidRPr="00247D9A">
        <w:rPr>
          <w:rFonts w:cstheme="minorHAnsi"/>
          <w:sz w:val="24"/>
          <w:szCs w:val="24"/>
        </w:rPr>
        <w:t>Κωδικοποίηση της δασικής νομοθεσίας</w:t>
      </w:r>
    </w:p>
    <w:p w:rsidR="00B5585E" w:rsidRPr="00247D9A" w:rsidRDefault="00B5585E" w:rsidP="007B3067">
      <w:pPr>
        <w:pStyle w:val="a6"/>
        <w:numPr>
          <w:ilvl w:val="0"/>
          <w:numId w:val="20"/>
        </w:numPr>
        <w:jc w:val="both"/>
        <w:rPr>
          <w:rFonts w:cstheme="minorHAnsi"/>
          <w:sz w:val="24"/>
          <w:szCs w:val="24"/>
        </w:rPr>
      </w:pPr>
      <w:r w:rsidRPr="00247D9A">
        <w:rPr>
          <w:rFonts w:cstheme="minorHAnsi"/>
          <w:sz w:val="24"/>
          <w:szCs w:val="24"/>
        </w:rPr>
        <w:t xml:space="preserve">Κωδικοποίηση νομοθεσίας τοπικής αυτοδιοίκησης </w:t>
      </w:r>
    </w:p>
    <w:p w:rsidR="00B5585E" w:rsidRPr="00247D9A" w:rsidRDefault="00B5585E" w:rsidP="007B3067">
      <w:pPr>
        <w:pStyle w:val="a6"/>
        <w:numPr>
          <w:ilvl w:val="0"/>
          <w:numId w:val="20"/>
        </w:numPr>
        <w:jc w:val="both"/>
        <w:rPr>
          <w:rFonts w:cstheme="minorHAnsi"/>
          <w:sz w:val="24"/>
          <w:szCs w:val="24"/>
        </w:rPr>
      </w:pPr>
      <w:r w:rsidRPr="00247D9A">
        <w:rPr>
          <w:rFonts w:cstheme="minorHAnsi"/>
          <w:sz w:val="24"/>
          <w:szCs w:val="24"/>
        </w:rPr>
        <w:t>Διοικητική Κωδικοποίηση των διεθνών συμβατικών κειμένων του ΥΠΕΞ</w:t>
      </w:r>
    </w:p>
    <w:p w:rsidR="002151F1" w:rsidRPr="00740C34" w:rsidRDefault="002151F1" w:rsidP="00740C34">
      <w:pPr>
        <w:jc w:val="both"/>
        <w:rPr>
          <w:rFonts w:cstheme="minorHAnsi"/>
          <w:b/>
          <w:i/>
          <w:sz w:val="24"/>
          <w:szCs w:val="24"/>
          <w:u w:val="single"/>
        </w:rPr>
      </w:pPr>
      <w:r w:rsidRPr="00740C34">
        <w:rPr>
          <w:rFonts w:cstheme="minorHAnsi"/>
          <w:b/>
          <w:i/>
          <w:sz w:val="24"/>
          <w:szCs w:val="24"/>
          <w:u w:val="single"/>
        </w:rPr>
        <w:t>Ειδικός στόχος 1.1.2: Αύξηση των φορέων του δημοσίου τομέα στους οποίους εφαρμόζονται σχέδια λειτουργικής αναδιοργάνωσης και απλοποίησης διοικητικών διαδικασιών</w:t>
      </w:r>
    </w:p>
    <w:p w:rsidR="0096455B" w:rsidRPr="00247D9A" w:rsidRDefault="0096455B" w:rsidP="009E2F1B">
      <w:pPr>
        <w:jc w:val="both"/>
        <w:rPr>
          <w:rFonts w:cstheme="minorHAnsi"/>
          <w:b/>
          <w:i/>
          <w:sz w:val="24"/>
          <w:szCs w:val="24"/>
          <w:u w:val="single"/>
        </w:rPr>
      </w:pPr>
      <w:r w:rsidRPr="00247D9A">
        <w:rPr>
          <w:rFonts w:cstheme="minorHAnsi"/>
          <w:b/>
          <w:i/>
          <w:sz w:val="24"/>
          <w:szCs w:val="24"/>
          <w:u w:val="single"/>
        </w:rPr>
        <w:t>Δείκτες Αποτελέσματος</w:t>
      </w:r>
    </w:p>
    <w:p w:rsidR="0096455B" w:rsidRPr="00247D9A" w:rsidRDefault="0096455B" w:rsidP="007B3067">
      <w:pPr>
        <w:pStyle w:val="a6"/>
        <w:numPr>
          <w:ilvl w:val="0"/>
          <w:numId w:val="7"/>
        </w:numPr>
        <w:jc w:val="both"/>
        <w:rPr>
          <w:rFonts w:cstheme="minorHAnsi"/>
          <w:b/>
          <w:sz w:val="24"/>
          <w:szCs w:val="24"/>
        </w:rPr>
      </w:pPr>
      <w:r w:rsidRPr="00247D9A">
        <w:rPr>
          <w:rFonts w:cstheme="minorHAnsi"/>
          <w:b/>
          <w:sz w:val="24"/>
          <w:szCs w:val="24"/>
        </w:rPr>
        <w:t>Αριθμός φορέων του δημόσιου τομέα που εφαρμόζουν απλοποιημένες εσωτερικές διαδικασίες</w:t>
      </w:r>
    </w:p>
    <w:p w:rsidR="007B0F07" w:rsidRPr="00247D9A" w:rsidRDefault="00834F57" w:rsidP="0096455B">
      <w:pPr>
        <w:jc w:val="both"/>
        <w:rPr>
          <w:rFonts w:cstheme="minorHAnsi"/>
          <w:sz w:val="24"/>
          <w:szCs w:val="24"/>
        </w:rPr>
      </w:pPr>
      <w:r w:rsidRPr="00247D9A">
        <w:rPr>
          <w:rFonts w:cstheme="minorHAnsi"/>
          <w:sz w:val="24"/>
          <w:szCs w:val="24"/>
        </w:rPr>
        <w:t>Η τιμή βάσης του δείκτη</w:t>
      </w:r>
      <w:r w:rsidR="00093AFC" w:rsidRPr="00247D9A">
        <w:rPr>
          <w:rFonts w:cstheme="minorHAnsi"/>
          <w:sz w:val="24"/>
          <w:szCs w:val="24"/>
        </w:rPr>
        <w:t xml:space="preserve"> είναι 3</w:t>
      </w:r>
      <w:r w:rsidRPr="00247D9A">
        <w:rPr>
          <w:rFonts w:cstheme="minorHAnsi"/>
          <w:sz w:val="24"/>
          <w:szCs w:val="24"/>
        </w:rPr>
        <w:t xml:space="preserve"> και προκύπτει από την υλοποίηση</w:t>
      </w:r>
      <w:r w:rsidR="00093AFC" w:rsidRPr="00247D9A">
        <w:rPr>
          <w:rFonts w:cstheme="minorHAnsi"/>
          <w:sz w:val="24"/>
          <w:szCs w:val="24"/>
        </w:rPr>
        <w:t xml:space="preserve"> παρεμβάσεων απλοποίησης εσωτερικών διαδικασιών</w:t>
      </w:r>
      <w:r w:rsidRPr="00247D9A">
        <w:rPr>
          <w:rFonts w:cstheme="minorHAnsi"/>
          <w:sz w:val="24"/>
          <w:szCs w:val="24"/>
        </w:rPr>
        <w:t xml:space="preserve"> στα υπουργεία</w:t>
      </w:r>
      <w:r w:rsidR="00093AFC" w:rsidRPr="00247D9A">
        <w:rPr>
          <w:rFonts w:cstheme="minorHAnsi"/>
          <w:sz w:val="24"/>
          <w:szCs w:val="24"/>
        </w:rPr>
        <w:t>:</w:t>
      </w:r>
      <w:r w:rsidRPr="00247D9A">
        <w:rPr>
          <w:rFonts w:cstheme="minorHAnsi"/>
          <w:sz w:val="24"/>
          <w:szCs w:val="24"/>
        </w:rPr>
        <w:t xml:space="preserve"> Παιδείας και Θρησκευμάτων</w:t>
      </w:r>
      <w:r w:rsidR="006C1383">
        <w:rPr>
          <w:rFonts w:cstheme="minorHAnsi"/>
          <w:sz w:val="24"/>
          <w:szCs w:val="24"/>
        </w:rPr>
        <w:t xml:space="preserve"> </w:t>
      </w:r>
      <w:r w:rsidRPr="00247D9A">
        <w:rPr>
          <w:rFonts w:cstheme="minorHAnsi"/>
          <w:sz w:val="24"/>
          <w:szCs w:val="24"/>
        </w:rPr>
        <w:t>(</w:t>
      </w:r>
      <w:r w:rsidR="00093AFC" w:rsidRPr="00247D9A">
        <w:rPr>
          <w:rFonts w:cstheme="minorHAnsi"/>
          <w:sz w:val="24"/>
          <w:szCs w:val="24"/>
        </w:rPr>
        <w:t>για την Πρωτοβάθμια</w:t>
      </w:r>
      <w:r w:rsidRPr="00247D9A">
        <w:rPr>
          <w:rFonts w:cstheme="minorHAnsi"/>
          <w:sz w:val="24"/>
          <w:szCs w:val="24"/>
        </w:rPr>
        <w:t xml:space="preserve"> και </w:t>
      </w:r>
      <w:r w:rsidR="00093AFC" w:rsidRPr="00247D9A">
        <w:rPr>
          <w:rFonts w:cstheme="minorHAnsi"/>
          <w:sz w:val="24"/>
          <w:szCs w:val="24"/>
        </w:rPr>
        <w:t>Δευτεροβάθμια Εκπαίδευση</w:t>
      </w:r>
      <w:r w:rsidRPr="00247D9A">
        <w:rPr>
          <w:rFonts w:cstheme="minorHAnsi"/>
          <w:sz w:val="24"/>
          <w:szCs w:val="24"/>
        </w:rPr>
        <w:t xml:space="preserve">, </w:t>
      </w:r>
      <w:r w:rsidR="00093AFC" w:rsidRPr="00247D9A">
        <w:rPr>
          <w:rFonts w:cstheme="minorHAnsi"/>
          <w:sz w:val="24"/>
          <w:szCs w:val="24"/>
        </w:rPr>
        <w:t xml:space="preserve">της </w:t>
      </w:r>
      <w:r w:rsidR="006C1383">
        <w:rPr>
          <w:rFonts w:cstheme="minorHAnsi"/>
          <w:sz w:val="24"/>
          <w:szCs w:val="24"/>
        </w:rPr>
        <w:t>Γενικής Γ</w:t>
      </w:r>
      <w:r w:rsidR="00093AFC" w:rsidRPr="00247D9A">
        <w:rPr>
          <w:rFonts w:cstheme="minorHAnsi"/>
          <w:sz w:val="24"/>
          <w:szCs w:val="24"/>
        </w:rPr>
        <w:t>ραμμ</w:t>
      </w:r>
      <w:r w:rsidR="006C1383">
        <w:rPr>
          <w:rFonts w:cstheme="minorHAnsi"/>
          <w:sz w:val="24"/>
          <w:szCs w:val="24"/>
        </w:rPr>
        <w:t>ατείας Θ</w:t>
      </w:r>
      <w:r w:rsidR="00093AFC" w:rsidRPr="00247D9A">
        <w:rPr>
          <w:rFonts w:cstheme="minorHAnsi"/>
          <w:sz w:val="24"/>
          <w:szCs w:val="24"/>
        </w:rPr>
        <w:t>ρησκευμάτων</w:t>
      </w:r>
      <w:r w:rsidRPr="00247D9A">
        <w:rPr>
          <w:rFonts w:cstheme="minorHAnsi"/>
          <w:sz w:val="24"/>
          <w:szCs w:val="24"/>
        </w:rPr>
        <w:t>), Πολιτισμού και Αθλητισμού</w:t>
      </w:r>
      <w:r w:rsidR="006C1383">
        <w:rPr>
          <w:rFonts w:cstheme="minorHAnsi"/>
          <w:sz w:val="24"/>
          <w:szCs w:val="24"/>
        </w:rPr>
        <w:t xml:space="preserve"> </w:t>
      </w:r>
      <w:r w:rsidRPr="00247D9A">
        <w:rPr>
          <w:rFonts w:cstheme="minorHAnsi"/>
          <w:sz w:val="24"/>
          <w:szCs w:val="24"/>
        </w:rPr>
        <w:t>(της Γενικής Διεύθυνσης Αρχαιοτήτων και Πολιτιστικής Κληρονομιάς και της Γενικής Διεύθυνσης Αναστήλωσης και Τεχνικών Έργων) και Εσωτερικών (Μελέτη αναδιοργάνωσης τμημάτων δημοτολογίου - Μητρώου αρρένων - Ληξιαρχείου σε ΟΤΑ Α' βαθμού).</w:t>
      </w:r>
    </w:p>
    <w:p w:rsidR="0096455B" w:rsidRPr="00247D9A" w:rsidRDefault="0096455B" w:rsidP="0096455B">
      <w:pPr>
        <w:jc w:val="both"/>
        <w:rPr>
          <w:rFonts w:cstheme="minorHAnsi"/>
        </w:rPr>
      </w:pPr>
      <w:r w:rsidRPr="00247D9A">
        <w:rPr>
          <w:rFonts w:cstheme="minorHAnsi"/>
          <w:sz w:val="24"/>
          <w:szCs w:val="24"/>
        </w:rPr>
        <w:t>Η τιμή στόχος για το έτος 2</w:t>
      </w:r>
      <w:r w:rsidR="00093AFC" w:rsidRPr="00247D9A">
        <w:rPr>
          <w:rFonts w:cstheme="minorHAnsi"/>
          <w:sz w:val="24"/>
          <w:szCs w:val="24"/>
        </w:rPr>
        <w:t xml:space="preserve">023 </w:t>
      </w:r>
      <w:r w:rsidR="00204AE1" w:rsidRPr="00247D9A">
        <w:rPr>
          <w:rFonts w:cstheme="minorHAnsi"/>
          <w:sz w:val="24"/>
          <w:szCs w:val="24"/>
        </w:rPr>
        <w:t>είναι 363</w:t>
      </w:r>
      <w:r w:rsidRPr="00247D9A">
        <w:rPr>
          <w:rFonts w:cstheme="minorHAnsi"/>
          <w:sz w:val="24"/>
          <w:szCs w:val="24"/>
        </w:rPr>
        <w:t xml:space="preserve"> και αφορά </w:t>
      </w:r>
      <w:r w:rsidR="00093AFC" w:rsidRPr="00247D9A">
        <w:rPr>
          <w:rFonts w:cstheme="minorHAnsi"/>
          <w:sz w:val="24"/>
          <w:szCs w:val="24"/>
        </w:rPr>
        <w:t xml:space="preserve">στην υλοποίηση δράσεων απλούστευσης εσωτερικών διαδικασιών </w:t>
      </w:r>
      <w:r w:rsidRPr="00247D9A">
        <w:rPr>
          <w:rFonts w:cstheme="minorHAnsi"/>
          <w:sz w:val="24"/>
          <w:szCs w:val="24"/>
        </w:rPr>
        <w:t xml:space="preserve">σε </w:t>
      </w:r>
      <w:r w:rsidR="00EC1ABD" w:rsidRPr="00247D9A">
        <w:rPr>
          <w:rFonts w:cstheme="minorHAnsi"/>
          <w:sz w:val="24"/>
          <w:szCs w:val="24"/>
        </w:rPr>
        <w:t xml:space="preserve">18 υπουργεία, </w:t>
      </w:r>
      <w:r w:rsidRPr="00247D9A">
        <w:rPr>
          <w:rFonts w:cstheme="minorHAnsi"/>
          <w:sz w:val="24"/>
          <w:szCs w:val="24"/>
        </w:rPr>
        <w:t>7 Αποκεντρωμέ</w:t>
      </w:r>
      <w:r w:rsidR="00204AE1" w:rsidRPr="00247D9A">
        <w:rPr>
          <w:rFonts w:cstheme="minorHAnsi"/>
          <w:sz w:val="24"/>
          <w:szCs w:val="24"/>
        </w:rPr>
        <w:t>νες Διοικήσεις, 13 Περιφέρειε</w:t>
      </w:r>
      <w:r w:rsidR="007B0F07" w:rsidRPr="00247D9A">
        <w:rPr>
          <w:rFonts w:cstheme="minorHAnsi"/>
          <w:sz w:val="24"/>
          <w:szCs w:val="24"/>
        </w:rPr>
        <w:t xml:space="preserve">ς και 325 Δήμους, χωρίς να αποκλείονται εκ νέου παρεμβάσεις απλούστευσης σε φορείς που έχουν ήδη τύχει αντικείμενο παρέμβασης (συμπεριλαμβάνονται στην τιμή βάσης). </w:t>
      </w:r>
      <w:r w:rsidR="00680D53" w:rsidRPr="00247D9A">
        <w:rPr>
          <w:rFonts w:cstheme="minorHAnsi"/>
          <w:sz w:val="24"/>
          <w:szCs w:val="24"/>
        </w:rPr>
        <w:t>Ο συγκεκριμένος δείκτης αποτελέσματος συνδέεται με το δείκτη εκροής «</w:t>
      </w:r>
      <w:r w:rsidR="0035601C" w:rsidRPr="00247D9A">
        <w:rPr>
          <w:rFonts w:cstheme="minorHAnsi"/>
          <w:sz w:val="24"/>
          <w:szCs w:val="24"/>
        </w:rPr>
        <w:t>Αριθμός έργων απλοποίησης εσωτερικών διαδικασιών φορέων του δημοσίου τομέα</w:t>
      </w:r>
      <w:r w:rsidR="00680D53" w:rsidRPr="00247D9A">
        <w:rPr>
          <w:rFonts w:cstheme="minorHAnsi"/>
          <w:sz w:val="24"/>
          <w:szCs w:val="24"/>
        </w:rPr>
        <w:t>»</w:t>
      </w:r>
      <w:r w:rsidR="0035601C" w:rsidRPr="00247D9A">
        <w:rPr>
          <w:rFonts w:cstheme="minorHAnsi"/>
          <w:sz w:val="24"/>
          <w:szCs w:val="24"/>
        </w:rPr>
        <w:t>.</w:t>
      </w:r>
    </w:p>
    <w:p w:rsidR="0096455B" w:rsidRPr="00247D9A" w:rsidRDefault="0096455B" w:rsidP="007B3067">
      <w:pPr>
        <w:pStyle w:val="a6"/>
        <w:numPr>
          <w:ilvl w:val="0"/>
          <w:numId w:val="7"/>
        </w:numPr>
        <w:jc w:val="both"/>
        <w:rPr>
          <w:rFonts w:cstheme="minorHAnsi"/>
          <w:b/>
          <w:sz w:val="24"/>
          <w:szCs w:val="24"/>
        </w:rPr>
      </w:pPr>
      <w:r w:rsidRPr="00247D9A">
        <w:rPr>
          <w:rFonts w:cstheme="minorHAnsi"/>
          <w:b/>
          <w:sz w:val="24"/>
          <w:szCs w:val="24"/>
        </w:rPr>
        <w:t>Αριθμός τομέων στους οποίους εφαρμόζεται απλοποίηση διαδικασιών και προτυποποίηση υπηρεσιών προς τους πολίτες</w:t>
      </w:r>
    </w:p>
    <w:p w:rsidR="00912618" w:rsidRPr="00247D9A" w:rsidRDefault="00204AE1" w:rsidP="00204AE1">
      <w:pPr>
        <w:jc w:val="both"/>
        <w:rPr>
          <w:rFonts w:cstheme="minorHAnsi"/>
          <w:sz w:val="24"/>
          <w:szCs w:val="24"/>
        </w:rPr>
      </w:pPr>
      <w:r w:rsidRPr="00247D9A">
        <w:rPr>
          <w:rFonts w:cstheme="minorHAnsi"/>
          <w:sz w:val="24"/>
          <w:szCs w:val="24"/>
        </w:rPr>
        <w:t>Η τιμή βάσης του δείκτη είναι 10</w:t>
      </w:r>
      <w:r w:rsidR="00912618" w:rsidRPr="00247D9A">
        <w:rPr>
          <w:rFonts w:cstheme="minorHAnsi"/>
          <w:sz w:val="24"/>
          <w:szCs w:val="24"/>
        </w:rPr>
        <w:t xml:space="preserve"> και προκύπτει από την υλοποίηση δράσεων απλοποίησης διαδικασιών και προτυποποίησης υπηρεσιών προς τους πολίτες στους τομείς πολιτικής: </w:t>
      </w:r>
      <w:r w:rsidRPr="00247D9A">
        <w:rPr>
          <w:rFonts w:cstheme="minorHAnsi"/>
          <w:sz w:val="24"/>
          <w:szCs w:val="24"/>
        </w:rPr>
        <w:t>Τουρισμός, Τρόφιμα-Ποτά, Αθλητισμός, Πολιτισμός, Κοινωνική Μέριμνα, Αγροτική Ανάπτυξη, Φορολογία-ΦΠΑ, Επιχειρηματικό περιβάλλον, Παιδεία, Ψυχαγωγία-Υπηρεσίες Αναψυχής</w:t>
      </w:r>
      <w:r w:rsidR="00912618" w:rsidRPr="00247D9A">
        <w:rPr>
          <w:rFonts w:cstheme="minorHAnsi"/>
          <w:sz w:val="24"/>
          <w:szCs w:val="24"/>
        </w:rPr>
        <w:t xml:space="preserve">. Η υλοποίηση των δράσεων έγινε σε εφαρμογή της Οδηγίας 2006/123/ΕΚ και των μελετών του ΟΟΣΑ για τα διοικητικά </w:t>
      </w:r>
      <w:r w:rsidR="00912618" w:rsidRPr="00247D9A">
        <w:rPr>
          <w:rFonts w:cstheme="minorHAnsi"/>
          <w:sz w:val="24"/>
          <w:szCs w:val="24"/>
        </w:rPr>
        <w:lastRenderedPageBreak/>
        <w:t>βάρη, προωθώντας οριζόντιες και τομεακές απλουστεύσεις κατόπιν συνεργασίας του καθ΄ ύλην αρμόδιου Υπουργείου με το ΥΔιΜΗΔ</w:t>
      </w:r>
      <w:r w:rsidRPr="00247D9A">
        <w:rPr>
          <w:rFonts w:cstheme="minorHAnsi"/>
          <w:sz w:val="24"/>
          <w:szCs w:val="24"/>
        </w:rPr>
        <w:t xml:space="preserve">. </w:t>
      </w:r>
    </w:p>
    <w:p w:rsidR="00912618" w:rsidRPr="00247D9A" w:rsidRDefault="00204AE1" w:rsidP="00204AE1">
      <w:pPr>
        <w:jc w:val="both"/>
        <w:rPr>
          <w:rFonts w:cstheme="minorHAnsi"/>
          <w:sz w:val="24"/>
          <w:szCs w:val="24"/>
        </w:rPr>
      </w:pPr>
      <w:r w:rsidRPr="00247D9A">
        <w:rPr>
          <w:rFonts w:cstheme="minorHAnsi"/>
          <w:sz w:val="24"/>
          <w:szCs w:val="24"/>
        </w:rPr>
        <w:t xml:space="preserve">Η τιμή στόχος του δείκτη είναι 18 </w:t>
      </w:r>
      <w:r w:rsidR="00912618" w:rsidRPr="00247D9A">
        <w:rPr>
          <w:rFonts w:cstheme="minorHAnsi"/>
          <w:sz w:val="24"/>
          <w:szCs w:val="24"/>
        </w:rPr>
        <w:t>και προκύπτει από τη χρηματοδότηση δράσεων απλοποίησης διαδικασιών και προτυποποίησης υπηρεσιών προς τους πολίτες σε</w:t>
      </w:r>
      <w:r w:rsidRPr="00247D9A">
        <w:rPr>
          <w:rFonts w:cstheme="minorHAnsi"/>
          <w:sz w:val="24"/>
          <w:szCs w:val="24"/>
        </w:rPr>
        <w:t xml:space="preserve"> 8 </w:t>
      </w:r>
      <w:r w:rsidR="00912618" w:rsidRPr="00247D9A">
        <w:rPr>
          <w:rFonts w:cstheme="minorHAnsi"/>
          <w:sz w:val="24"/>
          <w:szCs w:val="24"/>
        </w:rPr>
        <w:t xml:space="preserve">επιπλέον τομείς. Ενδεικτικά αναφέρονται </w:t>
      </w:r>
      <w:r w:rsidRPr="00247D9A">
        <w:rPr>
          <w:rFonts w:cstheme="minorHAnsi"/>
          <w:sz w:val="24"/>
          <w:szCs w:val="24"/>
        </w:rPr>
        <w:t>Νοσοκομειακή περίθαλψη, Σύνταξη, Πιστοποίηση Αναπηρίας, Αγρότες και Επιχειρήσεις, Τουρισμός, Εξωστρεφείς υπηρεσίες  ΟΤΑ α΄ και β΄ βαθμού, Στρατολογικές υπηρεσίες, Φορολογία-Δημόσια</w:t>
      </w:r>
      <w:r w:rsidR="00912618" w:rsidRPr="00247D9A">
        <w:rPr>
          <w:rFonts w:cstheme="minorHAnsi"/>
          <w:sz w:val="24"/>
          <w:szCs w:val="24"/>
        </w:rPr>
        <w:t>Έσοδα</w:t>
      </w:r>
      <w:r w:rsidR="00680D53" w:rsidRPr="00247D9A">
        <w:rPr>
          <w:rFonts w:cstheme="minorHAnsi"/>
          <w:sz w:val="24"/>
          <w:szCs w:val="24"/>
        </w:rPr>
        <w:t xml:space="preserve">. </w:t>
      </w:r>
    </w:p>
    <w:p w:rsidR="00740C34" w:rsidRDefault="00FD2314" w:rsidP="00204AE1">
      <w:pPr>
        <w:jc w:val="both"/>
        <w:rPr>
          <w:rFonts w:cstheme="minorHAnsi"/>
          <w:sz w:val="24"/>
          <w:szCs w:val="24"/>
          <w:highlight w:val="yellow"/>
        </w:rPr>
      </w:pPr>
      <w:r w:rsidRPr="00247D9A">
        <w:rPr>
          <w:rFonts w:cstheme="minorHAnsi"/>
          <w:sz w:val="24"/>
          <w:szCs w:val="24"/>
        </w:rPr>
        <w:t>Ο</w:t>
      </w:r>
      <w:r w:rsidR="00680D53" w:rsidRPr="00247D9A">
        <w:rPr>
          <w:rFonts w:cstheme="minorHAnsi"/>
          <w:sz w:val="24"/>
          <w:szCs w:val="24"/>
        </w:rPr>
        <w:t xml:space="preserve"> συγκεκριμένος δείκτης αποτελέσματος συνδέεται με το</w:t>
      </w:r>
      <w:r w:rsidR="006C1383">
        <w:rPr>
          <w:rFonts w:cstheme="minorHAnsi"/>
          <w:sz w:val="24"/>
          <w:szCs w:val="24"/>
        </w:rPr>
        <w:t>υς δείκτες</w:t>
      </w:r>
      <w:r w:rsidR="00680D53" w:rsidRPr="00247D9A">
        <w:rPr>
          <w:rFonts w:cstheme="minorHAnsi"/>
          <w:sz w:val="24"/>
          <w:szCs w:val="24"/>
        </w:rPr>
        <w:t xml:space="preserve"> εκροής «Αριθμός έργων απλοποίησης διαδικασιών και προτυποποίησης υπηρεσιών προς τους πολίτες»</w:t>
      </w:r>
      <w:r w:rsidR="006C1383">
        <w:rPr>
          <w:rFonts w:cstheme="minorHAnsi"/>
          <w:sz w:val="24"/>
          <w:szCs w:val="24"/>
        </w:rPr>
        <w:t xml:space="preserve"> </w:t>
      </w:r>
      <w:r w:rsidR="00042A18" w:rsidRPr="00247D9A">
        <w:rPr>
          <w:rFonts w:cstheme="minorHAnsi"/>
          <w:sz w:val="24"/>
          <w:szCs w:val="24"/>
          <w:highlight w:val="yellow"/>
        </w:rPr>
        <w:t>και «Αριθμός Τοπικών Μονάδων Υγείας που δημιουργούνται»</w:t>
      </w:r>
      <w:r w:rsidR="00FF6F11">
        <w:rPr>
          <w:rFonts w:cstheme="minorHAnsi"/>
          <w:sz w:val="24"/>
          <w:szCs w:val="24"/>
          <w:highlight w:val="yellow"/>
        </w:rPr>
        <w:t xml:space="preserve"> </w:t>
      </w:r>
    </w:p>
    <w:p w:rsidR="00204AE1" w:rsidRPr="00247D9A" w:rsidRDefault="00740C34" w:rsidP="00204AE1">
      <w:pPr>
        <w:jc w:val="both"/>
        <w:rPr>
          <w:rFonts w:cstheme="minorHAnsi"/>
          <w:sz w:val="24"/>
          <w:szCs w:val="24"/>
        </w:rPr>
      </w:pPr>
      <w:r>
        <w:rPr>
          <w:rFonts w:cstheme="minorHAnsi"/>
          <w:sz w:val="24"/>
          <w:szCs w:val="24"/>
          <w:highlight w:val="yellow"/>
        </w:rPr>
        <w:t xml:space="preserve">Επισημαίνεται ότι ο παρότι προστίθεται νέος δείκτης εκροών η τιμή στόχος </w:t>
      </w:r>
      <w:r w:rsidR="00285085">
        <w:rPr>
          <w:rFonts w:cstheme="minorHAnsi"/>
          <w:sz w:val="24"/>
          <w:szCs w:val="24"/>
          <w:highlight w:val="yellow"/>
        </w:rPr>
        <w:t xml:space="preserve">του δείκτη αποτελέσματος </w:t>
      </w:r>
      <w:r>
        <w:rPr>
          <w:rFonts w:cstheme="minorHAnsi"/>
          <w:sz w:val="24"/>
          <w:szCs w:val="24"/>
          <w:highlight w:val="yellow"/>
        </w:rPr>
        <w:t xml:space="preserve">δεν αλλάζει δεδομένου ότι ο νέος δείκτης εκροών αφορά </w:t>
      </w:r>
      <w:r w:rsidR="00285085">
        <w:rPr>
          <w:rFonts w:cstheme="minorHAnsi"/>
          <w:sz w:val="24"/>
          <w:szCs w:val="24"/>
          <w:highlight w:val="yellow"/>
        </w:rPr>
        <w:t>σ</w:t>
      </w:r>
      <w:bookmarkStart w:id="0" w:name="_GoBack"/>
      <w:bookmarkEnd w:id="0"/>
      <w:r>
        <w:rPr>
          <w:rFonts w:cstheme="minorHAnsi"/>
          <w:sz w:val="24"/>
          <w:szCs w:val="24"/>
          <w:highlight w:val="yellow"/>
        </w:rPr>
        <w:t xml:space="preserve">τον τομέα υγεία και σχετίζεται με </w:t>
      </w:r>
      <w:r w:rsidR="00FF6F11">
        <w:rPr>
          <w:rFonts w:cstheme="minorHAnsi"/>
          <w:sz w:val="24"/>
          <w:szCs w:val="24"/>
          <w:highlight w:val="yellow"/>
        </w:rPr>
        <w:t>τη νοσοκομειακή</w:t>
      </w:r>
      <w:r>
        <w:rPr>
          <w:rFonts w:cstheme="minorHAnsi"/>
          <w:sz w:val="24"/>
          <w:szCs w:val="24"/>
          <w:highlight w:val="yellow"/>
        </w:rPr>
        <w:t xml:space="preserve"> περίθαλψη</w:t>
      </w:r>
      <w:r w:rsidR="00FF6F11">
        <w:rPr>
          <w:rFonts w:cstheme="minorHAnsi"/>
          <w:sz w:val="24"/>
          <w:szCs w:val="24"/>
          <w:highlight w:val="yellow"/>
        </w:rPr>
        <w:t xml:space="preserve"> </w:t>
      </w:r>
      <w:r>
        <w:rPr>
          <w:rFonts w:cstheme="minorHAnsi"/>
          <w:sz w:val="24"/>
          <w:szCs w:val="24"/>
          <w:highlight w:val="yellow"/>
        </w:rPr>
        <w:t>(</w:t>
      </w:r>
      <w:r w:rsidR="00FF6F11">
        <w:rPr>
          <w:rFonts w:cstheme="minorHAnsi"/>
          <w:sz w:val="24"/>
          <w:szCs w:val="24"/>
          <w:highlight w:val="yellow"/>
        </w:rPr>
        <w:t>βλ. ανωτέρω)</w:t>
      </w:r>
      <w:r w:rsidR="00912618" w:rsidRPr="00247D9A">
        <w:rPr>
          <w:rFonts w:cstheme="minorHAnsi"/>
          <w:sz w:val="24"/>
          <w:szCs w:val="24"/>
          <w:highlight w:val="yellow"/>
        </w:rPr>
        <w:t>.</w:t>
      </w:r>
    </w:p>
    <w:p w:rsidR="00B5585E" w:rsidRPr="00740C34" w:rsidRDefault="00B5585E" w:rsidP="00B5585E">
      <w:pPr>
        <w:jc w:val="both"/>
        <w:rPr>
          <w:rFonts w:cstheme="minorHAnsi"/>
          <w:b/>
          <w:i/>
          <w:sz w:val="24"/>
          <w:szCs w:val="24"/>
          <w:u w:val="single"/>
        </w:rPr>
      </w:pPr>
      <w:r w:rsidRPr="00740C34">
        <w:rPr>
          <w:rFonts w:cstheme="minorHAnsi"/>
          <w:b/>
          <w:i/>
          <w:sz w:val="24"/>
          <w:szCs w:val="24"/>
          <w:u w:val="single"/>
        </w:rPr>
        <w:t>Δείκτες Εκροής</w:t>
      </w:r>
    </w:p>
    <w:p w:rsidR="00B5585E" w:rsidRPr="00247D9A" w:rsidRDefault="00B5585E" w:rsidP="007B3067">
      <w:pPr>
        <w:pStyle w:val="a6"/>
        <w:numPr>
          <w:ilvl w:val="0"/>
          <w:numId w:val="6"/>
        </w:numPr>
        <w:jc w:val="both"/>
        <w:rPr>
          <w:rFonts w:cstheme="minorHAnsi"/>
          <w:b/>
          <w:sz w:val="24"/>
          <w:szCs w:val="24"/>
        </w:rPr>
      </w:pPr>
      <w:r w:rsidRPr="00247D9A">
        <w:rPr>
          <w:rFonts w:cstheme="minorHAnsi"/>
          <w:b/>
          <w:sz w:val="24"/>
          <w:szCs w:val="24"/>
        </w:rPr>
        <w:t>Αριθμός εποπτευόμενων φορέων δημόσιου τομέα που αξιολογούνται</w:t>
      </w:r>
    </w:p>
    <w:p w:rsidR="00B5585E" w:rsidRPr="00247D9A" w:rsidRDefault="00B5585E" w:rsidP="00B5585E">
      <w:pPr>
        <w:jc w:val="both"/>
        <w:rPr>
          <w:rFonts w:cstheme="minorHAnsi"/>
          <w:sz w:val="24"/>
          <w:szCs w:val="24"/>
        </w:rPr>
      </w:pPr>
      <w:r w:rsidRPr="00247D9A">
        <w:rPr>
          <w:rFonts w:cstheme="minorHAnsi"/>
          <w:sz w:val="24"/>
          <w:szCs w:val="24"/>
        </w:rPr>
        <w:t>Σε συνέχεια των δράσεων αναδιοργάνωσης των δημόσιων φορέων (αξιολογούνται 94 φορείς Υπουργεία και εποπτευόμενοι φορείς τους) θα χρηματοδοτηθούν δράσεις ολοκλήρωσης της αξιολόγησης για τους εναπομείναντες φορείς. Συγκεκριμένα προβλέπεται η αξιολόγηση 7 Αποκεντρωμένων Διοικήσεων, 13 Περιφερειών, 325 Δήμων καθώς και 100 εποπτευόμενων φορέων των Υπουργείων Υγείας και Παιδείας. Συνεπώς η τιμή στόχος του δείκτη για το έτος 2023 είναι 445, με μέσο κόστος υλοποίησης</w:t>
      </w:r>
      <w:r w:rsidR="00FF6F11">
        <w:rPr>
          <w:rFonts w:cstheme="minorHAnsi"/>
          <w:sz w:val="24"/>
          <w:szCs w:val="24"/>
        </w:rPr>
        <w:t xml:space="preserve"> </w:t>
      </w:r>
      <w:r w:rsidRPr="00247D9A">
        <w:rPr>
          <w:rFonts w:cstheme="minorHAnsi"/>
          <w:sz w:val="24"/>
          <w:szCs w:val="24"/>
        </w:rPr>
        <w:t>20.000€ ανά φορέα, σύμφωνα με τα στοιχείαπαρόμοιων έργων στο πλαίσιο του ΕΠΔΜ 2007-2013.</w:t>
      </w:r>
    </w:p>
    <w:p w:rsidR="00B5585E" w:rsidRPr="00247D9A" w:rsidRDefault="00B5585E" w:rsidP="007B3067">
      <w:pPr>
        <w:pStyle w:val="a6"/>
        <w:numPr>
          <w:ilvl w:val="0"/>
          <w:numId w:val="6"/>
        </w:numPr>
        <w:jc w:val="both"/>
        <w:rPr>
          <w:rFonts w:cstheme="minorHAnsi"/>
          <w:b/>
          <w:sz w:val="24"/>
          <w:szCs w:val="24"/>
        </w:rPr>
      </w:pPr>
      <w:r w:rsidRPr="00247D9A">
        <w:rPr>
          <w:rFonts w:cstheme="minorHAnsi"/>
          <w:b/>
          <w:sz w:val="24"/>
          <w:szCs w:val="24"/>
        </w:rPr>
        <w:t>Αριθμός έργων απλοποίησης εσωτερικών διαδικασιών φορέων του δημοσίου τομέα</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εκροής είναι 20 και αφορά σε δράσεις απλοποίησης εσωτερικών διαδικασιών φορέων του δημόσιου τομέα. Το μέσο κόστος υλοποίησης, εκτιμάται σε 1.500.000 € ανά δράση.</w:t>
      </w:r>
    </w:p>
    <w:p w:rsidR="00B5585E" w:rsidRPr="00247D9A" w:rsidRDefault="00B5585E" w:rsidP="00B5585E">
      <w:pPr>
        <w:jc w:val="both"/>
        <w:rPr>
          <w:rFonts w:cstheme="minorHAnsi"/>
          <w:sz w:val="24"/>
          <w:szCs w:val="24"/>
        </w:rPr>
      </w:pPr>
      <w:r w:rsidRPr="00247D9A">
        <w:rPr>
          <w:rFonts w:cstheme="minorHAnsi"/>
          <w:sz w:val="24"/>
          <w:szCs w:val="24"/>
        </w:rPr>
        <w:t>Ενδεικτικά έργα απλοποίησης εσωτερικών διαδικασιών, τα οποία έχουν μεγάλο βαθμό ωρίμανσης ή/και αποτελούν έργα προτεραιότητας με βάση το στρατηγικό κείμενο για τη διοικητική μεταρρύθμιση είναι:</w:t>
      </w:r>
    </w:p>
    <w:p w:rsidR="00B5585E" w:rsidRPr="00247D9A" w:rsidRDefault="00B5585E" w:rsidP="00B5585E">
      <w:pPr>
        <w:pStyle w:val="a6"/>
        <w:numPr>
          <w:ilvl w:val="0"/>
          <w:numId w:val="3"/>
        </w:numPr>
        <w:jc w:val="both"/>
        <w:rPr>
          <w:rFonts w:cstheme="minorHAnsi"/>
          <w:sz w:val="24"/>
          <w:szCs w:val="24"/>
        </w:rPr>
      </w:pPr>
      <w:r w:rsidRPr="00247D9A">
        <w:rPr>
          <w:rFonts w:cstheme="minorHAnsi"/>
          <w:sz w:val="24"/>
          <w:szCs w:val="24"/>
        </w:rPr>
        <w:t>Προτυποποίηση και απλούστευση των οριζόντιων διαδικασιών λειτουργίας των Δήμων και των Περιφερειών</w:t>
      </w:r>
    </w:p>
    <w:p w:rsidR="00B5585E" w:rsidRPr="00247D9A" w:rsidRDefault="00B5585E" w:rsidP="00B5585E">
      <w:pPr>
        <w:pStyle w:val="a6"/>
        <w:numPr>
          <w:ilvl w:val="0"/>
          <w:numId w:val="3"/>
        </w:numPr>
        <w:jc w:val="both"/>
        <w:rPr>
          <w:rFonts w:cstheme="minorHAnsi"/>
          <w:sz w:val="24"/>
          <w:szCs w:val="24"/>
        </w:rPr>
      </w:pPr>
      <w:r w:rsidRPr="00247D9A">
        <w:rPr>
          <w:rFonts w:cstheme="minorHAnsi"/>
          <w:sz w:val="24"/>
          <w:szCs w:val="24"/>
        </w:rPr>
        <w:lastRenderedPageBreak/>
        <w:t xml:space="preserve">Ενδυνάμωση της Εθνικής Στρατηγικής για την Ασφάλιση Υγείας και Ενδυνάμωση του ΕΟΠΥΥ </w:t>
      </w:r>
    </w:p>
    <w:p w:rsidR="00B5585E" w:rsidRPr="00247D9A" w:rsidRDefault="00B5585E" w:rsidP="00B5585E">
      <w:pPr>
        <w:pStyle w:val="a6"/>
        <w:numPr>
          <w:ilvl w:val="0"/>
          <w:numId w:val="3"/>
        </w:numPr>
        <w:jc w:val="both"/>
        <w:rPr>
          <w:rFonts w:cstheme="minorHAnsi"/>
          <w:sz w:val="24"/>
          <w:szCs w:val="24"/>
        </w:rPr>
      </w:pPr>
      <w:r w:rsidRPr="00247D9A">
        <w:rPr>
          <w:rFonts w:cstheme="minorHAnsi"/>
          <w:sz w:val="24"/>
          <w:szCs w:val="24"/>
        </w:rPr>
        <w:t xml:space="preserve">Μελέτη κι εφαρμογή ISO διαδικασιών της Γ.Γ.Π.Σ. και της Γ.Γ.Δ.Ε. και παρεχόμενων υπηρεσιών προς το Υπουργείο Οικονομικών και άλλα Υπουργεία </w:t>
      </w:r>
    </w:p>
    <w:p w:rsidR="00B5585E" w:rsidRPr="00247D9A" w:rsidRDefault="00B5585E" w:rsidP="00B5585E">
      <w:pPr>
        <w:pStyle w:val="a6"/>
        <w:numPr>
          <w:ilvl w:val="0"/>
          <w:numId w:val="3"/>
        </w:numPr>
        <w:jc w:val="both"/>
        <w:rPr>
          <w:rFonts w:cstheme="minorHAnsi"/>
          <w:sz w:val="24"/>
          <w:szCs w:val="24"/>
        </w:rPr>
      </w:pPr>
      <w:r w:rsidRPr="00247D9A">
        <w:rPr>
          <w:rFonts w:cstheme="minorHAnsi"/>
          <w:sz w:val="24"/>
          <w:szCs w:val="24"/>
        </w:rPr>
        <w:t>Καταπολέμηση της Εισφοροδιαφυγής και Εισφοροαποφυγής στο ΙΚΑ/ΕΤΑΜ</w:t>
      </w:r>
    </w:p>
    <w:p w:rsidR="00B5585E" w:rsidRPr="00247D9A" w:rsidRDefault="00B5585E" w:rsidP="00B5585E">
      <w:pPr>
        <w:pStyle w:val="a6"/>
        <w:numPr>
          <w:ilvl w:val="0"/>
          <w:numId w:val="3"/>
        </w:numPr>
        <w:jc w:val="both"/>
        <w:rPr>
          <w:rFonts w:cstheme="minorHAnsi"/>
          <w:sz w:val="24"/>
          <w:szCs w:val="24"/>
        </w:rPr>
      </w:pPr>
      <w:r w:rsidRPr="00247D9A">
        <w:rPr>
          <w:rFonts w:cstheme="minorHAnsi"/>
          <w:sz w:val="24"/>
          <w:szCs w:val="24"/>
        </w:rPr>
        <w:t>Οικονομική Μεταρρύθμιση των ΦΚΑ και Βελτιστοποίηση του Μηχανισμού Διαχείρισης και Ελέγχου των Οικονομικών Πόρων τους για τη Διασφάλιση της Βιωσιμότητας του Ασφαλιστικού Συστήματος</w:t>
      </w:r>
    </w:p>
    <w:p w:rsidR="00B5585E" w:rsidRPr="00247D9A" w:rsidRDefault="00B5585E" w:rsidP="00B5585E">
      <w:pPr>
        <w:pStyle w:val="a6"/>
        <w:numPr>
          <w:ilvl w:val="0"/>
          <w:numId w:val="3"/>
        </w:numPr>
        <w:jc w:val="both"/>
        <w:rPr>
          <w:rFonts w:cstheme="minorHAnsi"/>
          <w:sz w:val="24"/>
          <w:szCs w:val="24"/>
        </w:rPr>
      </w:pPr>
      <w:r w:rsidRPr="00247D9A">
        <w:rPr>
          <w:rFonts w:cstheme="minorHAnsi"/>
          <w:sz w:val="24"/>
          <w:szCs w:val="24"/>
        </w:rPr>
        <w:t>Οργανωτική Αναδιοργάνωση και Λειτουργικός Ανασχεδιασμός του ΙΚΑ/ΕΤΑΜ και Ανάπτυξη Συστήματος Διοικητικής Πληροφόρησης</w:t>
      </w:r>
    </w:p>
    <w:p w:rsidR="00B5585E" w:rsidRPr="00247D9A" w:rsidRDefault="00B5585E" w:rsidP="00B5585E">
      <w:pPr>
        <w:pStyle w:val="a6"/>
        <w:ind w:left="780"/>
        <w:jc w:val="both"/>
        <w:rPr>
          <w:rFonts w:cstheme="minorHAnsi"/>
          <w:sz w:val="24"/>
          <w:szCs w:val="24"/>
        </w:rPr>
      </w:pPr>
    </w:p>
    <w:p w:rsidR="00B11073" w:rsidRPr="00247D9A" w:rsidRDefault="00B11073" w:rsidP="00B5585E">
      <w:pPr>
        <w:pStyle w:val="a6"/>
        <w:ind w:left="780"/>
        <w:jc w:val="both"/>
        <w:rPr>
          <w:rFonts w:cstheme="minorHAnsi"/>
          <w:sz w:val="24"/>
          <w:szCs w:val="24"/>
        </w:rPr>
      </w:pPr>
    </w:p>
    <w:p w:rsidR="00B5585E" w:rsidRPr="00247D9A" w:rsidRDefault="00B5585E" w:rsidP="007B3067">
      <w:pPr>
        <w:pStyle w:val="a6"/>
        <w:numPr>
          <w:ilvl w:val="0"/>
          <w:numId w:val="6"/>
        </w:numPr>
        <w:jc w:val="both"/>
        <w:rPr>
          <w:rFonts w:cstheme="minorHAnsi"/>
          <w:b/>
          <w:sz w:val="24"/>
          <w:szCs w:val="24"/>
        </w:rPr>
      </w:pPr>
      <w:r w:rsidRPr="00247D9A">
        <w:rPr>
          <w:rFonts w:cstheme="minorHAnsi"/>
          <w:b/>
          <w:sz w:val="24"/>
          <w:szCs w:val="24"/>
        </w:rPr>
        <w:t>Αριθμός έργων απλοποίησης διαδικασιών και προτυποποίησης υπηρεσιών προς τους πολίτες</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εκροής είναι 15 και αφορά σε δράσεις απλοποίησης διαδικασιών και προτυποποίησης υπηρεσιών προς τους πολίτες. Το μέσο κόστος υλοποίησης, εκτιμάται σε 3.000.000 € ανά δράση.</w:t>
      </w:r>
    </w:p>
    <w:p w:rsidR="00B5585E" w:rsidRPr="00247D9A" w:rsidRDefault="00B5585E" w:rsidP="00B5585E">
      <w:pPr>
        <w:jc w:val="both"/>
        <w:rPr>
          <w:rFonts w:cstheme="minorHAnsi"/>
          <w:sz w:val="24"/>
          <w:szCs w:val="24"/>
        </w:rPr>
      </w:pPr>
      <w:r w:rsidRPr="00247D9A">
        <w:rPr>
          <w:rFonts w:cstheme="minorHAnsi"/>
          <w:sz w:val="24"/>
          <w:szCs w:val="24"/>
        </w:rPr>
        <w:t>Ενδεικτικά έργα απλοποίησης διαδικασιών και προτυποποίησης υπηρεσιών προς τον πολίτη, τα οποία έχουν μεγάλο βαθμό ωρίμανσης ή/και αποτελούν έργα προτεραιότητας με βάση το στρατηγικό κείμενο για τη διοικητική μεταρρύθμιση:</w:t>
      </w:r>
    </w:p>
    <w:p w:rsidR="00B5585E" w:rsidRPr="00247D9A" w:rsidRDefault="00B5585E" w:rsidP="00B5585E">
      <w:pPr>
        <w:pStyle w:val="a6"/>
        <w:numPr>
          <w:ilvl w:val="0"/>
          <w:numId w:val="4"/>
        </w:numPr>
        <w:jc w:val="both"/>
        <w:rPr>
          <w:rFonts w:cstheme="minorHAnsi"/>
          <w:sz w:val="24"/>
          <w:szCs w:val="24"/>
        </w:rPr>
      </w:pPr>
      <w:r w:rsidRPr="00247D9A">
        <w:rPr>
          <w:rFonts w:cstheme="minorHAnsi"/>
          <w:sz w:val="24"/>
          <w:szCs w:val="24"/>
        </w:rPr>
        <w:t>Εφαρμογή απαιτούμενων οργανωτικών αλλαγών σε παρεχόμενες ηλεκτρονικές υπηρεσίες και υφιστάμενα Πληροφοριακά Συστήματα της Γενικής Γραμματείας Δημοσίων Εσόδων</w:t>
      </w:r>
    </w:p>
    <w:p w:rsidR="00B5585E" w:rsidRPr="00247D9A" w:rsidRDefault="00B5585E" w:rsidP="00B5585E">
      <w:pPr>
        <w:pStyle w:val="a6"/>
        <w:numPr>
          <w:ilvl w:val="0"/>
          <w:numId w:val="4"/>
        </w:numPr>
        <w:jc w:val="both"/>
        <w:rPr>
          <w:rFonts w:cstheme="minorHAnsi"/>
          <w:sz w:val="24"/>
          <w:szCs w:val="24"/>
        </w:rPr>
      </w:pPr>
      <w:r w:rsidRPr="00247D9A">
        <w:rPr>
          <w:rFonts w:cstheme="minorHAnsi"/>
          <w:sz w:val="24"/>
          <w:szCs w:val="24"/>
        </w:rPr>
        <w:t>Βελτιστοποίηση της Ροής Ποινικής, Πολιτικής και Διοικητικής Διαδικασίας</w:t>
      </w:r>
    </w:p>
    <w:p w:rsidR="00B5585E" w:rsidRPr="00247D9A" w:rsidRDefault="00B5585E" w:rsidP="00B5585E">
      <w:pPr>
        <w:pStyle w:val="a6"/>
        <w:numPr>
          <w:ilvl w:val="0"/>
          <w:numId w:val="4"/>
        </w:numPr>
        <w:jc w:val="both"/>
        <w:rPr>
          <w:rFonts w:cstheme="minorHAnsi"/>
          <w:sz w:val="24"/>
          <w:szCs w:val="24"/>
        </w:rPr>
      </w:pPr>
      <w:r w:rsidRPr="00247D9A">
        <w:rPr>
          <w:rFonts w:cstheme="minorHAnsi"/>
          <w:sz w:val="24"/>
          <w:szCs w:val="24"/>
        </w:rPr>
        <w:t>Βελτίωση των Παρεχόμενων Υπηρεσιών Πρωτοβάθμιας Υγείας με στόχο τον Περιορισμό της Προσφυγής σε εξειδικευμένες Νοσοκομειακές Υπηρεσίες</w:t>
      </w:r>
    </w:p>
    <w:p w:rsidR="00B5585E" w:rsidRPr="00247D9A" w:rsidRDefault="00B5585E" w:rsidP="00B5585E">
      <w:pPr>
        <w:pStyle w:val="a6"/>
        <w:numPr>
          <w:ilvl w:val="0"/>
          <w:numId w:val="4"/>
        </w:numPr>
        <w:jc w:val="both"/>
        <w:rPr>
          <w:rFonts w:cstheme="minorHAnsi"/>
          <w:sz w:val="24"/>
          <w:szCs w:val="24"/>
        </w:rPr>
      </w:pPr>
      <w:r w:rsidRPr="00247D9A">
        <w:rPr>
          <w:rFonts w:cstheme="minorHAnsi"/>
          <w:sz w:val="24"/>
          <w:szCs w:val="24"/>
        </w:rPr>
        <w:t>Έκδοση σύνταξης ΙΚΑ σε μία ημέρα</w:t>
      </w:r>
    </w:p>
    <w:p w:rsidR="00B5585E" w:rsidRPr="00247D9A" w:rsidRDefault="00B5585E" w:rsidP="00B5585E">
      <w:pPr>
        <w:pStyle w:val="a6"/>
        <w:numPr>
          <w:ilvl w:val="0"/>
          <w:numId w:val="4"/>
        </w:numPr>
        <w:jc w:val="both"/>
        <w:rPr>
          <w:rFonts w:cstheme="minorHAnsi"/>
          <w:sz w:val="24"/>
          <w:szCs w:val="24"/>
        </w:rPr>
      </w:pPr>
      <w:r w:rsidRPr="00247D9A">
        <w:rPr>
          <w:rFonts w:cstheme="minorHAnsi"/>
          <w:sz w:val="24"/>
          <w:szCs w:val="24"/>
        </w:rPr>
        <w:t>Επιχειρησιακός Σχεδιασμός και Πληροφοριακό Σύστημα Κέντρου Πιστοποίησης Αναπηρίας (ΚΕΠΑ)</w:t>
      </w:r>
    </w:p>
    <w:p w:rsidR="00B5585E" w:rsidRPr="00247D9A" w:rsidRDefault="00B5585E" w:rsidP="00B5585E">
      <w:pPr>
        <w:pStyle w:val="a6"/>
        <w:numPr>
          <w:ilvl w:val="0"/>
          <w:numId w:val="4"/>
        </w:numPr>
        <w:jc w:val="both"/>
        <w:rPr>
          <w:rFonts w:cstheme="minorHAnsi"/>
          <w:sz w:val="24"/>
          <w:szCs w:val="24"/>
        </w:rPr>
      </w:pPr>
      <w:r w:rsidRPr="00247D9A">
        <w:rPr>
          <w:rFonts w:cstheme="minorHAnsi"/>
          <w:sz w:val="24"/>
          <w:szCs w:val="24"/>
        </w:rPr>
        <w:t>Προτυποποίηση και απλούστευση παρεχόμενων εξωστρεφών υπηρεσιών Δήμων και Περιφερειών προς τους πολίτες και τις επιχειρήσεις</w:t>
      </w:r>
    </w:p>
    <w:p w:rsidR="00B5585E" w:rsidRPr="00247D9A" w:rsidRDefault="00B5585E" w:rsidP="00B5585E">
      <w:pPr>
        <w:pStyle w:val="a6"/>
        <w:numPr>
          <w:ilvl w:val="0"/>
          <w:numId w:val="4"/>
        </w:numPr>
        <w:jc w:val="both"/>
        <w:rPr>
          <w:rFonts w:cstheme="minorHAnsi"/>
          <w:sz w:val="24"/>
          <w:szCs w:val="24"/>
        </w:rPr>
      </w:pPr>
      <w:r w:rsidRPr="00247D9A">
        <w:rPr>
          <w:rFonts w:cstheme="minorHAnsi"/>
          <w:sz w:val="24"/>
          <w:szCs w:val="24"/>
        </w:rPr>
        <w:t>Απλούστευση Διαδικασίας του Ολοκληρωμένου Συστήματος Διαχείρισης και Ελέγχου Αγροτικών Ενισχύσεων της Ελλάδας για τη Βελτίωση της Εξυπηρέτησης των Συναλλασσόμενων Αγροτών και Επιχειρήσεων</w:t>
      </w:r>
    </w:p>
    <w:p w:rsidR="00B5585E" w:rsidRPr="00247D9A" w:rsidRDefault="00B5585E" w:rsidP="00B5585E">
      <w:pPr>
        <w:pStyle w:val="a6"/>
        <w:numPr>
          <w:ilvl w:val="0"/>
          <w:numId w:val="4"/>
        </w:numPr>
        <w:jc w:val="both"/>
        <w:rPr>
          <w:rFonts w:cstheme="minorHAnsi"/>
          <w:sz w:val="24"/>
          <w:szCs w:val="24"/>
        </w:rPr>
      </w:pPr>
      <w:r w:rsidRPr="00247D9A">
        <w:rPr>
          <w:rFonts w:cstheme="minorHAnsi"/>
          <w:sz w:val="24"/>
          <w:szCs w:val="24"/>
        </w:rPr>
        <w:t>Βελτιστοποίηση Στρατολογικών Υπηρεσιών προς τους Πολίτες και Λοιπούς Δημόσιους Φορείς</w:t>
      </w:r>
    </w:p>
    <w:p w:rsidR="009D3ED1" w:rsidRPr="00247D9A" w:rsidRDefault="009D3ED1">
      <w:pPr>
        <w:rPr>
          <w:rFonts w:cstheme="minorHAnsi"/>
          <w:b/>
          <w:i/>
          <w:u w:val="single"/>
        </w:rPr>
      </w:pPr>
    </w:p>
    <w:p w:rsidR="0092043A" w:rsidRPr="00247D9A" w:rsidRDefault="0092043A" w:rsidP="0092043A">
      <w:pPr>
        <w:pStyle w:val="a6"/>
        <w:numPr>
          <w:ilvl w:val="0"/>
          <w:numId w:val="6"/>
        </w:numPr>
        <w:jc w:val="both"/>
        <w:rPr>
          <w:rFonts w:cstheme="minorHAnsi"/>
          <w:b/>
          <w:sz w:val="24"/>
          <w:szCs w:val="24"/>
          <w:highlight w:val="yellow"/>
        </w:rPr>
      </w:pPr>
      <w:r w:rsidRPr="00247D9A">
        <w:rPr>
          <w:rFonts w:cstheme="minorHAnsi"/>
          <w:b/>
          <w:sz w:val="24"/>
          <w:szCs w:val="24"/>
          <w:highlight w:val="yellow"/>
        </w:rPr>
        <w:t>Αριθμός Τοπικών Μονάδων Υγείας που δημιουργούνται.</w:t>
      </w:r>
    </w:p>
    <w:p w:rsidR="00825F93" w:rsidRPr="00247D9A" w:rsidRDefault="00825F93" w:rsidP="00825F93">
      <w:pPr>
        <w:pStyle w:val="a6"/>
        <w:jc w:val="both"/>
        <w:rPr>
          <w:rFonts w:cstheme="minorHAnsi"/>
          <w:b/>
          <w:sz w:val="24"/>
          <w:szCs w:val="24"/>
          <w:highlight w:val="yellow"/>
        </w:rPr>
      </w:pPr>
    </w:p>
    <w:p w:rsidR="0092043A" w:rsidRPr="00740C34" w:rsidRDefault="0092043A" w:rsidP="00740C34">
      <w:pPr>
        <w:jc w:val="both"/>
        <w:rPr>
          <w:rFonts w:cstheme="minorHAnsi"/>
          <w:sz w:val="24"/>
          <w:szCs w:val="24"/>
          <w:highlight w:val="yellow"/>
        </w:rPr>
      </w:pPr>
      <w:r w:rsidRPr="00740C34">
        <w:rPr>
          <w:rFonts w:cstheme="minorHAnsi"/>
          <w:sz w:val="24"/>
          <w:szCs w:val="24"/>
          <w:highlight w:val="yellow"/>
        </w:rPr>
        <w:t xml:space="preserve">Η τιμή στόχος για το έτος 2023 του δείκτη εκροής είναι 239 και αφορά </w:t>
      </w:r>
      <w:r w:rsidR="00FF6F11" w:rsidRPr="00740C34">
        <w:rPr>
          <w:rFonts w:cstheme="minorHAnsi"/>
          <w:sz w:val="24"/>
          <w:szCs w:val="24"/>
          <w:highlight w:val="yellow"/>
        </w:rPr>
        <w:t>στη βελτίωση της πρωτοβάθμιας φροντίδας υγείας. Το μέσο κόστος υλοποίησης ανέρχεται σε 324.686€ ανά Τοπική Μονάδα Υγείας</w:t>
      </w:r>
      <w:r w:rsidRPr="00740C34">
        <w:rPr>
          <w:rFonts w:cstheme="minorHAnsi"/>
          <w:sz w:val="24"/>
          <w:szCs w:val="24"/>
          <w:highlight w:val="yellow"/>
        </w:rPr>
        <w:t>.</w:t>
      </w:r>
    </w:p>
    <w:p w:rsidR="0092043A" w:rsidRPr="00740C34" w:rsidRDefault="0092043A" w:rsidP="00825F93">
      <w:pPr>
        <w:jc w:val="both"/>
        <w:rPr>
          <w:rFonts w:cstheme="minorHAnsi"/>
          <w:sz w:val="24"/>
          <w:szCs w:val="24"/>
        </w:rPr>
      </w:pPr>
      <w:r w:rsidRPr="00740C34">
        <w:rPr>
          <w:rFonts w:cstheme="minorHAnsi"/>
          <w:sz w:val="24"/>
          <w:szCs w:val="24"/>
          <w:highlight w:val="yellow"/>
        </w:rPr>
        <w:t>Οι εν λόγω μονάδες έχει σχεδιασθεί να αποτελέσουν το νέο συστατικό στοιχείο του Ε.Σ.Υ. - το σημείο αναφοράς για την εκ νέου οργάνωση του δημόσιου συστήματος υγείας. Οι Το.Μ.Υ. θα λειτουργούν ως μονάδες οικογενειακής ιατρικής με σκοπό την παροχή ποιοτικών υπηρεσιών Π.Φ.Υ. στον εγγεγραμμένο πληθυσμό ευθύνης τους και ιδίως προσβάσιμης, αποτελεσματικής, ολιστικής, αποδοτικής και ανθρωποκεντρικής φροντίδας υγείας, σύμφωνα με τις ανάγκες του πληθυσμού ευθύνης τους. Η δέσμη των παρεχόμενων υπηρεσιών περιλαμβάνει ιδίως υπηρεσίες πρόληψης και προαγωγής της υγείας, φροντίδας ασθενών με χρόνια νοσήματα σε συνεργασία με το θεράποντα ιατρό, υπηρεσίες δημόσιας υγείας, κατ’ οίκον φροντίδα υγείας και κατ’ οίκον νοσηλεία, καθώς και υπηρεσίες συμβουλευτικής και υποστήριξης.</w:t>
      </w:r>
    </w:p>
    <w:p w:rsidR="0092043A" w:rsidRPr="00247D9A" w:rsidRDefault="0092043A">
      <w:pPr>
        <w:rPr>
          <w:rFonts w:cstheme="minorHAnsi"/>
          <w:b/>
          <w:i/>
          <w:u w:val="single"/>
        </w:rPr>
      </w:pPr>
    </w:p>
    <w:p w:rsidR="00680D53" w:rsidRPr="00740C34" w:rsidRDefault="00680D53" w:rsidP="00680D53">
      <w:pPr>
        <w:jc w:val="both"/>
        <w:rPr>
          <w:rFonts w:cstheme="minorHAnsi"/>
          <w:b/>
          <w:i/>
          <w:sz w:val="24"/>
          <w:szCs w:val="24"/>
          <w:u w:val="single"/>
        </w:rPr>
      </w:pPr>
      <w:r w:rsidRPr="00740C34">
        <w:rPr>
          <w:rFonts w:cstheme="minorHAnsi"/>
          <w:b/>
          <w:i/>
          <w:sz w:val="24"/>
          <w:szCs w:val="24"/>
          <w:u w:val="single"/>
        </w:rPr>
        <w:t>Ειδικός στόχος 1.1.3: Αύξηση των φορέων του δημόσιου τομέα που εφαρμόζουν συστήματα στοχοθεσίας, αξιολόγησης και εσωτερικού ελέγχου για τη βελτίωση της αποτελεσματικότητας και της διαφάνειας στη δημόσια διοίκηση</w:t>
      </w:r>
    </w:p>
    <w:p w:rsidR="0035601C" w:rsidRPr="00740C34" w:rsidRDefault="0035601C" w:rsidP="0035601C">
      <w:pPr>
        <w:jc w:val="both"/>
        <w:rPr>
          <w:rFonts w:cstheme="minorHAnsi"/>
          <w:b/>
          <w:i/>
          <w:sz w:val="24"/>
          <w:szCs w:val="24"/>
          <w:u w:val="single"/>
        </w:rPr>
      </w:pPr>
      <w:r w:rsidRPr="00740C34">
        <w:rPr>
          <w:rFonts w:cstheme="minorHAnsi"/>
          <w:b/>
          <w:i/>
          <w:sz w:val="24"/>
          <w:szCs w:val="24"/>
          <w:u w:val="single"/>
        </w:rPr>
        <w:t>Δείκτες Αποτελέσματος</w:t>
      </w:r>
    </w:p>
    <w:p w:rsidR="0035601C" w:rsidRPr="00247D9A" w:rsidRDefault="0035601C" w:rsidP="007B3067">
      <w:pPr>
        <w:pStyle w:val="a6"/>
        <w:numPr>
          <w:ilvl w:val="0"/>
          <w:numId w:val="9"/>
        </w:numPr>
        <w:jc w:val="both"/>
        <w:rPr>
          <w:rFonts w:cstheme="minorHAnsi"/>
          <w:b/>
          <w:sz w:val="24"/>
          <w:szCs w:val="24"/>
        </w:rPr>
      </w:pPr>
      <w:r w:rsidRPr="00247D9A">
        <w:rPr>
          <w:rFonts w:cstheme="minorHAnsi"/>
          <w:b/>
          <w:sz w:val="24"/>
          <w:szCs w:val="24"/>
        </w:rPr>
        <w:t>Αριθμός φορέων που εφαρμόζουν συστήματα στοχοθεσίας και αξιολόγησης</w:t>
      </w:r>
    </w:p>
    <w:p w:rsidR="00774F2E" w:rsidRPr="00247D9A" w:rsidRDefault="004A51BD" w:rsidP="004A51BD">
      <w:pPr>
        <w:jc w:val="both"/>
        <w:rPr>
          <w:rFonts w:cstheme="minorHAnsi"/>
          <w:sz w:val="24"/>
          <w:szCs w:val="24"/>
        </w:rPr>
      </w:pPr>
      <w:r w:rsidRPr="00247D9A">
        <w:rPr>
          <w:rFonts w:cstheme="minorHAnsi"/>
          <w:sz w:val="24"/>
          <w:szCs w:val="24"/>
        </w:rPr>
        <w:t>Η τιμή βάσης του δείκτη είναι 6 και αφορά στην εφαρμογή συστήματος στοχοθεσίας και αξιολόγησης του έτους 2013 στα υπουργεία:</w:t>
      </w:r>
      <w:r w:rsidR="00774F2E" w:rsidRPr="00247D9A">
        <w:rPr>
          <w:rFonts w:cstheme="minorHAnsi"/>
          <w:sz w:val="24"/>
          <w:szCs w:val="24"/>
        </w:rPr>
        <w:t xml:space="preserve"> Ανάπτυξης, Τουρισμού, Δημόσιας Τάξης </w:t>
      </w:r>
      <w:r w:rsidRPr="00247D9A">
        <w:rPr>
          <w:rFonts w:cstheme="minorHAnsi"/>
          <w:sz w:val="24"/>
          <w:szCs w:val="24"/>
        </w:rPr>
        <w:t>&amp; Π</w:t>
      </w:r>
      <w:r w:rsidR="00774F2E" w:rsidRPr="00247D9A">
        <w:rPr>
          <w:rFonts w:cstheme="minorHAnsi"/>
          <w:sz w:val="24"/>
          <w:szCs w:val="24"/>
        </w:rPr>
        <w:t>ροστασίας του πολίτη, ΥΔι</w:t>
      </w:r>
      <w:r w:rsidRPr="00247D9A">
        <w:rPr>
          <w:rFonts w:cstheme="minorHAnsi"/>
          <w:sz w:val="24"/>
          <w:szCs w:val="24"/>
        </w:rPr>
        <w:t>ΜΗ</w:t>
      </w:r>
      <w:r w:rsidR="00774F2E" w:rsidRPr="00247D9A">
        <w:rPr>
          <w:rFonts w:cstheme="minorHAnsi"/>
          <w:sz w:val="24"/>
          <w:szCs w:val="24"/>
        </w:rPr>
        <w:t>Δ, Αγροτικής Ανάπτυξης &amp; Τροφίμωνκαθώς και στην Αποκεντρωμένη Διοίκησης Μακεδονίας – Θράκης.</w:t>
      </w:r>
    </w:p>
    <w:p w:rsidR="00774F2E" w:rsidRPr="00247D9A" w:rsidRDefault="00A80074" w:rsidP="004A51BD">
      <w:pPr>
        <w:jc w:val="both"/>
        <w:rPr>
          <w:rFonts w:cstheme="minorHAnsi"/>
          <w:sz w:val="24"/>
          <w:szCs w:val="24"/>
        </w:rPr>
      </w:pPr>
      <w:r w:rsidRPr="00247D9A">
        <w:rPr>
          <w:rFonts w:cstheme="minorHAnsi"/>
          <w:sz w:val="24"/>
          <w:szCs w:val="24"/>
        </w:rPr>
        <w:t xml:space="preserve">Η τιμή στόχος για το έτος 2023 του δείκτη είναι 25 και </w:t>
      </w:r>
      <w:r w:rsidR="004A51BD" w:rsidRPr="00247D9A">
        <w:rPr>
          <w:rFonts w:cstheme="minorHAnsi"/>
          <w:sz w:val="24"/>
          <w:szCs w:val="24"/>
        </w:rPr>
        <w:t xml:space="preserve">προκύπτει από την εφαρμογή </w:t>
      </w:r>
      <w:r w:rsidR="00774F2E" w:rsidRPr="00247D9A">
        <w:rPr>
          <w:rFonts w:cstheme="minorHAnsi"/>
          <w:sz w:val="24"/>
          <w:szCs w:val="24"/>
        </w:rPr>
        <w:t>συστημάτων στοχοθεσίας και αξιολόγησης</w:t>
      </w:r>
      <w:r w:rsidRPr="00247D9A">
        <w:rPr>
          <w:rFonts w:cstheme="minorHAnsi"/>
          <w:sz w:val="24"/>
          <w:szCs w:val="24"/>
        </w:rPr>
        <w:t xml:space="preserve"> σε 18 υπουργεία και 7 Αποκεντρωμένες Διοικήσεις</w:t>
      </w:r>
      <w:r w:rsidR="00245853" w:rsidRPr="00247D9A">
        <w:rPr>
          <w:rFonts w:cstheme="minorHAnsi"/>
          <w:sz w:val="24"/>
          <w:szCs w:val="24"/>
        </w:rPr>
        <w:t>.</w:t>
      </w:r>
      <w:r w:rsidR="00FF6F11">
        <w:rPr>
          <w:rFonts w:cstheme="minorHAnsi"/>
          <w:sz w:val="24"/>
          <w:szCs w:val="24"/>
        </w:rPr>
        <w:t xml:space="preserve"> </w:t>
      </w:r>
      <w:r w:rsidR="00245853" w:rsidRPr="00247D9A">
        <w:rPr>
          <w:rFonts w:cstheme="minorHAnsi"/>
          <w:sz w:val="24"/>
          <w:szCs w:val="24"/>
        </w:rPr>
        <w:t>Η</w:t>
      </w:r>
      <w:r w:rsidR="00FF6F11">
        <w:rPr>
          <w:rFonts w:cstheme="minorHAnsi"/>
          <w:sz w:val="24"/>
          <w:szCs w:val="24"/>
        </w:rPr>
        <w:t xml:space="preserve"> </w:t>
      </w:r>
      <w:r w:rsidR="00245853" w:rsidRPr="00247D9A">
        <w:rPr>
          <w:rFonts w:cstheme="minorHAnsi"/>
          <w:sz w:val="24"/>
          <w:szCs w:val="24"/>
        </w:rPr>
        <w:t xml:space="preserve">εκπόνηση νέων </w:t>
      </w:r>
      <w:r w:rsidR="00774F2E" w:rsidRPr="00247D9A">
        <w:rPr>
          <w:rFonts w:cstheme="minorHAnsi"/>
          <w:sz w:val="24"/>
          <w:szCs w:val="24"/>
        </w:rPr>
        <w:t>συστημάτων στοχοθεσίας και αξιολόγησης σε φορείς</w:t>
      </w:r>
      <w:r w:rsidR="00245853" w:rsidRPr="00247D9A">
        <w:rPr>
          <w:rFonts w:cstheme="minorHAnsi"/>
          <w:sz w:val="24"/>
          <w:szCs w:val="24"/>
        </w:rPr>
        <w:t xml:space="preserve">, λόγω του οριζόντιου/στρατηγικού χαρακτήρα της παρέμβασης αφορά και επηρεάζει και του φορείς που </w:t>
      </w:r>
      <w:r w:rsidR="00774F2E" w:rsidRPr="00247D9A">
        <w:rPr>
          <w:rFonts w:cstheme="minorHAnsi"/>
          <w:sz w:val="24"/>
          <w:szCs w:val="24"/>
        </w:rPr>
        <w:t>έχουν</w:t>
      </w:r>
      <w:r w:rsidR="00245853" w:rsidRPr="00247D9A">
        <w:rPr>
          <w:rFonts w:cstheme="minorHAnsi"/>
          <w:sz w:val="24"/>
          <w:szCs w:val="24"/>
        </w:rPr>
        <w:t xml:space="preserve"> ήδη</w:t>
      </w:r>
      <w:r w:rsidR="00774F2E" w:rsidRPr="00247D9A">
        <w:rPr>
          <w:rFonts w:cstheme="minorHAnsi"/>
          <w:sz w:val="24"/>
          <w:szCs w:val="24"/>
        </w:rPr>
        <w:t xml:space="preserve"> τύχει αντικείμενο παρέμβασης και συμμετέχουν στην τιμή βάσης του δείκτη</w:t>
      </w:r>
      <w:r w:rsidRPr="00247D9A">
        <w:rPr>
          <w:rFonts w:cstheme="minorHAnsi"/>
          <w:sz w:val="24"/>
          <w:szCs w:val="24"/>
        </w:rPr>
        <w:t>.</w:t>
      </w:r>
    </w:p>
    <w:p w:rsidR="0035601C" w:rsidRPr="00247D9A" w:rsidRDefault="0035601C" w:rsidP="004A51BD">
      <w:pPr>
        <w:jc w:val="both"/>
        <w:rPr>
          <w:rFonts w:cstheme="minorHAnsi"/>
          <w:b/>
          <w:sz w:val="24"/>
          <w:szCs w:val="24"/>
        </w:rPr>
      </w:pPr>
      <w:r w:rsidRPr="00247D9A">
        <w:rPr>
          <w:rFonts w:cstheme="minorHAnsi"/>
          <w:sz w:val="24"/>
          <w:szCs w:val="24"/>
        </w:rPr>
        <w:lastRenderedPageBreak/>
        <w:t>Ο συγκεκριμένος δείκτης αποτελέσματος συνδέεται με το δείκτη εκροής «</w:t>
      </w:r>
      <w:r w:rsidR="00EA5D2F" w:rsidRPr="00247D9A">
        <w:rPr>
          <w:rFonts w:cstheme="minorHAnsi"/>
          <w:sz w:val="24"/>
          <w:szCs w:val="24"/>
        </w:rPr>
        <w:t>Αριθμός έργων εισαγωγής συστημάτων στοχοθεσίας και αξιολόγησης σε φορείς του δημόσιου τομέα».</w:t>
      </w:r>
    </w:p>
    <w:p w:rsidR="0035601C" w:rsidRPr="00247D9A" w:rsidRDefault="0035601C" w:rsidP="007B3067">
      <w:pPr>
        <w:pStyle w:val="a6"/>
        <w:numPr>
          <w:ilvl w:val="0"/>
          <w:numId w:val="9"/>
        </w:numPr>
        <w:jc w:val="both"/>
        <w:rPr>
          <w:rFonts w:cstheme="minorHAnsi"/>
          <w:b/>
          <w:sz w:val="24"/>
          <w:szCs w:val="24"/>
        </w:rPr>
      </w:pPr>
      <w:r w:rsidRPr="00247D9A">
        <w:rPr>
          <w:rFonts w:cstheme="minorHAnsi"/>
          <w:b/>
          <w:sz w:val="24"/>
          <w:szCs w:val="24"/>
        </w:rPr>
        <w:t>Αριθμός φορέων του δημόσιου τομέα που εφαρμόζουν συστήματα εσωτερικού ελέγχου</w:t>
      </w:r>
    </w:p>
    <w:p w:rsidR="00774F2E" w:rsidRPr="00247D9A" w:rsidRDefault="004A51BD" w:rsidP="0035601C">
      <w:pPr>
        <w:jc w:val="both"/>
        <w:rPr>
          <w:rFonts w:cstheme="minorHAnsi"/>
          <w:sz w:val="24"/>
          <w:szCs w:val="24"/>
        </w:rPr>
      </w:pPr>
      <w:r w:rsidRPr="00247D9A">
        <w:rPr>
          <w:rFonts w:cstheme="minorHAnsi"/>
          <w:sz w:val="24"/>
          <w:szCs w:val="24"/>
        </w:rPr>
        <w:t>Η τιμή βάσης του δείκτη είναι 1 και αφορά στην εφαρμογή συστήματος εσωτερικού ελέγχου στη Γενική Γραμματεία Δημοσίων Εσόδων.</w:t>
      </w:r>
    </w:p>
    <w:p w:rsidR="0035601C" w:rsidRPr="00247D9A" w:rsidRDefault="00A80074" w:rsidP="0035601C">
      <w:pPr>
        <w:jc w:val="both"/>
        <w:rPr>
          <w:rFonts w:cstheme="minorHAnsi"/>
          <w:sz w:val="24"/>
          <w:szCs w:val="24"/>
        </w:rPr>
      </w:pPr>
      <w:r w:rsidRPr="00247D9A">
        <w:rPr>
          <w:rFonts w:cstheme="minorHAnsi"/>
          <w:sz w:val="24"/>
          <w:szCs w:val="24"/>
        </w:rPr>
        <w:t xml:space="preserve">Η τιμή στόχος για το έτος 2023 του δείκτη είναι </w:t>
      </w:r>
      <w:r w:rsidR="00E562CF" w:rsidRPr="00247D9A">
        <w:rPr>
          <w:rFonts w:cstheme="minorHAnsi"/>
          <w:sz w:val="24"/>
          <w:szCs w:val="24"/>
        </w:rPr>
        <w:t>26</w:t>
      </w:r>
      <w:r w:rsidRPr="00247D9A">
        <w:rPr>
          <w:rFonts w:cstheme="minorHAnsi"/>
          <w:sz w:val="24"/>
          <w:szCs w:val="24"/>
        </w:rPr>
        <w:t xml:space="preserve"> και </w:t>
      </w:r>
      <w:r w:rsidR="004A51BD" w:rsidRPr="00247D9A">
        <w:rPr>
          <w:rFonts w:cstheme="minorHAnsi"/>
          <w:sz w:val="24"/>
          <w:szCs w:val="24"/>
        </w:rPr>
        <w:t>προκύπτει από την εφαρμογήσυστημάτων εσωτερικού ελέγχου σ</w:t>
      </w:r>
      <w:r w:rsidR="00B11073" w:rsidRPr="00247D9A">
        <w:rPr>
          <w:rFonts w:cstheme="minorHAnsi"/>
          <w:sz w:val="24"/>
          <w:szCs w:val="24"/>
        </w:rPr>
        <w:t xml:space="preserve">ε 18 Υπουργεία, 7 Αποκεντρωμένες Διοικήσεις </w:t>
      </w:r>
      <w:r w:rsidR="00E562CF" w:rsidRPr="00247D9A">
        <w:rPr>
          <w:rFonts w:cstheme="minorHAnsi"/>
          <w:sz w:val="24"/>
          <w:szCs w:val="24"/>
        </w:rPr>
        <w:t xml:space="preserve">καθώς και στη </w:t>
      </w:r>
      <w:r w:rsidR="00B11073" w:rsidRPr="00247D9A">
        <w:rPr>
          <w:rFonts w:cstheme="minorHAnsi"/>
          <w:sz w:val="24"/>
          <w:szCs w:val="24"/>
        </w:rPr>
        <w:t>Γενική Γραμματεία Δημοσίων Εσόδων</w:t>
      </w:r>
      <w:r w:rsidR="00DD3487" w:rsidRPr="00247D9A">
        <w:rPr>
          <w:rFonts w:cstheme="minorHAnsi"/>
          <w:sz w:val="24"/>
          <w:szCs w:val="24"/>
        </w:rPr>
        <w:t>. Επισημαίνεται ότι δεν</w:t>
      </w:r>
      <w:r w:rsidR="00774F2E" w:rsidRPr="00247D9A">
        <w:rPr>
          <w:rFonts w:cstheme="minorHAnsi"/>
          <w:sz w:val="24"/>
          <w:szCs w:val="24"/>
        </w:rPr>
        <w:t xml:space="preserve"> αποκλείεται η εκ νέου εφαρμογή συστημάτων εσωτερικού ελέγχου στον φορέα  που έχει τύχει αντικείμενο παρέμβασης και συμμετέχει στην τιμή βάσης του δείκτη</w:t>
      </w:r>
      <w:r w:rsidRPr="00247D9A">
        <w:rPr>
          <w:rFonts w:cstheme="minorHAnsi"/>
          <w:sz w:val="24"/>
          <w:szCs w:val="24"/>
        </w:rPr>
        <w:t>.</w:t>
      </w:r>
      <w:r w:rsidR="0035601C" w:rsidRPr="00247D9A">
        <w:rPr>
          <w:rFonts w:cstheme="minorHAnsi"/>
          <w:sz w:val="24"/>
          <w:szCs w:val="24"/>
        </w:rPr>
        <w:t xml:space="preserve">Ο συγκεκριμένος δείκτης αποτελέσματος συνδέεται με το δείκτη εκροής </w:t>
      </w:r>
      <w:r w:rsidR="00EA5D2F" w:rsidRPr="00247D9A">
        <w:rPr>
          <w:rFonts w:cstheme="minorHAnsi"/>
          <w:sz w:val="24"/>
          <w:szCs w:val="24"/>
        </w:rPr>
        <w:t>«Αριθμός συστημάτων εσωτερικού ελέγχου φορέων του δημόσιου τομέα που δημιουργούνται ή αναβαθμίζονται»</w:t>
      </w:r>
      <w:r w:rsidR="00E61BCE" w:rsidRPr="00247D9A">
        <w:rPr>
          <w:rFonts w:cstheme="minorHAnsi"/>
          <w:sz w:val="24"/>
          <w:szCs w:val="24"/>
        </w:rPr>
        <w:t>.</w:t>
      </w:r>
    </w:p>
    <w:p w:rsidR="009E2F1B" w:rsidRPr="00247D9A" w:rsidRDefault="0035601C" w:rsidP="007B3067">
      <w:pPr>
        <w:pStyle w:val="a6"/>
        <w:numPr>
          <w:ilvl w:val="0"/>
          <w:numId w:val="9"/>
        </w:numPr>
        <w:jc w:val="both"/>
        <w:rPr>
          <w:rFonts w:cstheme="minorHAnsi"/>
          <w:b/>
          <w:sz w:val="24"/>
          <w:szCs w:val="24"/>
        </w:rPr>
      </w:pPr>
      <w:r w:rsidRPr="00247D9A">
        <w:rPr>
          <w:rFonts w:cstheme="minorHAnsi"/>
          <w:b/>
          <w:sz w:val="24"/>
          <w:szCs w:val="24"/>
        </w:rPr>
        <w:t>Αριθμός ελεγκτικών φορέων στους οποίους εφαρμόζονται δράσεις αναβάθμισης της λειτουργίας τους</w:t>
      </w:r>
    </w:p>
    <w:p w:rsidR="0002435B" w:rsidRPr="00247D9A" w:rsidRDefault="0035601C" w:rsidP="0002435B">
      <w:pPr>
        <w:jc w:val="both"/>
        <w:rPr>
          <w:rFonts w:cstheme="minorHAnsi"/>
          <w:sz w:val="24"/>
          <w:szCs w:val="24"/>
        </w:rPr>
      </w:pPr>
      <w:r w:rsidRPr="00247D9A">
        <w:rPr>
          <w:rFonts w:cstheme="minorHAnsi"/>
          <w:sz w:val="24"/>
          <w:szCs w:val="24"/>
        </w:rPr>
        <w:t xml:space="preserve">Η τιμή βάσης </w:t>
      </w:r>
      <w:r w:rsidR="00874FE5" w:rsidRPr="00247D9A">
        <w:rPr>
          <w:rFonts w:cstheme="minorHAnsi"/>
          <w:sz w:val="24"/>
          <w:szCs w:val="24"/>
        </w:rPr>
        <w:t>του</w:t>
      </w:r>
      <w:r w:rsidRPr="00247D9A">
        <w:rPr>
          <w:rFonts w:cstheme="minorHAnsi"/>
          <w:sz w:val="24"/>
          <w:szCs w:val="24"/>
        </w:rPr>
        <w:t xml:space="preserve"> δείκτη είναι 1 </w:t>
      </w:r>
      <w:r w:rsidR="00774F2E" w:rsidRPr="00247D9A">
        <w:rPr>
          <w:rFonts w:cstheme="minorHAnsi"/>
          <w:sz w:val="24"/>
          <w:szCs w:val="24"/>
        </w:rPr>
        <w:t>και αφορά στην αναβάθμιση της λειτουργίας του ΣΕΠΕ</w:t>
      </w:r>
      <w:r w:rsidRPr="00247D9A">
        <w:rPr>
          <w:rFonts w:cstheme="minorHAnsi"/>
          <w:sz w:val="24"/>
          <w:szCs w:val="24"/>
        </w:rPr>
        <w:t xml:space="preserve"> μέσω </w:t>
      </w:r>
      <w:r w:rsidR="0002435B" w:rsidRPr="00247D9A">
        <w:rPr>
          <w:rFonts w:cstheme="minorHAnsi"/>
          <w:sz w:val="24"/>
          <w:szCs w:val="24"/>
        </w:rPr>
        <w:t>της εκπόνησης και εφαρμογής Μελέτης Ανασχεδιασμού - Απλούστευσης των front και backoffice</w:t>
      </w:r>
      <w:r w:rsidR="00FF6F11">
        <w:rPr>
          <w:rFonts w:cstheme="minorHAnsi"/>
          <w:sz w:val="24"/>
          <w:szCs w:val="24"/>
        </w:rPr>
        <w:t xml:space="preserve"> </w:t>
      </w:r>
      <w:r w:rsidR="0002435B" w:rsidRPr="00247D9A">
        <w:rPr>
          <w:rFonts w:cstheme="minorHAnsi"/>
          <w:sz w:val="24"/>
          <w:szCs w:val="24"/>
        </w:rPr>
        <w:t>διαδικασιών λειτουργίας του,</w:t>
      </w:r>
      <w:r w:rsidRPr="00247D9A">
        <w:rPr>
          <w:rFonts w:cstheme="minorHAnsi"/>
          <w:sz w:val="24"/>
          <w:szCs w:val="24"/>
        </w:rPr>
        <w:t xml:space="preserve"> που υλοποιήθηκε στο </w:t>
      </w:r>
      <w:r w:rsidR="00774F2E" w:rsidRPr="00247D9A">
        <w:rPr>
          <w:rFonts w:cstheme="minorHAnsi"/>
          <w:sz w:val="24"/>
          <w:szCs w:val="24"/>
        </w:rPr>
        <w:t xml:space="preserve">πλαίσιο του </w:t>
      </w:r>
      <w:r w:rsidRPr="00247D9A">
        <w:rPr>
          <w:rFonts w:cstheme="minorHAnsi"/>
          <w:sz w:val="24"/>
          <w:szCs w:val="24"/>
        </w:rPr>
        <w:t>ΕΠΔΜ 2007-2013</w:t>
      </w:r>
      <w:r w:rsidR="00774F2E" w:rsidRPr="00247D9A">
        <w:rPr>
          <w:rFonts w:cstheme="minorHAnsi"/>
          <w:sz w:val="24"/>
          <w:szCs w:val="24"/>
        </w:rPr>
        <w:t xml:space="preserve">. </w:t>
      </w:r>
    </w:p>
    <w:p w:rsidR="0002435B" w:rsidRPr="00247D9A" w:rsidRDefault="00774F2E" w:rsidP="0002435B">
      <w:pPr>
        <w:jc w:val="both"/>
        <w:rPr>
          <w:rFonts w:cstheme="minorHAnsi"/>
          <w:sz w:val="24"/>
          <w:szCs w:val="24"/>
        </w:rPr>
      </w:pPr>
      <w:r w:rsidRPr="00247D9A">
        <w:rPr>
          <w:rFonts w:cstheme="minorHAnsi"/>
          <w:sz w:val="24"/>
          <w:szCs w:val="24"/>
        </w:rPr>
        <w:t>Η</w:t>
      </w:r>
      <w:r w:rsidR="0035601C" w:rsidRPr="00247D9A">
        <w:rPr>
          <w:rFonts w:cstheme="minorHAnsi"/>
          <w:sz w:val="24"/>
          <w:szCs w:val="24"/>
        </w:rPr>
        <w:t xml:space="preserve"> τιμή στόχος </w:t>
      </w:r>
      <w:r w:rsidRPr="00247D9A">
        <w:rPr>
          <w:rFonts w:cstheme="minorHAnsi"/>
          <w:sz w:val="24"/>
          <w:szCs w:val="24"/>
        </w:rPr>
        <w:t xml:space="preserve">του δείκτη για το έτος 2023 </w:t>
      </w:r>
      <w:r w:rsidR="0035601C" w:rsidRPr="00247D9A">
        <w:rPr>
          <w:rFonts w:cstheme="minorHAnsi"/>
          <w:sz w:val="24"/>
          <w:szCs w:val="24"/>
        </w:rPr>
        <w:t xml:space="preserve">είναι </w:t>
      </w:r>
      <w:r w:rsidR="0002435B" w:rsidRPr="00247D9A">
        <w:rPr>
          <w:rFonts w:cstheme="minorHAnsi"/>
          <w:sz w:val="24"/>
          <w:szCs w:val="24"/>
        </w:rPr>
        <w:t>9 και αφορά στην αναβάθμιση της λειτουργίας των ισάριθμων ελεγκτικών φορέων, χωρίς να αποκλείεται η εκ νέου ενίσχυση του ΣΕΠΕ που έχει ήδη τύχει αντικείμενο παρέμβασης και συμμετέχει στην τιμή βάσης του δείκτη.</w:t>
      </w:r>
    </w:p>
    <w:p w:rsidR="0035601C" w:rsidRPr="00247D9A" w:rsidRDefault="0035601C" w:rsidP="0002435B">
      <w:pPr>
        <w:jc w:val="both"/>
        <w:rPr>
          <w:rFonts w:cstheme="minorHAnsi"/>
          <w:sz w:val="24"/>
          <w:szCs w:val="24"/>
        </w:rPr>
      </w:pPr>
      <w:r w:rsidRPr="00247D9A">
        <w:rPr>
          <w:rFonts w:cstheme="minorHAnsi"/>
          <w:sz w:val="24"/>
          <w:szCs w:val="24"/>
        </w:rPr>
        <w:t xml:space="preserve">Ο συγκεκριμένος δείκτης αποτελέσματος συνδέεται με </w:t>
      </w:r>
      <w:r w:rsidR="0002435B" w:rsidRPr="00247D9A">
        <w:rPr>
          <w:rFonts w:cstheme="minorHAnsi"/>
          <w:sz w:val="24"/>
          <w:szCs w:val="24"/>
        </w:rPr>
        <w:t>τους δείκτες</w:t>
      </w:r>
      <w:r w:rsidRPr="00247D9A">
        <w:rPr>
          <w:rFonts w:cstheme="minorHAnsi"/>
          <w:sz w:val="24"/>
          <w:szCs w:val="24"/>
        </w:rPr>
        <w:t xml:space="preserve"> εκροής </w:t>
      </w:r>
      <w:r w:rsidR="00E61BCE" w:rsidRPr="00247D9A">
        <w:rPr>
          <w:rFonts w:cstheme="minorHAnsi"/>
          <w:sz w:val="24"/>
          <w:szCs w:val="24"/>
        </w:rPr>
        <w:t>«Αριθμός Σχεδίων αναβάθμισης της λειτουργίας ελεγκτικών φορέων» και «Αριθμός έργων για τον επαναπροσδιορισμό των πεδίων ευθύνης και την αντιμετώπιση επικαλύψεων των ελεγκτικών φορέων και σωμάτων επιθεώρησης».</w:t>
      </w:r>
    </w:p>
    <w:p w:rsidR="00740C34" w:rsidRDefault="00740C34" w:rsidP="00B5585E">
      <w:pPr>
        <w:jc w:val="both"/>
        <w:rPr>
          <w:rFonts w:cstheme="minorHAnsi"/>
          <w:b/>
          <w:i/>
          <w:sz w:val="24"/>
          <w:szCs w:val="24"/>
          <w:u w:val="single"/>
        </w:rPr>
      </w:pPr>
    </w:p>
    <w:p w:rsidR="00B5585E" w:rsidRPr="00740C34" w:rsidRDefault="00B5585E" w:rsidP="00B5585E">
      <w:pPr>
        <w:jc w:val="both"/>
        <w:rPr>
          <w:rFonts w:cstheme="minorHAnsi"/>
          <w:b/>
          <w:i/>
          <w:sz w:val="24"/>
          <w:szCs w:val="24"/>
          <w:u w:val="single"/>
        </w:rPr>
      </w:pPr>
      <w:r w:rsidRPr="00740C34">
        <w:rPr>
          <w:rFonts w:cstheme="minorHAnsi"/>
          <w:b/>
          <w:i/>
          <w:sz w:val="24"/>
          <w:szCs w:val="24"/>
          <w:u w:val="single"/>
        </w:rPr>
        <w:t>Δείκτες Εκροής</w:t>
      </w:r>
    </w:p>
    <w:p w:rsidR="00B5585E" w:rsidRPr="00247D9A" w:rsidRDefault="00B5585E" w:rsidP="007B3067">
      <w:pPr>
        <w:pStyle w:val="a6"/>
        <w:numPr>
          <w:ilvl w:val="0"/>
          <w:numId w:val="8"/>
        </w:numPr>
        <w:jc w:val="both"/>
        <w:rPr>
          <w:rFonts w:cstheme="minorHAnsi"/>
          <w:b/>
          <w:sz w:val="24"/>
          <w:szCs w:val="24"/>
        </w:rPr>
      </w:pPr>
      <w:r w:rsidRPr="00247D9A">
        <w:rPr>
          <w:rFonts w:cstheme="minorHAnsi"/>
          <w:b/>
          <w:sz w:val="24"/>
          <w:szCs w:val="24"/>
        </w:rPr>
        <w:t>Αριθμός έργων εισαγωγής συστημάτων στοχοθεσίας και αξιολόγησης σε φορείς του δημόσιου τομέα</w:t>
      </w:r>
    </w:p>
    <w:p w:rsidR="00B5585E" w:rsidRPr="00247D9A" w:rsidRDefault="00B5585E" w:rsidP="00B5585E">
      <w:pPr>
        <w:jc w:val="both"/>
        <w:rPr>
          <w:rFonts w:cstheme="minorHAnsi"/>
          <w:sz w:val="24"/>
          <w:szCs w:val="24"/>
        </w:rPr>
      </w:pPr>
      <w:r w:rsidRPr="00247D9A">
        <w:rPr>
          <w:rFonts w:cstheme="minorHAnsi"/>
          <w:sz w:val="24"/>
          <w:szCs w:val="24"/>
        </w:rPr>
        <w:lastRenderedPageBreak/>
        <w:t>Η τιμή στόχος για το έτος 2023 του δείκτη είναι 26.</w:t>
      </w:r>
      <w:r w:rsidR="00FF6F11">
        <w:rPr>
          <w:rFonts w:cstheme="minorHAnsi"/>
          <w:sz w:val="24"/>
          <w:szCs w:val="24"/>
        </w:rPr>
        <w:t xml:space="preserve"> </w:t>
      </w:r>
      <w:r w:rsidRPr="00247D9A">
        <w:rPr>
          <w:rFonts w:cstheme="minorHAnsi"/>
          <w:sz w:val="24"/>
          <w:szCs w:val="24"/>
        </w:rPr>
        <w:t xml:space="preserve">Για την εισαγωγή και εφαρμογή ενός νέου οριζόντιου συστήματος στοχοθεσίας τόσο σε επίπεδο φορέα του Δημοσίου όσο και σε επίπεδο διοικητικών δομών με βάση τα νέα οργανογράμματα  θα εκπονηθεί μελέτη για τον καθορισμό οριζοντίων κατευθυντηρίων αρχών και προτύπων. Επίσης, θα υλοποιηθούν έργα εισαγωγής συστημάτων στοχοθεσίας και αξιολόγησης σε 18 Υπουργεία και7 Αποκεντρωμένες Διοικήσεις. Το μέσο κόστος υλοποίησης, εκτιμάται σε 150.000€. Ενδεικτικό ώριμο έργο αποτελεί το </w:t>
      </w:r>
      <w:r w:rsidRPr="00247D9A">
        <w:rPr>
          <w:rFonts w:eastAsia="Times New Roman" w:cstheme="minorHAnsi"/>
          <w:color w:val="000000"/>
          <w:sz w:val="24"/>
          <w:szCs w:val="24"/>
        </w:rPr>
        <w:t>Σύστημα Παρακολούθησης Στοχοθεσίας και KPIs Υπηρεσιών της ΓΓΔΕ.</w:t>
      </w:r>
    </w:p>
    <w:p w:rsidR="00B5585E" w:rsidRPr="00247D9A" w:rsidRDefault="00B5585E" w:rsidP="007B3067">
      <w:pPr>
        <w:pStyle w:val="a6"/>
        <w:numPr>
          <w:ilvl w:val="0"/>
          <w:numId w:val="8"/>
        </w:numPr>
        <w:jc w:val="both"/>
        <w:rPr>
          <w:rFonts w:cstheme="minorHAnsi"/>
          <w:b/>
          <w:sz w:val="24"/>
          <w:szCs w:val="24"/>
        </w:rPr>
      </w:pPr>
      <w:r w:rsidRPr="00247D9A">
        <w:rPr>
          <w:rFonts w:cstheme="minorHAnsi"/>
          <w:b/>
          <w:sz w:val="24"/>
          <w:szCs w:val="24"/>
        </w:rPr>
        <w:t>Αριθμός συστημάτων εσωτερικού ελέγχου φορέων του δημόσιου τομέα που δημιουργούνται ή αναβαθμίζονται</w:t>
      </w:r>
    </w:p>
    <w:p w:rsidR="00B5585E" w:rsidRPr="00247D9A" w:rsidRDefault="00B5585E" w:rsidP="00B5585E">
      <w:pPr>
        <w:jc w:val="both"/>
        <w:rPr>
          <w:rFonts w:cstheme="minorHAnsi"/>
          <w:sz w:val="24"/>
          <w:szCs w:val="24"/>
        </w:rPr>
      </w:pPr>
      <w:r w:rsidRPr="00247D9A">
        <w:rPr>
          <w:rFonts w:cstheme="minorHAnsi"/>
          <w:sz w:val="24"/>
          <w:szCs w:val="24"/>
        </w:rPr>
        <w:t xml:space="preserve">Η τιμή στόχος για το έτος 2023 του δείκτη εκροής είναι </w:t>
      </w:r>
      <w:r w:rsidR="00E562CF" w:rsidRPr="00247D9A">
        <w:rPr>
          <w:rFonts w:cstheme="minorHAnsi"/>
          <w:sz w:val="24"/>
          <w:szCs w:val="24"/>
        </w:rPr>
        <w:t>26</w:t>
      </w:r>
      <w:r w:rsidRPr="00247D9A">
        <w:rPr>
          <w:rFonts w:cstheme="minorHAnsi"/>
          <w:sz w:val="24"/>
          <w:szCs w:val="24"/>
        </w:rPr>
        <w:t xml:space="preserve"> και προκύπτει από την υλοποίηση έργων εισαγωγής ή/και αναβάθμισης συστημάτων εσωτ</w:t>
      </w:r>
      <w:r w:rsidR="00E562CF" w:rsidRPr="00247D9A">
        <w:rPr>
          <w:rFonts w:cstheme="minorHAnsi"/>
          <w:sz w:val="24"/>
          <w:szCs w:val="24"/>
        </w:rPr>
        <w:t xml:space="preserve">ερικού ελέγχου  σε 18 Υπουργεία, </w:t>
      </w:r>
      <w:r w:rsidRPr="00247D9A">
        <w:rPr>
          <w:rFonts w:cstheme="minorHAnsi"/>
          <w:sz w:val="24"/>
          <w:szCs w:val="24"/>
        </w:rPr>
        <w:t>7 Αποκεντρωμένες Διοικήσεις</w:t>
      </w:r>
      <w:r w:rsidR="00E562CF" w:rsidRPr="00247D9A">
        <w:rPr>
          <w:rFonts w:cstheme="minorHAnsi"/>
          <w:sz w:val="24"/>
          <w:szCs w:val="24"/>
        </w:rPr>
        <w:t xml:space="preserve"> και στη Γ</w:t>
      </w:r>
      <w:r w:rsidR="00DD3487" w:rsidRPr="00247D9A">
        <w:rPr>
          <w:rFonts w:cstheme="minorHAnsi"/>
          <w:sz w:val="24"/>
          <w:szCs w:val="24"/>
        </w:rPr>
        <w:t>ενική Γραμματεία Δημοσίων Εσόδων. Η σύσταση Μονάδων Εσωτερικού Ελέγχου στη ΔΔ προβλέπεται σ</w:t>
      </w:r>
      <w:r w:rsidRPr="00247D9A">
        <w:rPr>
          <w:rFonts w:cstheme="minorHAnsi"/>
          <w:sz w:val="24"/>
          <w:szCs w:val="24"/>
        </w:rPr>
        <w:t xml:space="preserve">το </w:t>
      </w:r>
      <w:r w:rsidR="00DD3487" w:rsidRPr="00247D9A">
        <w:rPr>
          <w:rFonts w:cstheme="minorHAnsi"/>
          <w:sz w:val="24"/>
          <w:szCs w:val="24"/>
        </w:rPr>
        <w:t xml:space="preserve">Άρθρο 1 του </w:t>
      </w:r>
      <w:r w:rsidRPr="00247D9A">
        <w:rPr>
          <w:rFonts w:cstheme="minorHAnsi"/>
          <w:sz w:val="24"/>
          <w:szCs w:val="24"/>
        </w:rPr>
        <w:t>Ν.4081/2012. Το μέσο κόστος υλοποίησης, εκτιμάται σε 50.000€ ανά φορέα. Επισημαίνεται ότι τα 18 Υπουργεία, βάσει των νέων οργανισμών τους, έχουν συστήσει μονάδες Εσωτερικού Ελέγχου.</w:t>
      </w:r>
    </w:p>
    <w:p w:rsidR="00B5585E" w:rsidRPr="00247D9A" w:rsidRDefault="00B5585E" w:rsidP="007B3067">
      <w:pPr>
        <w:pStyle w:val="a6"/>
        <w:numPr>
          <w:ilvl w:val="0"/>
          <w:numId w:val="8"/>
        </w:numPr>
        <w:jc w:val="both"/>
        <w:rPr>
          <w:rFonts w:cstheme="minorHAnsi"/>
          <w:b/>
          <w:sz w:val="24"/>
          <w:szCs w:val="24"/>
        </w:rPr>
      </w:pPr>
      <w:r w:rsidRPr="00247D9A">
        <w:rPr>
          <w:rFonts w:cstheme="minorHAnsi"/>
          <w:b/>
          <w:sz w:val="24"/>
          <w:szCs w:val="24"/>
        </w:rPr>
        <w:t>Αριθμός έργων για τον επαναπροσδιορισμό των πεδίων ευθύνης και την αντιμετώπιση επικαλύψεων των ελεγκτικών φορέων και σωμάτων επιθεώρησης</w:t>
      </w:r>
    </w:p>
    <w:p w:rsidR="00B5585E" w:rsidRPr="00247D9A" w:rsidRDefault="00B5585E" w:rsidP="00B5585E">
      <w:pPr>
        <w:jc w:val="both"/>
        <w:rPr>
          <w:rFonts w:cstheme="minorHAnsi"/>
          <w:b/>
          <w:sz w:val="24"/>
          <w:szCs w:val="24"/>
        </w:rPr>
      </w:pPr>
      <w:r w:rsidRPr="00247D9A">
        <w:rPr>
          <w:rFonts w:cstheme="minorHAnsi"/>
          <w:sz w:val="24"/>
          <w:szCs w:val="24"/>
        </w:rPr>
        <w:t xml:space="preserve">Η τιμή στόχος για το έτος 2023 του δείκτη είναι 1 και προκύπτει από την εκπόνηση μελέτης επαναπροσδιορισμού των πεδίων ευθύνης και την αντιμετώπιση επικαλύψεων των ελεγκτικών φορέων και σωμάτων επιθεώρησης της ΔΔ. Το κόστος υλοποίησης, εκτιμάται σε 500.000€. </w:t>
      </w:r>
    </w:p>
    <w:p w:rsidR="00B5585E" w:rsidRPr="00247D9A" w:rsidRDefault="00B5585E" w:rsidP="007B3067">
      <w:pPr>
        <w:pStyle w:val="a6"/>
        <w:numPr>
          <w:ilvl w:val="0"/>
          <w:numId w:val="8"/>
        </w:numPr>
        <w:jc w:val="both"/>
        <w:rPr>
          <w:rFonts w:cstheme="minorHAnsi"/>
          <w:b/>
          <w:sz w:val="24"/>
          <w:szCs w:val="24"/>
        </w:rPr>
      </w:pPr>
      <w:r w:rsidRPr="00247D9A">
        <w:rPr>
          <w:rFonts w:cstheme="minorHAnsi"/>
          <w:b/>
          <w:sz w:val="24"/>
          <w:szCs w:val="24"/>
        </w:rPr>
        <w:t>Αριθμός Σχεδίων αναβάθμισης της λειτουργίας ελεγκτικών φορέων</w:t>
      </w:r>
    </w:p>
    <w:p w:rsidR="00B5585E" w:rsidRDefault="00B5585E" w:rsidP="00B5585E">
      <w:pPr>
        <w:jc w:val="both"/>
        <w:rPr>
          <w:rFonts w:cstheme="minorHAnsi"/>
          <w:sz w:val="24"/>
          <w:szCs w:val="24"/>
        </w:rPr>
      </w:pPr>
      <w:r w:rsidRPr="00247D9A">
        <w:rPr>
          <w:rFonts w:cstheme="minorHAnsi"/>
          <w:sz w:val="24"/>
          <w:szCs w:val="24"/>
        </w:rPr>
        <w:t xml:space="preserve">Η τιμή στόχος για το έτος 2023 του δείκτη είναι 9 και προκύπτει από την εφαρμογή σχεδίων αναβάθμισης της λειτουργίας των βασικών ελεγκτικών φορέων: ΣΕΠΕ, Γενικός Επιθεωρητής Δημόσιας Διοίκησης, Σώμα Επιθεωρητών Ελεγκτών Δημόσιας Διοίκησης, Σώμα Επιθεωρητών Ελεγκτών Υπουργείου Μεταφορών, Σώμα Επιθεωρητών Υγείας Πρόνοιας, Σώμα Επιθεωρητών Δημοσίων Έργων, Σώμα Δίωξης Οικονομικού Εγκλήματος,Ειδική Υπηρεσία Επιθεωρητών Περιβάλλοντος, Σώμα Επιθεωρητών Ελέγχου Καταστημάτων Κράτησης προκειμένου να ενδυναμωθεί η επιχειρησιακή λειτουργία τους και να καταστούν πιο παραγωγικοί. Το μέσο κόστος υλοποίησης, ανά φορέα εκτιμάται σε 250.000€. </w:t>
      </w:r>
    </w:p>
    <w:p w:rsidR="00740C34" w:rsidRPr="00247D9A" w:rsidRDefault="00740C34" w:rsidP="00B5585E">
      <w:pPr>
        <w:jc w:val="both"/>
        <w:rPr>
          <w:rFonts w:cstheme="minorHAnsi"/>
          <w:sz w:val="24"/>
          <w:szCs w:val="24"/>
        </w:rPr>
      </w:pPr>
    </w:p>
    <w:p w:rsidR="00B5585E" w:rsidRPr="00247D9A" w:rsidRDefault="00B5585E" w:rsidP="007B3067">
      <w:pPr>
        <w:pStyle w:val="a6"/>
        <w:numPr>
          <w:ilvl w:val="0"/>
          <w:numId w:val="8"/>
        </w:numPr>
        <w:jc w:val="both"/>
        <w:rPr>
          <w:rFonts w:cstheme="minorHAnsi"/>
          <w:b/>
          <w:sz w:val="24"/>
          <w:szCs w:val="24"/>
        </w:rPr>
      </w:pPr>
      <w:r w:rsidRPr="00247D9A">
        <w:rPr>
          <w:rFonts w:cstheme="minorHAnsi"/>
          <w:b/>
          <w:sz w:val="24"/>
          <w:szCs w:val="24"/>
        </w:rPr>
        <w:lastRenderedPageBreak/>
        <w:t>Αριθμός έργων που αφορούν στην ενίσχυση της συμμετοχής των πολιτών</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είναι 3. Προβλέπεται η εκπόνηση σχεδίου δράσης για την προώθηση της συμμετοχής της κοινωνίας και των πολιτών στο σχεδιασμό των δημόσιων πολιτικών. Επίσης στο πλαίσιο της δημόσιας διαβούλευσης και της λογοδοσίας θα υλοποιηθούν δράσεις που ενισχύουν το ρόλο των ΜΚΟ και των θεσμοθετημένων κοινωνικών εταίρων, π.χ. ΑΔΕΔΥ, καθώς και τη συμμετοχή των πολιτών. Το μέσο κόστος υλοποίησης εκτιμάται σε 650.000€.</w:t>
      </w:r>
    </w:p>
    <w:p w:rsidR="005F4963" w:rsidRPr="00247D9A" w:rsidRDefault="005F4963">
      <w:pPr>
        <w:rPr>
          <w:rFonts w:cstheme="minorHAnsi"/>
          <w:b/>
          <w:i/>
          <w:sz w:val="24"/>
          <w:szCs w:val="24"/>
          <w:u w:val="single"/>
        </w:rPr>
      </w:pPr>
    </w:p>
    <w:p w:rsidR="009D3ED1" w:rsidRPr="00247D9A" w:rsidRDefault="009D3ED1">
      <w:pPr>
        <w:rPr>
          <w:rFonts w:cstheme="minorHAnsi"/>
          <w:b/>
          <w:i/>
          <w:sz w:val="24"/>
          <w:szCs w:val="24"/>
          <w:u w:val="single"/>
        </w:rPr>
      </w:pPr>
      <w:r w:rsidRPr="00247D9A">
        <w:rPr>
          <w:rFonts w:cstheme="minorHAnsi"/>
          <w:b/>
          <w:i/>
          <w:sz w:val="24"/>
          <w:szCs w:val="24"/>
          <w:u w:val="single"/>
        </w:rPr>
        <w:br w:type="page"/>
      </w:r>
    </w:p>
    <w:p w:rsidR="00A635E8" w:rsidRPr="00247D9A" w:rsidRDefault="0002435B" w:rsidP="00A635E8">
      <w:pPr>
        <w:jc w:val="center"/>
        <w:rPr>
          <w:rFonts w:cstheme="minorHAnsi"/>
          <w:b/>
          <w:i/>
          <w:sz w:val="24"/>
          <w:szCs w:val="24"/>
          <w:u w:val="single"/>
        </w:rPr>
      </w:pPr>
      <w:r w:rsidRPr="00247D9A">
        <w:rPr>
          <w:rFonts w:cstheme="minorHAnsi"/>
          <w:b/>
          <w:i/>
          <w:sz w:val="24"/>
          <w:szCs w:val="24"/>
          <w:u w:val="single"/>
        </w:rPr>
        <w:lastRenderedPageBreak/>
        <w:t>Άξονες Προτεραιότητας 4, 5, 6 «Ενίσχυση της ηλεκτρονικής διακυβέρνησης» – Ταμείο ΕΤΠΑ</w:t>
      </w:r>
    </w:p>
    <w:p w:rsidR="00A635E8" w:rsidRPr="00247D9A" w:rsidRDefault="00A635E8" w:rsidP="00A635E8">
      <w:pPr>
        <w:jc w:val="both"/>
        <w:rPr>
          <w:rFonts w:cstheme="minorHAnsi"/>
          <w:b/>
          <w:i/>
          <w:sz w:val="24"/>
          <w:szCs w:val="24"/>
          <w:u w:val="single"/>
        </w:rPr>
      </w:pPr>
      <w:r w:rsidRPr="00247D9A">
        <w:rPr>
          <w:rFonts w:cstheme="minorHAnsi"/>
          <w:b/>
          <w:i/>
          <w:sz w:val="24"/>
          <w:szCs w:val="24"/>
          <w:u w:val="single"/>
        </w:rPr>
        <w:t>Ειδικός στόχος 2.1.1: Αύξηση των φορέων και συστημάτων του δημοσίου τομέα όπου εντείνεται η χρήση αποτελεσματικών μεθόδων ηλεκτρονικής διακυβέρνησης</w:t>
      </w:r>
    </w:p>
    <w:p w:rsidR="00A635E8" w:rsidRPr="00247D9A" w:rsidRDefault="00A635E8" w:rsidP="00A635E8">
      <w:pPr>
        <w:jc w:val="both"/>
        <w:rPr>
          <w:rFonts w:cstheme="minorHAnsi"/>
          <w:b/>
          <w:i/>
          <w:sz w:val="24"/>
          <w:szCs w:val="24"/>
          <w:u w:val="single"/>
        </w:rPr>
      </w:pPr>
      <w:r w:rsidRPr="00247D9A">
        <w:rPr>
          <w:rFonts w:cstheme="minorHAnsi"/>
          <w:b/>
          <w:i/>
          <w:sz w:val="24"/>
          <w:szCs w:val="24"/>
          <w:u w:val="single"/>
        </w:rPr>
        <w:t>Δείκτες Αποτελέσματος</w:t>
      </w:r>
    </w:p>
    <w:p w:rsidR="00470047" w:rsidRPr="00247D9A" w:rsidRDefault="00470047" w:rsidP="007B3067">
      <w:pPr>
        <w:pStyle w:val="a6"/>
        <w:numPr>
          <w:ilvl w:val="0"/>
          <w:numId w:val="22"/>
        </w:numPr>
        <w:jc w:val="both"/>
        <w:rPr>
          <w:rFonts w:cstheme="minorHAnsi"/>
          <w:b/>
          <w:i/>
          <w:sz w:val="24"/>
          <w:szCs w:val="24"/>
          <w:u w:val="single"/>
        </w:rPr>
      </w:pPr>
      <w:r w:rsidRPr="00247D9A">
        <w:rPr>
          <w:rFonts w:cstheme="minorHAnsi"/>
          <w:b/>
          <w:i/>
          <w:sz w:val="24"/>
          <w:szCs w:val="24"/>
          <w:u w:val="single"/>
        </w:rPr>
        <w:t>Αριθμός φορέων των οποίων η λειτουργία αναβαθμίζεται με τη χρήση συστημάτων ΤΠΕ</w:t>
      </w:r>
    </w:p>
    <w:p w:rsidR="003117B8" w:rsidRPr="00247D9A" w:rsidRDefault="00A817F0" w:rsidP="007905CD">
      <w:pPr>
        <w:jc w:val="both"/>
        <w:rPr>
          <w:rFonts w:cstheme="minorHAnsi"/>
          <w:sz w:val="24"/>
          <w:szCs w:val="24"/>
        </w:rPr>
      </w:pPr>
      <w:r w:rsidRPr="00247D9A">
        <w:rPr>
          <w:rFonts w:cstheme="minorHAnsi"/>
          <w:sz w:val="24"/>
          <w:szCs w:val="24"/>
        </w:rPr>
        <w:t xml:space="preserve">Η τιμή βάσης είναι 3 και </w:t>
      </w:r>
      <w:r w:rsidR="003117B8" w:rsidRPr="00247D9A">
        <w:rPr>
          <w:rFonts w:cstheme="minorHAnsi"/>
          <w:sz w:val="24"/>
          <w:szCs w:val="24"/>
        </w:rPr>
        <w:t xml:space="preserve">αφορά στην ηλεκτρονική διακίνηση εγγράφων στην εσωτερική λειτουργία των υπουργείων </w:t>
      </w:r>
      <w:r w:rsidRPr="00247D9A">
        <w:rPr>
          <w:rFonts w:cstheme="minorHAnsi"/>
          <w:sz w:val="24"/>
          <w:szCs w:val="24"/>
        </w:rPr>
        <w:t xml:space="preserve">Διοικητικής Μεταρρύθμισης και Ηλεκτρονικής Διακυβέρνησης, Παιδείας και Θρησκευμάτων </w:t>
      </w:r>
      <w:r w:rsidR="003117B8" w:rsidRPr="00247D9A">
        <w:rPr>
          <w:rFonts w:cstheme="minorHAnsi"/>
          <w:sz w:val="24"/>
          <w:szCs w:val="24"/>
        </w:rPr>
        <w:t>και Προστασίας του Π</w:t>
      </w:r>
      <w:r w:rsidRPr="00247D9A">
        <w:rPr>
          <w:rFonts w:cstheme="minorHAnsi"/>
          <w:sz w:val="24"/>
          <w:szCs w:val="24"/>
        </w:rPr>
        <w:t>ολίτη.</w:t>
      </w:r>
    </w:p>
    <w:p w:rsidR="009801FB" w:rsidRPr="00247D9A" w:rsidRDefault="007905CD" w:rsidP="007905CD">
      <w:pPr>
        <w:jc w:val="both"/>
        <w:rPr>
          <w:rFonts w:cstheme="minorHAnsi"/>
          <w:sz w:val="24"/>
          <w:szCs w:val="24"/>
        </w:rPr>
      </w:pPr>
      <w:r w:rsidRPr="00247D9A">
        <w:rPr>
          <w:rFonts w:cstheme="minorHAnsi"/>
          <w:sz w:val="24"/>
          <w:szCs w:val="24"/>
        </w:rPr>
        <w:t xml:space="preserve">Η τιμή στόχος για το έτος 2023 του δείκτη είναι </w:t>
      </w:r>
      <w:r w:rsidR="005F4963" w:rsidRPr="00247D9A">
        <w:rPr>
          <w:rFonts w:cstheme="minorHAnsi"/>
          <w:sz w:val="24"/>
          <w:szCs w:val="24"/>
        </w:rPr>
        <w:t>25</w:t>
      </w:r>
      <w:r w:rsidRPr="00247D9A">
        <w:rPr>
          <w:rFonts w:cstheme="minorHAnsi"/>
          <w:sz w:val="24"/>
          <w:szCs w:val="24"/>
        </w:rPr>
        <w:t xml:space="preserve"> και αφορά </w:t>
      </w:r>
      <w:r w:rsidR="003117B8" w:rsidRPr="00247D9A">
        <w:rPr>
          <w:rFonts w:cstheme="minorHAnsi"/>
          <w:sz w:val="24"/>
          <w:szCs w:val="24"/>
        </w:rPr>
        <w:t>στην αναβάθμιση της λειτουργίας</w:t>
      </w:r>
      <w:r w:rsidRPr="00247D9A">
        <w:rPr>
          <w:rFonts w:cstheme="minorHAnsi"/>
          <w:sz w:val="24"/>
          <w:szCs w:val="24"/>
        </w:rPr>
        <w:t xml:space="preserve"> 18 υπουργε</w:t>
      </w:r>
      <w:r w:rsidR="009801FB" w:rsidRPr="00247D9A">
        <w:rPr>
          <w:rFonts w:cstheme="minorHAnsi"/>
          <w:sz w:val="24"/>
          <w:szCs w:val="24"/>
        </w:rPr>
        <w:t>ίων</w:t>
      </w:r>
      <w:r w:rsidR="005F4963" w:rsidRPr="00247D9A">
        <w:rPr>
          <w:rFonts w:cstheme="minorHAnsi"/>
          <w:sz w:val="24"/>
          <w:szCs w:val="24"/>
        </w:rPr>
        <w:t xml:space="preserve"> και</w:t>
      </w:r>
      <w:r w:rsidR="009801FB" w:rsidRPr="00247D9A">
        <w:rPr>
          <w:rFonts w:cstheme="minorHAnsi"/>
          <w:sz w:val="24"/>
          <w:szCs w:val="24"/>
        </w:rPr>
        <w:t xml:space="preserve"> 7 Αποκεντρωμένων Διοικήσεωνμε τη χρήση συστημάτων ΤΠΕ,χωρίς να αποκλείεται η περαιτέρω αναβάθμιση της λειτουργίας των φορέων που έχουν τύχει αντικείμενο παρέμβασης και συμμετέχουν στην τιμή βάσης του δείκτη</w:t>
      </w:r>
    </w:p>
    <w:p w:rsidR="007905CD" w:rsidRPr="00247D9A" w:rsidRDefault="007905CD" w:rsidP="007905CD">
      <w:pPr>
        <w:jc w:val="both"/>
        <w:rPr>
          <w:rFonts w:cstheme="minorHAnsi"/>
          <w:b/>
          <w:i/>
          <w:sz w:val="24"/>
          <w:szCs w:val="24"/>
          <w:u w:val="single"/>
        </w:rPr>
      </w:pPr>
      <w:r w:rsidRPr="00247D9A">
        <w:rPr>
          <w:rFonts w:cstheme="minorHAnsi"/>
          <w:sz w:val="24"/>
          <w:szCs w:val="24"/>
        </w:rPr>
        <w:t>Ο δείκτης συνδέεται με τον δείκτη εκροής «Αριθμός έργων δημιουργίας ή αναβάθμισης συστημάτων ΤΠΕ για την υποστήριξη οριζόντιων λειτουργιών των δημόσιων φορέων».</w:t>
      </w:r>
    </w:p>
    <w:p w:rsidR="00A635E8" w:rsidRPr="00247D9A" w:rsidRDefault="00470047" w:rsidP="007B3067">
      <w:pPr>
        <w:pStyle w:val="a6"/>
        <w:numPr>
          <w:ilvl w:val="0"/>
          <w:numId w:val="22"/>
        </w:numPr>
        <w:jc w:val="both"/>
        <w:rPr>
          <w:rFonts w:cstheme="minorHAnsi"/>
          <w:b/>
          <w:i/>
          <w:sz w:val="24"/>
          <w:szCs w:val="24"/>
          <w:u w:val="single"/>
        </w:rPr>
      </w:pPr>
      <w:r w:rsidRPr="00247D9A">
        <w:rPr>
          <w:rFonts w:cstheme="minorHAnsi"/>
          <w:b/>
          <w:i/>
          <w:sz w:val="24"/>
          <w:szCs w:val="24"/>
          <w:u w:val="single"/>
        </w:rPr>
        <w:t>Αριθμός μητρώων δημόσιου τομέα που διαλειτουργούν</w:t>
      </w:r>
    </w:p>
    <w:p w:rsidR="00757E23" w:rsidRPr="00247D9A" w:rsidRDefault="009801FB" w:rsidP="009801FB">
      <w:pPr>
        <w:jc w:val="both"/>
        <w:rPr>
          <w:rFonts w:cstheme="minorHAnsi"/>
          <w:sz w:val="24"/>
          <w:szCs w:val="24"/>
        </w:rPr>
      </w:pPr>
      <w:r w:rsidRPr="00247D9A">
        <w:rPr>
          <w:rFonts w:cstheme="minorHAnsi"/>
          <w:sz w:val="24"/>
          <w:szCs w:val="24"/>
        </w:rPr>
        <w:t xml:space="preserve">Η τιμή βάσης είναι </w:t>
      </w:r>
      <w:r w:rsidR="00757E23" w:rsidRPr="00247D9A">
        <w:rPr>
          <w:rFonts w:cstheme="minorHAnsi"/>
          <w:sz w:val="24"/>
          <w:szCs w:val="24"/>
        </w:rPr>
        <w:t>8</w:t>
      </w:r>
      <w:r w:rsidRPr="00247D9A">
        <w:rPr>
          <w:rFonts w:cstheme="minorHAnsi"/>
          <w:sz w:val="24"/>
          <w:szCs w:val="24"/>
        </w:rPr>
        <w:t xml:space="preserve"> και προκύπτει από τη διαλειτουργικότητα τ</w:t>
      </w:r>
      <w:r w:rsidR="00757E23" w:rsidRPr="00247D9A">
        <w:rPr>
          <w:rFonts w:cstheme="minorHAnsi"/>
          <w:sz w:val="24"/>
          <w:szCs w:val="24"/>
        </w:rPr>
        <w:t xml:space="preserve">ων κάτωθι </w:t>
      </w:r>
      <w:r w:rsidRPr="00247D9A">
        <w:rPr>
          <w:rFonts w:cstheme="minorHAnsi"/>
          <w:sz w:val="24"/>
          <w:szCs w:val="24"/>
        </w:rPr>
        <w:t>μητρώ</w:t>
      </w:r>
      <w:r w:rsidR="00757E23" w:rsidRPr="00247D9A">
        <w:rPr>
          <w:rFonts w:cstheme="minorHAnsi"/>
          <w:sz w:val="24"/>
          <w:szCs w:val="24"/>
        </w:rPr>
        <w:t xml:space="preserve">ων: </w:t>
      </w:r>
    </w:p>
    <w:p w:rsidR="00757E23" w:rsidRPr="00247D9A" w:rsidRDefault="00757E23" w:rsidP="00757E23">
      <w:pPr>
        <w:pStyle w:val="a6"/>
        <w:numPr>
          <w:ilvl w:val="0"/>
          <w:numId w:val="33"/>
        </w:numPr>
        <w:jc w:val="both"/>
        <w:rPr>
          <w:rFonts w:cstheme="minorHAnsi"/>
          <w:sz w:val="24"/>
          <w:szCs w:val="24"/>
        </w:rPr>
      </w:pPr>
      <w:r w:rsidRPr="00247D9A">
        <w:rPr>
          <w:rFonts w:cstheme="minorHAnsi"/>
          <w:sz w:val="24"/>
          <w:szCs w:val="24"/>
        </w:rPr>
        <w:t xml:space="preserve">κοινωνικής ασφάλισης – ληξιαρχείου </w:t>
      </w:r>
    </w:p>
    <w:p w:rsidR="00757E23" w:rsidRPr="00247D9A" w:rsidRDefault="00757E23" w:rsidP="00757E23">
      <w:pPr>
        <w:pStyle w:val="a6"/>
        <w:numPr>
          <w:ilvl w:val="0"/>
          <w:numId w:val="33"/>
        </w:numPr>
        <w:jc w:val="both"/>
        <w:rPr>
          <w:rFonts w:cstheme="minorHAnsi"/>
          <w:sz w:val="24"/>
          <w:szCs w:val="24"/>
        </w:rPr>
      </w:pPr>
      <w:r w:rsidRPr="00247D9A">
        <w:rPr>
          <w:rFonts w:cstheme="minorHAnsi"/>
          <w:sz w:val="24"/>
          <w:szCs w:val="24"/>
        </w:rPr>
        <w:t xml:space="preserve">μητρώου Αστυνομίας – ληξιαρχείου </w:t>
      </w:r>
    </w:p>
    <w:p w:rsidR="00757E23" w:rsidRPr="00247D9A" w:rsidRDefault="00757E23" w:rsidP="00757E23">
      <w:pPr>
        <w:pStyle w:val="a6"/>
        <w:numPr>
          <w:ilvl w:val="0"/>
          <w:numId w:val="33"/>
        </w:numPr>
        <w:jc w:val="both"/>
        <w:rPr>
          <w:rFonts w:cstheme="minorHAnsi"/>
          <w:sz w:val="24"/>
          <w:szCs w:val="24"/>
        </w:rPr>
      </w:pPr>
      <w:r w:rsidRPr="00247D9A">
        <w:rPr>
          <w:rFonts w:cstheme="minorHAnsi"/>
          <w:sz w:val="24"/>
          <w:szCs w:val="24"/>
        </w:rPr>
        <w:t>μητρώου Ενιαίας Αρχής Πληρωμής - κοινωνικής ασφάλισης –</w:t>
      </w:r>
      <w:r w:rsidR="009801FB" w:rsidRPr="00247D9A">
        <w:rPr>
          <w:rFonts w:cstheme="minorHAnsi"/>
          <w:sz w:val="24"/>
          <w:szCs w:val="24"/>
        </w:rPr>
        <w:t xml:space="preserve"> φορολογουμένων</w:t>
      </w:r>
    </w:p>
    <w:p w:rsidR="00757E23" w:rsidRPr="00247D9A" w:rsidRDefault="00757E23" w:rsidP="00757E23">
      <w:pPr>
        <w:pStyle w:val="a6"/>
        <w:numPr>
          <w:ilvl w:val="0"/>
          <w:numId w:val="33"/>
        </w:numPr>
        <w:jc w:val="both"/>
        <w:rPr>
          <w:rFonts w:cstheme="minorHAnsi"/>
          <w:sz w:val="24"/>
          <w:szCs w:val="24"/>
        </w:rPr>
      </w:pPr>
      <w:r w:rsidRPr="00247D9A">
        <w:rPr>
          <w:rFonts w:cstheme="minorHAnsi"/>
          <w:sz w:val="24"/>
          <w:szCs w:val="24"/>
        </w:rPr>
        <w:t xml:space="preserve">ΙΚΑ – μητρώου ΓΓΠΣ </w:t>
      </w:r>
    </w:p>
    <w:p w:rsidR="00757E23" w:rsidRPr="00247D9A" w:rsidRDefault="00757E23" w:rsidP="00757E23">
      <w:pPr>
        <w:pStyle w:val="a6"/>
        <w:numPr>
          <w:ilvl w:val="0"/>
          <w:numId w:val="33"/>
        </w:numPr>
        <w:jc w:val="both"/>
        <w:rPr>
          <w:rFonts w:cstheme="minorHAnsi"/>
          <w:sz w:val="24"/>
          <w:szCs w:val="24"/>
        </w:rPr>
      </w:pPr>
      <w:r w:rsidRPr="00247D9A">
        <w:rPr>
          <w:rFonts w:cstheme="minorHAnsi"/>
          <w:sz w:val="24"/>
          <w:szCs w:val="24"/>
        </w:rPr>
        <w:t xml:space="preserve">ΓΕΜΗ – </w:t>
      </w:r>
      <w:r w:rsidRPr="00247D9A">
        <w:rPr>
          <w:rFonts w:cstheme="minorHAnsi"/>
          <w:sz w:val="24"/>
          <w:szCs w:val="24"/>
          <w:lang w:val="en-US"/>
        </w:rPr>
        <w:t>Taxisnet</w:t>
      </w:r>
      <w:r w:rsidRPr="00247D9A">
        <w:rPr>
          <w:rFonts w:cstheme="minorHAnsi"/>
          <w:sz w:val="24"/>
          <w:szCs w:val="24"/>
        </w:rPr>
        <w:t xml:space="preserve">  - κοινωνικής ασφάλισης, </w:t>
      </w:r>
    </w:p>
    <w:p w:rsidR="00757E23" w:rsidRPr="00247D9A" w:rsidRDefault="00757E23" w:rsidP="00757E23">
      <w:pPr>
        <w:pStyle w:val="a6"/>
        <w:numPr>
          <w:ilvl w:val="0"/>
          <w:numId w:val="33"/>
        </w:numPr>
        <w:jc w:val="both"/>
        <w:rPr>
          <w:rFonts w:cstheme="minorHAnsi"/>
          <w:sz w:val="24"/>
          <w:szCs w:val="24"/>
        </w:rPr>
      </w:pPr>
      <w:r w:rsidRPr="00247D9A">
        <w:rPr>
          <w:rFonts w:cstheme="minorHAnsi"/>
          <w:sz w:val="24"/>
          <w:szCs w:val="24"/>
        </w:rPr>
        <w:t xml:space="preserve">ΕΣΥΔΗΣ - </w:t>
      </w:r>
      <w:r w:rsidRPr="00247D9A">
        <w:rPr>
          <w:rFonts w:cstheme="minorHAnsi"/>
          <w:sz w:val="24"/>
          <w:szCs w:val="24"/>
          <w:lang w:val="en-US"/>
        </w:rPr>
        <w:t>Taxisnet</w:t>
      </w:r>
      <w:r w:rsidRPr="00247D9A">
        <w:rPr>
          <w:rFonts w:cstheme="minorHAnsi"/>
          <w:sz w:val="24"/>
          <w:szCs w:val="24"/>
        </w:rPr>
        <w:t>(φυσικά και νομικά πρόσωπα)</w:t>
      </w:r>
    </w:p>
    <w:p w:rsidR="00757E23" w:rsidRPr="00247D9A" w:rsidRDefault="00757E23" w:rsidP="00757E23">
      <w:pPr>
        <w:pStyle w:val="a6"/>
        <w:numPr>
          <w:ilvl w:val="0"/>
          <w:numId w:val="33"/>
        </w:numPr>
        <w:jc w:val="both"/>
        <w:rPr>
          <w:rFonts w:cstheme="minorHAnsi"/>
          <w:sz w:val="24"/>
          <w:szCs w:val="24"/>
        </w:rPr>
      </w:pPr>
      <w:r w:rsidRPr="00247D9A">
        <w:rPr>
          <w:rFonts w:cstheme="minorHAnsi"/>
          <w:sz w:val="24"/>
          <w:szCs w:val="24"/>
        </w:rPr>
        <w:t>ΚΕΠ - κοινωνικής ασφάλισης – ληξιαρχείου</w:t>
      </w:r>
    </w:p>
    <w:p w:rsidR="00757E23" w:rsidRPr="00247D9A" w:rsidRDefault="00757E23" w:rsidP="00757E23">
      <w:pPr>
        <w:pStyle w:val="a6"/>
        <w:numPr>
          <w:ilvl w:val="0"/>
          <w:numId w:val="33"/>
        </w:numPr>
        <w:jc w:val="both"/>
        <w:rPr>
          <w:rFonts w:cstheme="minorHAnsi"/>
          <w:sz w:val="24"/>
          <w:szCs w:val="24"/>
        </w:rPr>
      </w:pPr>
      <w:r w:rsidRPr="00247D9A">
        <w:rPr>
          <w:rFonts w:cstheme="minorHAnsi"/>
          <w:sz w:val="24"/>
          <w:szCs w:val="24"/>
        </w:rPr>
        <w:t>ΕΔΕΤ - μητρώο απογραφής Δημοσίων Υπαλλήλων</w:t>
      </w:r>
    </w:p>
    <w:p w:rsidR="009801FB" w:rsidRPr="00247D9A" w:rsidRDefault="007905CD" w:rsidP="009801FB">
      <w:pPr>
        <w:jc w:val="both"/>
        <w:rPr>
          <w:rFonts w:cstheme="minorHAnsi"/>
          <w:sz w:val="24"/>
          <w:szCs w:val="24"/>
        </w:rPr>
      </w:pPr>
      <w:r w:rsidRPr="00247D9A">
        <w:rPr>
          <w:rFonts w:cstheme="minorHAnsi"/>
          <w:sz w:val="24"/>
          <w:szCs w:val="24"/>
        </w:rPr>
        <w:t xml:space="preserve">Η τιμή στόχος για το έτος 2023 του δείκτη είναι </w:t>
      </w:r>
      <w:r w:rsidR="009801FB" w:rsidRPr="00247D9A">
        <w:rPr>
          <w:rFonts w:cstheme="minorHAnsi"/>
          <w:sz w:val="24"/>
          <w:szCs w:val="24"/>
        </w:rPr>
        <w:t>70</w:t>
      </w:r>
      <w:r w:rsidR="00483517" w:rsidRPr="00247D9A">
        <w:rPr>
          <w:rFonts w:cstheme="minorHAnsi"/>
          <w:sz w:val="24"/>
          <w:szCs w:val="24"/>
        </w:rPr>
        <w:t xml:space="preserve"> και αφορά</w:t>
      </w:r>
      <w:r w:rsidR="00757E23" w:rsidRPr="00247D9A">
        <w:rPr>
          <w:rFonts w:cstheme="minorHAnsi"/>
          <w:sz w:val="24"/>
          <w:szCs w:val="24"/>
        </w:rPr>
        <w:t>:</w:t>
      </w:r>
      <w:r w:rsidR="00FF6F11">
        <w:rPr>
          <w:rFonts w:cstheme="minorHAnsi"/>
          <w:sz w:val="24"/>
          <w:szCs w:val="24"/>
        </w:rPr>
        <w:t xml:space="preserve"> </w:t>
      </w:r>
      <w:r w:rsidR="00D921F0" w:rsidRPr="00247D9A">
        <w:rPr>
          <w:rFonts w:cstheme="minorHAnsi"/>
          <w:sz w:val="24"/>
          <w:szCs w:val="24"/>
        </w:rPr>
        <w:t xml:space="preserve">α) </w:t>
      </w:r>
      <w:r w:rsidR="00483517" w:rsidRPr="00247D9A">
        <w:rPr>
          <w:rFonts w:cstheme="minorHAnsi"/>
          <w:sz w:val="24"/>
          <w:szCs w:val="24"/>
        </w:rPr>
        <w:t xml:space="preserve">στη διαλειτουργικότητα των </w:t>
      </w:r>
      <w:r w:rsidR="00D921F0" w:rsidRPr="00247D9A">
        <w:rPr>
          <w:rFonts w:cstheme="minorHAnsi"/>
          <w:sz w:val="24"/>
          <w:szCs w:val="24"/>
        </w:rPr>
        <w:t xml:space="preserve">4 </w:t>
      </w:r>
      <w:r w:rsidR="00483517" w:rsidRPr="00247D9A">
        <w:rPr>
          <w:rFonts w:cstheme="minorHAnsi"/>
          <w:sz w:val="24"/>
          <w:szCs w:val="24"/>
        </w:rPr>
        <w:t>βασικών μητρώων βάσει κοινού προτύπου</w:t>
      </w:r>
      <w:r w:rsidR="009801FB" w:rsidRPr="00247D9A">
        <w:rPr>
          <w:rFonts w:cstheme="minorHAnsi"/>
          <w:sz w:val="24"/>
          <w:szCs w:val="24"/>
        </w:rPr>
        <w:t xml:space="preserve"> καθώς και </w:t>
      </w:r>
      <w:r w:rsidR="00D921F0" w:rsidRPr="00247D9A">
        <w:rPr>
          <w:rFonts w:cstheme="minorHAnsi"/>
          <w:sz w:val="24"/>
          <w:szCs w:val="24"/>
        </w:rPr>
        <w:t xml:space="preserve">β) </w:t>
      </w:r>
      <w:r w:rsidR="009801FB" w:rsidRPr="00247D9A">
        <w:rPr>
          <w:rFonts w:cstheme="minorHAnsi"/>
          <w:sz w:val="24"/>
          <w:szCs w:val="24"/>
        </w:rPr>
        <w:t>στη διαλειτουργικότητα</w:t>
      </w:r>
      <w:r w:rsidR="00FF6F11">
        <w:rPr>
          <w:rFonts w:cstheme="minorHAnsi"/>
          <w:sz w:val="24"/>
          <w:szCs w:val="24"/>
        </w:rPr>
        <w:t xml:space="preserve"> </w:t>
      </w:r>
      <w:r w:rsidR="00D921F0" w:rsidRPr="00247D9A">
        <w:rPr>
          <w:rFonts w:cstheme="minorHAnsi"/>
          <w:sz w:val="24"/>
          <w:szCs w:val="24"/>
        </w:rPr>
        <w:t>μητρώων</w:t>
      </w:r>
      <w:r w:rsidR="00FF6F11">
        <w:rPr>
          <w:rFonts w:cstheme="minorHAnsi"/>
          <w:sz w:val="24"/>
          <w:szCs w:val="24"/>
        </w:rPr>
        <w:t xml:space="preserve"> </w:t>
      </w:r>
      <w:r w:rsidR="00757E23" w:rsidRPr="00247D9A">
        <w:rPr>
          <w:rFonts w:cstheme="minorHAnsi"/>
          <w:sz w:val="24"/>
          <w:szCs w:val="24"/>
        </w:rPr>
        <w:t xml:space="preserve">της δημόσιας διοίκησης για την απλούστευση </w:t>
      </w:r>
      <w:r w:rsidR="00757E23" w:rsidRPr="00247D9A">
        <w:rPr>
          <w:rFonts w:cstheme="minorHAnsi"/>
          <w:sz w:val="24"/>
          <w:szCs w:val="24"/>
        </w:rPr>
        <w:lastRenderedPageBreak/>
        <w:t>διοικητικών διαδικασιών</w:t>
      </w:r>
      <w:r w:rsidRPr="00247D9A">
        <w:rPr>
          <w:rFonts w:cstheme="minorHAnsi"/>
          <w:sz w:val="24"/>
          <w:szCs w:val="24"/>
        </w:rPr>
        <w:t>.</w:t>
      </w:r>
      <w:r w:rsidR="00483517" w:rsidRPr="00247D9A">
        <w:rPr>
          <w:rFonts w:cstheme="minorHAnsi"/>
          <w:sz w:val="24"/>
          <w:szCs w:val="24"/>
        </w:rPr>
        <w:t xml:space="preserve"> Οι δράσεις διαλειτουργικότητας των μητρώων αποτυπώνονται στο στρατηγικό κείμενο και στο σχέδιο δράσης για την Ηλεκτρονική Διακυβέρνηση. </w:t>
      </w:r>
    </w:p>
    <w:p w:rsidR="007905CD" w:rsidRPr="00247D9A" w:rsidRDefault="007905CD" w:rsidP="009801FB">
      <w:pPr>
        <w:jc w:val="both"/>
        <w:rPr>
          <w:rFonts w:cstheme="minorHAnsi"/>
          <w:sz w:val="24"/>
          <w:szCs w:val="24"/>
        </w:rPr>
      </w:pPr>
      <w:r w:rsidRPr="00247D9A">
        <w:rPr>
          <w:rFonts w:cstheme="minorHAnsi"/>
          <w:sz w:val="24"/>
          <w:szCs w:val="24"/>
        </w:rPr>
        <w:t>Ο δείκτης συνδέεται με τον δείκτη εκροής «Αριθμός έργων ενίσχυσης της διαλειτουργικότητας μητρώων και υπηρεσιών του Δημόσιου Τομέα»</w:t>
      </w:r>
      <w:r w:rsidR="00083EC6" w:rsidRPr="00247D9A">
        <w:rPr>
          <w:rFonts w:cstheme="minorHAnsi"/>
          <w:sz w:val="24"/>
          <w:szCs w:val="24"/>
        </w:rPr>
        <w:t>.</w:t>
      </w:r>
    </w:p>
    <w:p w:rsidR="00B5585E" w:rsidRPr="00247D9A" w:rsidRDefault="00B5585E" w:rsidP="00B5585E">
      <w:pPr>
        <w:jc w:val="both"/>
        <w:rPr>
          <w:rFonts w:cstheme="minorHAnsi"/>
          <w:b/>
          <w:i/>
          <w:sz w:val="24"/>
          <w:szCs w:val="24"/>
          <w:u w:val="single"/>
        </w:rPr>
      </w:pPr>
      <w:r w:rsidRPr="00247D9A">
        <w:rPr>
          <w:rFonts w:cstheme="minorHAnsi"/>
          <w:b/>
          <w:i/>
          <w:sz w:val="24"/>
          <w:szCs w:val="24"/>
          <w:u w:val="single"/>
        </w:rPr>
        <w:t>Δείκτες Εκροής</w:t>
      </w:r>
    </w:p>
    <w:p w:rsidR="00B5585E" w:rsidRPr="00247D9A" w:rsidRDefault="00B5585E" w:rsidP="007B3067">
      <w:pPr>
        <w:pStyle w:val="a6"/>
        <w:numPr>
          <w:ilvl w:val="0"/>
          <w:numId w:val="21"/>
        </w:numPr>
        <w:jc w:val="both"/>
        <w:rPr>
          <w:rFonts w:cstheme="minorHAnsi"/>
          <w:b/>
          <w:sz w:val="24"/>
          <w:szCs w:val="24"/>
        </w:rPr>
      </w:pPr>
      <w:r w:rsidRPr="00247D9A">
        <w:rPr>
          <w:rFonts w:cstheme="minorHAnsi"/>
          <w:b/>
          <w:sz w:val="24"/>
          <w:szCs w:val="24"/>
        </w:rPr>
        <w:t>Αριθμός έργων δημιουργίας ή αναβάθμισης συστημάτων ΤΠΕ για την υποστήριξη οριζόντιων λειτουργιών των δημόσιων φορέων</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είναι 13 και αφορά σε δράσεις αναβάθμισης, ανάπτυξης και λειτουργίας συστημάτων ΤΠΕ για την υποστήριξη οριζόντιων λειτουργιών των δημόσιων φορέων. Ενδεικτικές οριζόντιες δράσεις αποτελούν: η ανάπτυξη συστήματος μέτρησης, αξιολόγησης και συνεχούς απόδοσης των ηλεκτρονικών υπηρεσιών, η εγκατάσταση και λειτουργία ενός κεντρικού συστήματος ολοκληρωμένης χρηματοοικονομικής διαχείρισης (ERP),  ψηφιακές υπηρεσίες ενιαίας μισθοδοσίας, δημιουργία ηλεκτρονικού περιβάλλοντος διακίνησης, διαχείρισης και αρχειοθέτησης εγγράφων μέσω της υιοθέτησης της ψηφιακής υπογραφής, η ανάπτυξη πλατφόρμας διαβούλευσης, αρχικά μεταξύ των υπηρεσιών των Υπουργείων και στη συνέχεια μεταξύ των Υπουργείων και των εποπτευόμενων οργανισμών, των ανεξάρτητων αρχών και των περιφερειακών και δημοτικών υπηρεσιών, υποστηρικτικές δράσεις του έργου ΣΥΖΕΥΞΙΣ. Το μέσο κόστος υλοποίησης, εκτιμάται σε 6.500.000€ ανά δράση.</w:t>
      </w:r>
    </w:p>
    <w:p w:rsidR="00B5585E" w:rsidRPr="00247D9A" w:rsidRDefault="00B5585E" w:rsidP="00B5585E">
      <w:pPr>
        <w:jc w:val="both"/>
        <w:rPr>
          <w:rFonts w:cstheme="minorHAnsi"/>
          <w:sz w:val="24"/>
          <w:szCs w:val="24"/>
        </w:rPr>
      </w:pPr>
      <w:r w:rsidRPr="00247D9A">
        <w:rPr>
          <w:rFonts w:cstheme="minorHAnsi"/>
          <w:sz w:val="24"/>
          <w:szCs w:val="24"/>
        </w:rPr>
        <w:t>Ενδεικτικά έργα, τα οποία έχουν μεγάλο βαθμό ωρίμανσης ή/και αποτελούν έργα προτεραιότητας με βάση τα στρατηγικά κείμενα για την ηλεκτρονική διακυβέρνηση, είναι:</w:t>
      </w:r>
    </w:p>
    <w:p w:rsidR="00B5585E" w:rsidRPr="00247D9A" w:rsidRDefault="00B5585E" w:rsidP="007B3067">
      <w:pPr>
        <w:pStyle w:val="a6"/>
        <w:numPr>
          <w:ilvl w:val="0"/>
          <w:numId w:val="29"/>
        </w:numPr>
        <w:jc w:val="both"/>
        <w:rPr>
          <w:rFonts w:cstheme="minorHAnsi"/>
          <w:sz w:val="24"/>
          <w:szCs w:val="24"/>
        </w:rPr>
      </w:pPr>
      <w:r w:rsidRPr="00247D9A">
        <w:rPr>
          <w:rFonts w:cstheme="minorHAnsi"/>
          <w:sz w:val="24"/>
          <w:szCs w:val="24"/>
        </w:rPr>
        <w:t>Εφαρμογή της Μεταρρύθμισης του Δημοσιονομικού Συστήματος στην Κεντρική Διοίκηση και την λοιπή Γενική Κυβέρνηση</w:t>
      </w:r>
    </w:p>
    <w:p w:rsidR="00B5585E" w:rsidRPr="00247D9A" w:rsidRDefault="00B5585E" w:rsidP="007B3067">
      <w:pPr>
        <w:pStyle w:val="a6"/>
        <w:numPr>
          <w:ilvl w:val="0"/>
          <w:numId w:val="29"/>
        </w:numPr>
        <w:jc w:val="both"/>
        <w:rPr>
          <w:rFonts w:cstheme="minorHAnsi"/>
          <w:sz w:val="24"/>
          <w:szCs w:val="24"/>
        </w:rPr>
      </w:pPr>
      <w:r w:rsidRPr="00247D9A">
        <w:rPr>
          <w:rFonts w:cstheme="minorHAnsi"/>
          <w:sz w:val="24"/>
          <w:szCs w:val="24"/>
        </w:rPr>
        <w:t>Κεντρικό πληροφοριακό σύστημα για τη συνεργατική σύνταξη, ψηφιακή υπογραφή, διακίνηση και διαχείριση εγγράφων στο δημόσιο (Document</w:t>
      </w:r>
      <w:r w:rsidR="00FF6F11">
        <w:rPr>
          <w:rFonts w:cstheme="minorHAnsi"/>
          <w:sz w:val="24"/>
          <w:szCs w:val="24"/>
        </w:rPr>
        <w:t xml:space="preserve"> </w:t>
      </w:r>
      <w:r w:rsidRPr="00247D9A">
        <w:rPr>
          <w:rFonts w:cstheme="minorHAnsi"/>
          <w:sz w:val="24"/>
          <w:szCs w:val="24"/>
        </w:rPr>
        <w:t>Management</w:t>
      </w:r>
      <w:r w:rsidR="00FF6F11">
        <w:rPr>
          <w:rFonts w:cstheme="minorHAnsi"/>
          <w:sz w:val="24"/>
          <w:szCs w:val="24"/>
        </w:rPr>
        <w:t xml:space="preserve"> </w:t>
      </w:r>
      <w:r w:rsidRPr="00247D9A">
        <w:rPr>
          <w:rFonts w:cstheme="minorHAnsi"/>
          <w:sz w:val="24"/>
          <w:szCs w:val="24"/>
        </w:rPr>
        <w:t>System DMS)</w:t>
      </w:r>
    </w:p>
    <w:p w:rsidR="00B5585E" w:rsidRPr="00247D9A" w:rsidRDefault="00B5585E" w:rsidP="007B3067">
      <w:pPr>
        <w:pStyle w:val="a6"/>
        <w:numPr>
          <w:ilvl w:val="0"/>
          <w:numId w:val="29"/>
        </w:numPr>
        <w:jc w:val="both"/>
        <w:rPr>
          <w:rFonts w:cstheme="minorHAnsi"/>
          <w:sz w:val="24"/>
          <w:szCs w:val="24"/>
        </w:rPr>
      </w:pPr>
      <w:r w:rsidRPr="00247D9A">
        <w:rPr>
          <w:rFonts w:cstheme="minorHAnsi"/>
          <w:sz w:val="24"/>
          <w:szCs w:val="24"/>
        </w:rPr>
        <w:t>Εφαρμογή του συστήματος για τη συνεργατική σύνταξη, ψηφιακή υπογραφή, διακίνηση και διαχείριση εγγράφων στο δημόσιο (Document</w:t>
      </w:r>
      <w:r w:rsidR="00FF6F11">
        <w:rPr>
          <w:rFonts w:cstheme="minorHAnsi"/>
          <w:sz w:val="24"/>
          <w:szCs w:val="24"/>
        </w:rPr>
        <w:t xml:space="preserve"> </w:t>
      </w:r>
      <w:r w:rsidRPr="00247D9A">
        <w:rPr>
          <w:rFonts w:cstheme="minorHAnsi"/>
          <w:sz w:val="24"/>
          <w:szCs w:val="24"/>
        </w:rPr>
        <w:t>Management</w:t>
      </w:r>
      <w:r w:rsidR="00FF6F11">
        <w:rPr>
          <w:rFonts w:cstheme="minorHAnsi"/>
          <w:sz w:val="24"/>
          <w:szCs w:val="24"/>
        </w:rPr>
        <w:t xml:space="preserve"> </w:t>
      </w:r>
      <w:r w:rsidRPr="00247D9A">
        <w:rPr>
          <w:rFonts w:cstheme="minorHAnsi"/>
          <w:sz w:val="24"/>
          <w:szCs w:val="24"/>
        </w:rPr>
        <w:t>System DMS)</w:t>
      </w:r>
    </w:p>
    <w:p w:rsidR="00B5585E" w:rsidRPr="00247D9A" w:rsidRDefault="00B5585E" w:rsidP="007B3067">
      <w:pPr>
        <w:pStyle w:val="a6"/>
        <w:numPr>
          <w:ilvl w:val="0"/>
          <w:numId w:val="29"/>
        </w:numPr>
        <w:jc w:val="both"/>
        <w:rPr>
          <w:rFonts w:cstheme="minorHAnsi"/>
          <w:sz w:val="24"/>
          <w:szCs w:val="24"/>
        </w:rPr>
      </w:pPr>
      <w:r w:rsidRPr="00247D9A">
        <w:rPr>
          <w:rFonts w:cstheme="minorHAnsi"/>
          <w:sz w:val="24"/>
          <w:szCs w:val="24"/>
        </w:rPr>
        <w:t>Κεντρικό σύστημα για την υποστήριξη της παρακολούθησης λειτουργίας και δράσης των δημόσιων φορέων και της διαδικασίας λήψης αποφάσεων (κυβερνητικό MIS)</w:t>
      </w:r>
    </w:p>
    <w:p w:rsidR="00B5585E" w:rsidRPr="00247D9A" w:rsidRDefault="00B5585E" w:rsidP="007B3067">
      <w:pPr>
        <w:pStyle w:val="a6"/>
        <w:numPr>
          <w:ilvl w:val="0"/>
          <w:numId w:val="29"/>
        </w:numPr>
        <w:jc w:val="both"/>
        <w:rPr>
          <w:rFonts w:cstheme="minorHAnsi"/>
          <w:sz w:val="24"/>
          <w:szCs w:val="24"/>
        </w:rPr>
      </w:pPr>
      <w:r w:rsidRPr="00247D9A">
        <w:rPr>
          <w:rFonts w:cstheme="minorHAnsi"/>
          <w:sz w:val="24"/>
          <w:szCs w:val="24"/>
        </w:rPr>
        <w:t>Ψηφιακές υπηρεσίες Ενιαίας Μισθοδοσίας</w:t>
      </w:r>
    </w:p>
    <w:p w:rsidR="00B5585E" w:rsidRPr="00247D9A" w:rsidRDefault="00B5585E" w:rsidP="007B3067">
      <w:pPr>
        <w:pStyle w:val="a6"/>
        <w:numPr>
          <w:ilvl w:val="0"/>
          <w:numId w:val="29"/>
        </w:numPr>
        <w:jc w:val="both"/>
        <w:rPr>
          <w:rFonts w:cstheme="minorHAnsi"/>
          <w:sz w:val="24"/>
          <w:szCs w:val="24"/>
        </w:rPr>
      </w:pPr>
      <w:r w:rsidRPr="00247D9A">
        <w:rPr>
          <w:rFonts w:cstheme="minorHAnsi"/>
          <w:sz w:val="24"/>
          <w:szCs w:val="24"/>
        </w:rPr>
        <w:lastRenderedPageBreak/>
        <w:t>Εθνικό ληξιαρχείο</w:t>
      </w:r>
    </w:p>
    <w:p w:rsidR="00B5585E" w:rsidRPr="00740C34" w:rsidRDefault="00B5585E" w:rsidP="007B3067">
      <w:pPr>
        <w:pStyle w:val="a6"/>
        <w:numPr>
          <w:ilvl w:val="0"/>
          <w:numId w:val="29"/>
        </w:numPr>
        <w:jc w:val="both"/>
        <w:rPr>
          <w:rFonts w:cstheme="minorHAnsi"/>
          <w:b/>
          <w:sz w:val="24"/>
          <w:szCs w:val="24"/>
        </w:rPr>
      </w:pPr>
      <w:r w:rsidRPr="00247D9A">
        <w:rPr>
          <w:rFonts w:cstheme="minorHAnsi"/>
          <w:sz w:val="24"/>
          <w:szCs w:val="24"/>
        </w:rPr>
        <w:t>Ηλεκτρονική Υπογραφή στο Δημόσιο Τομέα</w:t>
      </w:r>
    </w:p>
    <w:p w:rsidR="00740C34" w:rsidRPr="00247D9A" w:rsidRDefault="00740C34" w:rsidP="00740C34">
      <w:pPr>
        <w:pStyle w:val="a6"/>
        <w:jc w:val="both"/>
        <w:rPr>
          <w:rFonts w:cstheme="minorHAnsi"/>
          <w:b/>
          <w:sz w:val="24"/>
          <w:szCs w:val="24"/>
        </w:rPr>
      </w:pPr>
    </w:p>
    <w:p w:rsidR="00B5585E" w:rsidRPr="00247D9A" w:rsidRDefault="00B5585E" w:rsidP="007B3067">
      <w:pPr>
        <w:pStyle w:val="a6"/>
        <w:numPr>
          <w:ilvl w:val="0"/>
          <w:numId w:val="21"/>
        </w:numPr>
        <w:jc w:val="both"/>
        <w:rPr>
          <w:rFonts w:cstheme="minorHAnsi"/>
          <w:b/>
          <w:sz w:val="24"/>
          <w:szCs w:val="24"/>
        </w:rPr>
      </w:pPr>
      <w:r w:rsidRPr="00247D9A">
        <w:rPr>
          <w:rFonts w:cstheme="minorHAnsi"/>
          <w:b/>
          <w:sz w:val="24"/>
          <w:szCs w:val="24"/>
        </w:rPr>
        <w:t>Αριθμός έργων ενίσχυσης της διαλειτουργικότητας μητρώων και υπηρεσιών του Δημόσιου Τομέα</w:t>
      </w:r>
    </w:p>
    <w:p w:rsidR="00B5585E" w:rsidRPr="00247D9A" w:rsidRDefault="00B5585E" w:rsidP="00B5585E">
      <w:pPr>
        <w:jc w:val="both"/>
        <w:rPr>
          <w:rFonts w:cstheme="minorHAnsi"/>
          <w:sz w:val="24"/>
          <w:szCs w:val="24"/>
        </w:rPr>
      </w:pPr>
      <w:r w:rsidRPr="00247D9A">
        <w:rPr>
          <w:rFonts w:cstheme="minorHAnsi"/>
          <w:sz w:val="24"/>
          <w:szCs w:val="24"/>
        </w:rPr>
        <w:t>Προκειμένου η δημόσια διοίκηση να αξιοποιήσει πλήρως και αποτελεσματικά τον πλούτο της δημόσιας πληροφορίας, μεταβαίνοντας από ένα σύστημα ανταλλαγής εγγράφων σε ένα σύστημα ανταλλαγής πληροφορίας και αφετέρου να εξασφαλίσει διαβαθμισμένα την ανοικτή διάθεση των δεδομένων στις ομάδες ενδιαφέροντος θα υλοποιήσει δράσεις:</w:t>
      </w:r>
    </w:p>
    <w:p w:rsidR="00B5585E" w:rsidRPr="00247D9A" w:rsidRDefault="00B5585E" w:rsidP="007B3067">
      <w:pPr>
        <w:pStyle w:val="a6"/>
        <w:numPr>
          <w:ilvl w:val="0"/>
          <w:numId w:val="30"/>
        </w:numPr>
        <w:jc w:val="both"/>
        <w:rPr>
          <w:rFonts w:cstheme="minorHAnsi"/>
          <w:sz w:val="24"/>
          <w:szCs w:val="24"/>
        </w:rPr>
      </w:pPr>
      <w:r w:rsidRPr="00247D9A">
        <w:rPr>
          <w:rFonts w:cstheme="minorHAnsi"/>
          <w:sz w:val="24"/>
          <w:szCs w:val="24"/>
        </w:rPr>
        <w:t>καθιέρωσης  κοινών προτύπων διαχείρισης γνώσης, και συλλογής και αξιοποίησης δημόσιων δεδομένων</w:t>
      </w:r>
    </w:p>
    <w:p w:rsidR="00B5585E" w:rsidRPr="00247D9A" w:rsidRDefault="00B5585E" w:rsidP="007B3067">
      <w:pPr>
        <w:pStyle w:val="a6"/>
        <w:numPr>
          <w:ilvl w:val="0"/>
          <w:numId w:val="30"/>
        </w:numPr>
        <w:jc w:val="both"/>
        <w:rPr>
          <w:rFonts w:cstheme="minorHAnsi"/>
          <w:sz w:val="24"/>
          <w:szCs w:val="24"/>
        </w:rPr>
      </w:pPr>
      <w:r w:rsidRPr="00247D9A">
        <w:rPr>
          <w:rFonts w:cstheme="minorHAnsi"/>
          <w:sz w:val="24"/>
          <w:szCs w:val="24"/>
        </w:rPr>
        <w:t xml:space="preserve">διασύνδεσης των τεσσάρων βασικών Μητρώων  (Μητρώο Φορολογουμένων, Μητρώο Ασφαλισμένων, Δημοτολόγιο, Μητρώο Αστυνομικών Ταυτοτήτων) </w:t>
      </w:r>
    </w:p>
    <w:p w:rsidR="00B5585E" w:rsidRPr="00247D9A" w:rsidRDefault="00B5585E" w:rsidP="007B3067">
      <w:pPr>
        <w:pStyle w:val="a6"/>
        <w:numPr>
          <w:ilvl w:val="0"/>
          <w:numId w:val="30"/>
        </w:numPr>
        <w:jc w:val="both"/>
        <w:rPr>
          <w:rFonts w:cstheme="minorHAnsi"/>
          <w:sz w:val="24"/>
          <w:szCs w:val="24"/>
        </w:rPr>
      </w:pPr>
      <w:r w:rsidRPr="00247D9A">
        <w:rPr>
          <w:rFonts w:cstheme="minorHAnsi"/>
          <w:sz w:val="24"/>
          <w:szCs w:val="24"/>
        </w:rPr>
        <w:t>ανάπτυξης εφαρμογών ενίσχυσης της διαλειτουργικότητας  συστημάτων και υπηρεσιών του δημόσιου τομέα δίνοντας προτεραιότητα στις δράσεις διαλειτουργικότητας που αφορούν στους κάθετους τομείς πολιτικής του ΕΠ</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είναι 9 και αφορά:</w:t>
      </w:r>
    </w:p>
    <w:p w:rsidR="00325ACD" w:rsidRPr="00247D9A" w:rsidRDefault="00325ACD" w:rsidP="007B3067">
      <w:pPr>
        <w:pStyle w:val="a6"/>
        <w:numPr>
          <w:ilvl w:val="0"/>
          <w:numId w:val="31"/>
        </w:numPr>
        <w:jc w:val="both"/>
        <w:rPr>
          <w:rFonts w:cstheme="minorHAnsi"/>
          <w:sz w:val="24"/>
          <w:szCs w:val="24"/>
        </w:rPr>
      </w:pPr>
      <w:r w:rsidRPr="00247D9A">
        <w:rPr>
          <w:rFonts w:cstheme="minorHAnsi"/>
          <w:sz w:val="24"/>
          <w:szCs w:val="24"/>
        </w:rPr>
        <w:t>στη διασύνδεση των βασικών μητρώων (Μητρώο Φορολογουμένων, Μητρώο Ασφαλισμένων, Δημοτολόγιο, Μητρώο Αστυνομικών Ταυτο</w:t>
      </w:r>
      <w:r w:rsidR="00D921F0" w:rsidRPr="00247D9A">
        <w:rPr>
          <w:rFonts w:cstheme="minorHAnsi"/>
          <w:sz w:val="24"/>
          <w:szCs w:val="24"/>
        </w:rPr>
        <w:t>τήτων)</w:t>
      </w:r>
    </w:p>
    <w:p w:rsidR="00D921F0" w:rsidRPr="00247D9A" w:rsidRDefault="00D921F0" w:rsidP="007B3067">
      <w:pPr>
        <w:pStyle w:val="a6"/>
        <w:numPr>
          <w:ilvl w:val="0"/>
          <w:numId w:val="31"/>
        </w:numPr>
        <w:jc w:val="both"/>
        <w:rPr>
          <w:rFonts w:cstheme="minorHAnsi"/>
          <w:sz w:val="24"/>
          <w:szCs w:val="24"/>
        </w:rPr>
      </w:pPr>
      <w:r w:rsidRPr="00247D9A">
        <w:rPr>
          <w:rFonts w:cstheme="minorHAnsi"/>
          <w:sz w:val="24"/>
          <w:szCs w:val="24"/>
        </w:rPr>
        <w:t xml:space="preserve">στον προσδιορισμό των αρχών και </w:t>
      </w:r>
      <w:r w:rsidR="00E03A4D" w:rsidRPr="00247D9A">
        <w:rPr>
          <w:rFonts w:cstheme="minorHAnsi"/>
          <w:sz w:val="24"/>
          <w:szCs w:val="24"/>
        </w:rPr>
        <w:t xml:space="preserve">ανάπτυξη </w:t>
      </w:r>
      <w:r w:rsidRPr="00247D9A">
        <w:rPr>
          <w:rFonts w:cstheme="minorHAnsi"/>
          <w:sz w:val="24"/>
          <w:szCs w:val="24"/>
        </w:rPr>
        <w:t>εργαλείων διαλειτουργικότητας των πληροφοριακών συστημάτων του Δημόσιου Τομέα</w:t>
      </w:r>
    </w:p>
    <w:p w:rsidR="00E03A4D" w:rsidRPr="00247D9A" w:rsidRDefault="00D921F0" w:rsidP="00325ACD">
      <w:pPr>
        <w:pStyle w:val="a6"/>
        <w:numPr>
          <w:ilvl w:val="0"/>
          <w:numId w:val="31"/>
        </w:numPr>
        <w:spacing w:before="120" w:after="120" w:line="240" w:lineRule="atLeast"/>
        <w:jc w:val="both"/>
        <w:rPr>
          <w:rFonts w:cstheme="minorHAnsi"/>
          <w:sz w:val="24"/>
          <w:szCs w:val="24"/>
        </w:rPr>
      </w:pPr>
      <w:r w:rsidRPr="00247D9A">
        <w:rPr>
          <w:rFonts w:cstheme="minorHAnsi"/>
          <w:sz w:val="24"/>
          <w:szCs w:val="24"/>
        </w:rPr>
        <w:t xml:space="preserve">στην επικαιροποίηση του υφιστάμενου Πλαισίου Παροχής Υπηρεσιών Ηλεκτρονικής Διακυβέρνησης, καθώς και </w:t>
      </w:r>
      <w:r w:rsidR="00E03A4D" w:rsidRPr="00247D9A">
        <w:rPr>
          <w:rFonts w:cstheme="minorHAnsi"/>
          <w:sz w:val="24"/>
          <w:szCs w:val="24"/>
        </w:rPr>
        <w:t xml:space="preserve">στην </w:t>
      </w:r>
      <w:r w:rsidRPr="00247D9A">
        <w:rPr>
          <w:rFonts w:cstheme="minorHAnsi"/>
          <w:sz w:val="24"/>
          <w:szCs w:val="24"/>
        </w:rPr>
        <w:t xml:space="preserve">υποχρεωτική εφαρμογή του σε όλες τις δράσεις και τα έργα Ηλεκτρονικής Διακυβέρνησης. </w:t>
      </w:r>
    </w:p>
    <w:p w:rsidR="00B5585E" w:rsidRPr="00247D9A" w:rsidRDefault="00B5585E" w:rsidP="00E03A4D">
      <w:pPr>
        <w:spacing w:before="120" w:after="120" w:line="240" w:lineRule="atLeast"/>
        <w:jc w:val="both"/>
        <w:rPr>
          <w:rFonts w:cstheme="minorHAnsi"/>
          <w:sz w:val="24"/>
          <w:szCs w:val="24"/>
        </w:rPr>
      </w:pPr>
      <w:r w:rsidRPr="00247D9A">
        <w:rPr>
          <w:rFonts w:cstheme="minorHAnsi"/>
          <w:sz w:val="24"/>
          <w:szCs w:val="24"/>
        </w:rPr>
        <w:t>Το μέσο κόστος υλοποίησης, εκτιμάται σε 2.000.000 € ανά δράση.</w:t>
      </w:r>
    </w:p>
    <w:p w:rsidR="00B5585E" w:rsidRPr="00247D9A" w:rsidRDefault="00B5585E" w:rsidP="00B5585E">
      <w:pPr>
        <w:jc w:val="both"/>
        <w:rPr>
          <w:rFonts w:cstheme="minorHAnsi"/>
          <w:sz w:val="24"/>
          <w:szCs w:val="24"/>
        </w:rPr>
      </w:pPr>
      <w:r w:rsidRPr="00247D9A">
        <w:rPr>
          <w:rFonts w:cstheme="minorHAnsi"/>
          <w:sz w:val="24"/>
          <w:szCs w:val="24"/>
        </w:rPr>
        <w:t>Ενδεικτικά έργα, τα οποία έχουν μεγάλο βαθμό ωρίμανσης ή/και αποτελούν έργα προτεραιότητας με βάση τα στρατηγικά κείμενα για την ηλεκτρονική διακυβέρνηση, είναι:</w:t>
      </w:r>
    </w:p>
    <w:p w:rsidR="00E03A4D" w:rsidRPr="00247D9A" w:rsidRDefault="00E03A4D" w:rsidP="00E03A4D">
      <w:pPr>
        <w:pStyle w:val="a6"/>
        <w:numPr>
          <w:ilvl w:val="0"/>
          <w:numId w:val="13"/>
        </w:numPr>
        <w:jc w:val="both"/>
        <w:rPr>
          <w:rFonts w:cstheme="minorHAnsi"/>
          <w:sz w:val="24"/>
          <w:szCs w:val="24"/>
        </w:rPr>
      </w:pPr>
      <w:r w:rsidRPr="00247D9A">
        <w:rPr>
          <w:rFonts w:cstheme="minorHAnsi"/>
          <w:sz w:val="24"/>
          <w:szCs w:val="24"/>
        </w:rPr>
        <w:t>Ηλεκτρονική Διακυβέρνηση Τώρα</w:t>
      </w:r>
    </w:p>
    <w:p w:rsidR="00E03A4D" w:rsidRPr="00247D9A" w:rsidRDefault="00E03A4D" w:rsidP="00E03A4D">
      <w:pPr>
        <w:pStyle w:val="a6"/>
        <w:numPr>
          <w:ilvl w:val="0"/>
          <w:numId w:val="13"/>
        </w:numPr>
        <w:jc w:val="both"/>
        <w:rPr>
          <w:rFonts w:cstheme="minorHAnsi"/>
          <w:sz w:val="24"/>
          <w:szCs w:val="24"/>
        </w:rPr>
      </w:pPr>
      <w:r w:rsidRPr="00247D9A">
        <w:rPr>
          <w:rFonts w:cstheme="minorHAnsi"/>
          <w:sz w:val="24"/>
          <w:szCs w:val="24"/>
        </w:rPr>
        <w:t>Έργα αποκάθαρσης δεδομένων των 4 βασικών μητρώων</w:t>
      </w:r>
    </w:p>
    <w:p w:rsidR="00E03A4D" w:rsidRPr="00247D9A" w:rsidRDefault="00E03A4D" w:rsidP="00E03A4D">
      <w:pPr>
        <w:pStyle w:val="a6"/>
        <w:numPr>
          <w:ilvl w:val="0"/>
          <w:numId w:val="13"/>
        </w:numPr>
        <w:jc w:val="both"/>
        <w:rPr>
          <w:rFonts w:cstheme="minorHAnsi"/>
          <w:sz w:val="24"/>
          <w:szCs w:val="24"/>
        </w:rPr>
      </w:pPr>
      <w:r w:rsidRPr="00247D9A">
        <w:rPr>
          <w:rFonts w:cstheme="minorHAnsi"/>
          <w:sz w:val="24"/>
          <w:szCs w:val="24"/>
        </w:rPr>
        <w:t>Ανάπτυξη Εσωτερικής Διαλειτουργικότητας όλων των υφιστάμενων εφαρμογών της Γ.Γ.Δ.Ε</w:t>
      </w:r>
    </w:p>
    <w:p w:rsidR="00B5585E" w:rsidRPr="00247D9A" w:rsidRDefault="00B5585E" w:rsidP="007B3067">
      <w:pPr>
        <w:pStyle w:val="a6"/>
        <w:numPr>
          <w:ilvl w:val="0"/>
          <w:numId w:val="13"/>
        </w:numPr>
        <w:jc w:val="both"/>
        <w:rPr>
          <w:rFonts w:cstheme="minorHAnsi"/>
          <w:sz w:val="24"/>
          <w:szCs w:val="24"/>
        </w:rPr>
      </w:pPr>
      <w:r w:rsidRPr="00247D9A">
        <w:rPr>
          <w:rFonts w:cstheme="minorHAnsi"/>
          <w:sz w:val="24"/>
          <w:szCs w:val="24"/>
        </w:rPr>
        <w:t>Μελέτη τρόπου διασύνδεσης μητρώων - επανεξέταση του Πλαισίου Παροχής Υπηρεσιών Ηλεκτρονικής Διακυβέρνησης</w:t>
      </w:r>
    </w:p>
    <w:p w:rsidR="00B5585E" w:rsidRPr="00247D9A" w:rsidRDefault="00B5585E" w:rsidP="007B3067">
      <w:pPr>
        <w:pStyle w:val="a6"/>
        <w:numPr>
          <w:ilvl w:val="0"/>
          <w:numId w:val="13"/>
        </w:numPr>
        <w:jc w:val="both"/>
        <w:rPr>
          <w:rFonts w:cstheme="minorHAnsi"/>
          <w:sz w:val="24"/>
          <w:szCs w:val="24"/>
        </w:rPr>
      </w:pPr>
      <w:r w:rsidRPr="00247D9A">
        <w:rPr>
          <w:rFonts w:cstheme="minorHAnsi"/>
          <w:sz w:val="24"/>
          <w:szCs w:val="24"/>
        </w:rPr>
        <w:lastRenderedPageBreak/>
        <w:t>Ανάπτυξη και λειτουργία Κέντρου Διαλειτουργικότητας για τον Δημόσιο Τομέα με στόχο την παροχή σύνθετων ηλεκτρονικών υπηρεσιών προς τους συναλλασσόμενους</w:t>
      </w:r>
    </w:p>
    <w:p w:rsidR="00B5585E" w:rsidRPr="00247D9A" w:rsidRDefault="00B5585E" w:rsidP="007B3067">
      <w:pPr>
        <w:pStyle w:val="a6"/>
        <w:numPr>
          <w:ilvl w:val="0"/>
          <w:numId w:val="13"/>
        </w:numPr>
        <w:jc w:val="both"/>
        <w:rPr>
          <w:rFonts w:cstheme="minorHAnsi"/>
          <w:sz w:val="24"/>
          <w:szCs w:val="24"/>
        </w:rPr>
      </w:pPr>
      <w:r w:rsidRPr="00247D9A">
        <w:rPr>
          <w:rFonts w:cstheme="minorHAnsi"/>
          <w:sz w:val="24"/>
          <w:szCs w:val="24"/>
        </w:rPr>
        <w:t>Ενοποίηση λειτουργικότητας Υπολογιστικών Συστημάτων του Υπ. Οικονομικών</w:t>
      </w:r>
    </w:p>
    <w:p w:rsidR="00A635E8" w:rsidRPr="00247D9A" w:rsidRDefault="00A635E8" w:rsidP="00A635E8">
      <w:pPr>
        <w:jc w:val="both"/>
        <w:rPr>
          <w:rFonts w:cstheme="minorHAnsi"/>
          <w:b/>
          <w:i/>
          <w:sz w:val="24"/>
          <w:szCs w:val="24"/>
          <w:u w:val="single"/>
        </w:rPr>
      </w:pPr>
      <w:r w:rsidRPr="00247D9A">
        <w:rPr>
          <w:rFonts w:cstheme="minorHAnsi"/>
          <w:b/>
          <w:i/>
          <w:sz w:val="24"/>
          <w:szCs w:val="24"/>
          <w:u w:val="single"/>
        </w:rPr>
        <w:t>Ειδικός στόχος 2.1.2: Αύξηση των υπηρεσιών και συστημάτων ηλεκτρονικής διακυβέρνησης που παρέχονται προς τους πολίτες</w:t>
      </w:r>
    </w:p>
    <w:p w:rsidR="00203426" w:rsidRPr="00247D9A" w:rsidRDefault="00203426" w:rsidP="00A635E8">
      <w:pPr>
        <w:rPr>
          <w:rFonts w:cstheme="minorHAnsi"/>
          <w:b/>
          <w:i/>
          <w:sz w:val="24"/>
          <w:szCs w:val="24"/>
          <w:u w:val="single"/>
        </w:rPr>
      </w:pPr>
      <w:r w:rsidRPr="00247D9A">
        <w:rPr>
          <w:rFonts w:cstheme="minorHAnsi"/>
          <w:b/>
          <w:i/>
          <w:sz w:val="24"/>
          <w:szCs w:val="24"/>
          <w:u w:val="single"/>
        </w:rPr>
        <w:t>Δείκτες Αποτελέσματος</w:t>
      </w:r>
    </w:p>
    <w:p w:rsidR="00203426" w:rsidRPr="00247D9A" w:rsidRDefault="00203426" w:rsidP="007B3067">
      <w:pPr>
        <w:pStyle w:val="a6"/>
        <w:numPr>
          <w:ilvl w:val="0"/>
          <w:numId w:val="24"/>
        </w:numPr>
        <w:rPr>
          <w:rFonts w:cstheme="minorHAnsi"/>
          <w:b/>
          <w:sz w:val="24"/>
          <w:szCs w:val="24"/>
        </w:rPr>
      </w:pPr>
      <w:r w:rsidRPr="00247D9A">
        <w:rPr>
          <w:rFonts w:cstheme="minorHAnsi"/>
          <w:b/>
          <w:sz w:val="24"/>
          <w:szCs w:val="24"/>
        </w:rPr>
        <w:t>Αριθμός συστημάτων ηλεκτρονικής διακυβέρνησης που παρέχονται στους πολίτες</w:t>
      </w:r>
    </w:p>
    <w:p w:rsidR="00E522E5" w:rsidRPr="00247D9A" w:rsidRDefault="00685065" w:rsidP="00E522E5">
      <w:pPr>
        <w:jc w:val="both"/>
        <w:rPr>
          <w:rFonts w:cstheme="minorHAnsi"/>
          <w:sz w:val="24"/>
          <w:szCs w:val="24"/>
        </w:rPr>
      </w:pPr>
      <w:r w:rsidRPr="00247D9A">
        <w:rPr>
          <w:rFonts w:cstheme="minorHAnsi"/>
          <w:sz w:val="24"/>
          <w:szCs w:val="24"/>
        </w:rPr>
        <w:t>Η τιμή βάσης του δείκτη είναι 1 και αφορά στη λειτουργία του συστήματος taxisnet</w:t>
      </w:r>
      <w:r w:rsidR="00FF6F11">
        <w:rPr>
          <w:rFonts w:cstheme="minorHAnsi"/>
          <w:sz w:val="24"/>
          <w:szCs w:val="24"/>
        </w:rPr>
        <w:t xml:space="preserve"> </w:t>
      </w:r>
      <w:r w:rsidR="00E522E5" w:rsidRPr="00247D9A">
        <w:rPr>
          <w:rFonts w:cstheme="minorHAnsi"/>
          <w:sz w:val="24"/>
          <w:szCs w:val="24"/>
        </w:rPr>
        <w:t xml:space="preserve">με το οποίο προσφέρονται ηλεκτρονικές υπηρεσίες στους πολίτες. Η τιμή στόχος του δείκτη για το έτος 2023 είναι 2 και αφορά στην ανάπτυξη συστήματος που θα προωθεί την πολιτοκεντρική εξυπηρέτηση από τη Δημόσια Διοίκηση σε όλο το εύρος ενός τρικαναλικού συστήματος εξυπηρέτησης (τηλέφωνο, φυσική παρουσία – ΚΕΠ, Διαδίκτυο), χωρίς να αποκλείεται η εκ νέου αναβάθμιση της λειτουργίας του </w:t>
      </w:r>
      <w:r w:rsidR="00E522E5" w:rsidRPr="00247D9A">
        <w:rPr>
          <w:rFonts w:cstheme="minorHAnsi"/>
          <w:sz w:val="24"/>
          <w:szCs w:val="24"/>
          <w:lang w:val="en-US"/>
        </w:rPr>
        <w:t>taxisnet</w:t>
      </w:r>
      <w:r w:rsidR="00E522E5" w:rsidRPr="00247D9A">
        <w:rPr>
          <w:rFonts w:cstheme="minorHAnsi"/>
          <w:sz w:val="24"/>
          <w:szCs w:val="24"/>
        </w:rPr>
        <w:t xml:space="preserve"> που έχει ήδη τύχει αντικείμενο παρέμβασης και συμμετέχει στην τιμή βάσης του δείκτη.</w:t>
      </w:r>
    </w:p>
    <w:p w:rsidR="00203426" w:rsidRPr="00247D9A" w:rsidRDefault="00203426" w:rsidP="00F94C69">
      <w:pPr>
        <w:jc w:val="both"/>
        <w:rPr>
          <w:rFonts w:cstheme="minorHAnsi"/>
          <w:sz w:val="24"/>
          <w:szCs w:val="24"/>
        </w:rPr>
      </w:pPr>
      <w:r w:rsidRPr="00247D9A">
        <w:rPr>
          <w:rFonts w:cstheme="minorHAnsi"/>
          <w:sz w:val="24"/>
          <w:szCs w:val="24"/>
        </w:rPr>
        <w:t>Ο δείκτης συνδέεται με το δείκτη εκροής «Αριθμό</w:t>
      </w:r>
      <w:r w:rsidR="00F320C0" w:rsidRPr="00247D9A">
        <w:rPr>
          <w:rFonts w:cstheme="minorHAnsi"/>
          <w:sz w:val="24"/>
          <w:szCs w:val="24"/>
        </w:rPr>
        <w:t>ς έργων ανάπτυξης ή αναβάθμισης</w:t>
      </w:r>
      <w:r w:rsidRPr="00247D9A">
        <w:rPr>
          <w:rFonts w:cstheme="minorHAnsi"/>
          <w:sz w:val="24"/>
          <w:szCs w:val="24"/>
        </w:rPr>
        <w:t xml:space="preserve"> υπηρεσιών της δημόσιας διοίκησης που παρέχονται πλήρως ηλεκτρονικά».</w:t>
      </w:r>
    </w:p>
    <w:p w:rsidR="00203426" w:rsidRPr="00247D9A" w:rsidRDefault="00203426" w:rsidP="007B3067">
      <w:pPr>
        <w:pStyle w:val="a6"/>
        <w:numPr>
          <w:ilvl w:val="0"/>
          <w:numId w:val="24"/>
        </w:numPr>
        <w:rPr>
          <w:rFonts w:cstheme="minorHAnsi"/>
          <w:b/>
          <w:i/>
          <w:sz w:val="24"/>
          <w:szCs w:val="24"/>
          <w:u w:val="single"/>
        </w:rPr>
      </w:pPr>
      <w:r w:rsidRPr="00247D9A">
        <w:rPr>
          <w:rFonts w:cstheme="minorHAnsi"/>
          <w:b/>
          <w:sz w:val="24"/>
          <w:szCs w:val="24"/>
        </w:rPr>
        <w:t>Αριθμός πολιτών που έχουν προσωποποιημένη πρόσβαση στο ενιαίο σημείο πρόσβασης των πολιτών</w:t>
      </w:r>
    </w:p>
    <w:p w:rsidR="00E522E5" w:rsidRPr="00247D9A" w:rsidRDefault="00203426" w:rsidP="00E522E5">
      <w:pPr>
        <w:jc w:val="both"/>
        <w:rPr>
          <w:rFonts w:cstheme="minorHAnsi"/>
          <w:sz w:val="24"/>
          <w:szCs w:val="24"/>
        </w:rPr>
      </w:pPr>
      <w:r w:rsidRPr="00247D9A">
        <w:rPr>
          <w:rFonts w:cstheme="minorHAnsi"/>
          <w:sz w:val="24"/>
          <w:szCs w:val="24"/>
        </w:rPr>
        <w:t xml:space="preserve">Η τιμή βάσης </w:t>
      </w:r>
      <w:r w:rsidR="00E522E5" w:rsidRPr="00247D9A">
        <w:rPr>
          <w:rFonts w:cstheme="minorHAnsi"/>
          <w:sz w:val="24"/>
          <w:szCs w:val="24"/>
        </w:rPr>
        <w:t xml:space="preserve">του δείκτη </w:t>
      </w:r>
      <w:r w:rsidRPr="00247D9A">
        <w:rPr>
          <w:rFonts w:cstheme="minorHAnsi"/>
          <w:sz w:val="24"/>
          <w:szCs w:val="24"/>
        </w:rPr>
        <w:t xml:space="preserve">είναι </w:t>
      </w:r>
      <w:r w:rsidR="00F320C0" w:rsidRPr="00247D9A">
        <w:rPr>
          <w:rFonts w:cstheme="minorHAnsi"/>
          <w:sz w:val="24"/>
          <w:szCs w:val="24"/>
        </w:rPr>
        <w:t xml:space="preserve">οι </w:t>
      </w:r>
      <w:r w:rsidRPr="00247D9A">
        <w:rPr>
          <w:rFonts w:cstheme="minorHAnsi"/>
          <w:sz w:val="24"/>
          <w:szCs w:val="24"/>
        </w:rPr>
        <w:t>50.000 πολίτες</w:t>
      </w:r>
      <w:r w:rsidR="00E522E5" w:rsidRPr="00247D9A">
        <w:rPr>
          <w:rFonts w:cstheme="minorHAnsi"/>
          <w:sz w:val="24"/>
          <w:szCs w:val="24"/>
        </w:rPr>
        <w:t>που έχουν προσωποποιημένη πρόσβαση στ</w:t>
      </w:r>
      <w:r w:rsidRPr="00247D9A">
        <w:rPr>
          <w:rFonts w:cstheme="minorHAnsi"/>
          <w:sz w:val="24"/>
          <w:szCs w:val="24"/>
        </w:rPr>
        <w:t>ο ενιαίο σημείο πρόσβασης</w:t>
      </w:r>
      <w:r w:rsidR="00E522E5" w:rsidRPr="00247D9A">
        <w:rPr>
          <w:rFonts w:cstheme="minorHAnsi"/>
          <w:sz w:val="24"/>
          <w:szCs w:val="24"/>
        </w:rPr>
        <w:t xml:space="preserve"> – πύλη ΕΡΜΗΣ</w:t>
      </w:r>
      <w:r w:rsidRPr="00247D9A">
        <w:rPr>
          <w:rFonts w:cstheme="minorHAnsi"/>
          <w:sz w:val="24"/>
          <w:szCs w:val="24"/>
        </w:rPr>
        <w:t xml:space="preserve">. </w:t>
      </w:r>
      <w:r w:rsidR="00E522E5" w:rsidRPr="00247D9A">
        <w:rPr>
          <w:rFonts w:cstheme="minorHAnsi"/>
          <w:sz w:val="24"/>
          <w:szCs w:val="24"/>
        </w:rPr>
        <w:t>Η τι</w:t>
      </w:r>
      <w:r w:rsidRPr="00247D9A">
        <w:rPr>
          <w:rFonts w:cstheme="minorHAnsi"/>
          <w:sz w:val="24"/>
          <w:szCs w:val="24"/>
        </w:rPr>
        <w:t xml:space="preserve">μή στόχος </w:t>
      </w:r>
      <w:r w:rsidR="00E522E5" w:rsidRPr="00247D9A">
        <w:rPr>
          <w:rFonts w:cstheme="minorHAnsi"/>
          <w:sz w:val="24"/>
          <w:szCs w:val="24"/>
        </w:rPr>
        <w:t>του δείκτη για το έτος 2023 είναι 15</w:t>
      </w:r>
      <w:r w:rsidRPr="00247D9A">
        <w:rPr>
          <w:rFonts w:cstheme="minorHAnsi"/>
          <w:sz w:val="24"/>
          <w:szCs w:val="24"/>
        </w:rPr>
        <w:t>0.000 πολίτες</w:t>
      </w:r>
      <w:r w:rsidR="00E522E5" w:rsidRPr="00247D9A">
        <w:rPr>
          <w:rFonts w:cstheme="minorHAnsi"/>
          <w:sz w:val="24"/>
          <w:szCs w:val="24"/>
        </w:rPr>
        <w:t xml:space="preserve">. </w:t>
      </w:r>
    </w:p>
    <w:p w:rsidR="009D3ED1" w:rsidRPr="00247D9A" w:rsidRDefault="009D3ED1" w:rsidP="009D3ED1">
      <w:pPr>
        <w:jc w:val="both"/>
        <w:rPr>
          <w:rFonts w:cstheme="minorHAnsi"/>
          <w:sz w:val="24"/>
          <w:szCs w:val="24"/>
        </w:rPr>
      </w:pPr>
      <w:r w:rsidRPr="00247D9A">
        <w:rPr>
          <w:rFonts w:cstheme="minorHAnsi"/>
          <w:sz w:val="24"/>
          <w:szCs w:val="24"/>
        </w:rPr>
        <w:t xml:space="preserve">Η τιμή στόχος υπολογίστηκε με βάση τα εξής γεγονότα: </w:t>
      </w:r>
    </w:p>
    <w:p w:rsidR="009D3ED1" w:rsidRPr="00247D9A" w:rsidRDefault="009D3ED1" w:rsidP="009D3ED1">
      <w:pPr>
        <w:pStyle w:val="a6"/>
        <w:numPr>
          <w:ilvl w:val="0"/>
          <w:numId w:val="40"/>
        </w:numPr>
        <w:jc w:val="both"/>
        <w:rPr>
          <w:rFonts w:cstheme="minorHAnsi"/>
          <w:sz w:val="24"/>
          <w:szCs w:val="24"/>
        </w:rPr>
      </w:pPr>
      <w:r w:rsidRPr="00247D9A">
        <w:rPr>
          <w:rFonts w:cstheme="minorHAnsi"/>
          <w:sz w:val="24"/>
          <w:szCs w:val="24"/>
        </w:rPr>
        <w:t>Σήμερα ο αριθμός των πιστοποιημένων πολιτών με ενεργή προσωποποιημένη πρόσβαση στην πύλη ΕΡΜΗΣ είναι 50.000</w:t>
      </w:r>
    </w:p>
    <w:p w:rsidR="009D3ED1" w:rsidRPr="00247D9A" w:rsidRDefault="009D3ED1" w:rsidP="009D3ED1">
      <w:pPr>
        <w:pStyle w:val="a6"/>
        <w:numPr>
          <w:ilvl w:val="0"/>
          <w:numId w:val="40"/>
        </w:numPr>
        <w:jc w:val="both"/>
        <w:rPr>
          <w:rFonts w:cstheme="minorHAnsi"/>
          <w:sz w:val="24"/>
          <w:szCs w:val="24"/>
        </w:rPr>
      </w:pPr>
      <w:r w:rsidRPr="00247D9A">
        <w:rPr>
          <w:rFonts w:cstheme="minorHAnsi"/>
          <w:sz w:val="24"/>
          <w:szCs w:val="24"/>
        </w:rPr>
        <w:t>Από την αρμόδια υπηρεσία του ΥΔΜΗΔ, Υπηρεσία Ανάπτυξης Πληροφορικής, έχει προγραμματιστεί η απόδοση επιπλέον  150.000 πιστοποιητικών για το διάστημα έως και 2023.</w:t>
      </w:r>
    </w:p>
    <w:p w:rsidR="00E522E5" w:rsidRPr="00247D9A" w:rsidRDefault="00E522E5" w:rsidP="00E522E5">
      <w:pPr>
        <w:jc w:val="both"/>
        <w:rPr>
          <w:rFonts w:cstheme="minorHAnsi"/>
          <w:sz w:val="24"/>
          <w:szCs w:val="24"/>
        </w:rPr>
      </w:pPr>
      <w:r w:rsidRPr="00247D9A">
        <w:rPr>
          <w:rFonts w:cstheme="minorHAnsi"/>
          <w:sz w:val="24"/>
          <w:szCs w:val="24"/>
        </w:rPr>
        <w:lastRenderedPageBreak/>
        <w:t>Ο δείκτης συνδέεται με το δείκτη εκροής «Αριθμός έργων αναβάθμισης της λειτουργίας του ενιαίου σημείου πρόσβασης των πολιτών στις υπηρεσίες του δημόσιου τομέα».</w:t>
      </w:r>
    </w:p>
    <w:p w:rsidR="00B5585E" w:rsidRPr="00247D9A" w:rsidRDefault="00B5585E" w:rsidP="00740C34">
      <w:pPr>
        <w:rPr>
          <w:rFonts w:cstheme="minorHAnsi"/>
          <w:b/>
          <w:i/>
          <w:sz w:val="24"/>
          <w:szCs w:val="24"/>
          <w:u w:val="single"/>
        </w:rPr>
      </w:pPr>
      <w:r w:rsidRPr="00247D9A">
        <w:rPr>
          <w:rFonts w:cstheme="minorHAnsi"/>
          <w:b/>
          <w:i/>
          <w:sz w:val="24"/>
          <w:szCs w:val="24"/>
          <w:u w:val="single"/>
        </w:rPr>
        <w:t>Δείκτες Εκροής</w:t>
      </w:r>
    </w:p>
    <w:p w:rsidR="00B5585E" w:rsidRPr="00247D9A" w:rsidRDefault="00B5585E" w:rsidP="007B3067">
      <w:pPr>
        <w:pStyle w:val="a6"/>
        <w:numPr>
          <w:ilvl w:val="0"/>
          <w:numId w:val="23"/>
        </w:numPr>
        <w:jc w:val="both"/>
        <w:rPr>
          <w:rFonts w:cstheme="minorHAnsi"/>
          <w:b/>
          <w:sz w:val="24"/>
          <w:szCs w:val="24"/>
        </w:rPr>
      </w:pPr>
      <w:r w:rsidRPr="00247D9A">
        <w:rPr>
          <w:rFonts w:cstheme="minorHAnsi"/>
          <w:b/>
          <w:sz w:val="24"/>
          <w:szCs w:val="24"/>
        </w:rPr>
        <w:t>Αριθμός έργων ανάπτυξης ή αναβάθμισης  υπηρεσιών της δημόσιας διοίκησης που παρέχονται πλήρως ηλεκτρονικά</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είναι 2 και αφορά σε δράσεις ανάπτυξης ή αναβάθμισης υπηρεσιών που παρέχονται πλήρως ηλεκτρονικά προς τους πολίτες. Το μέσο κόστος υλοποίησης, εκτιμάται σε 10.000.000€ ανά δράση.</w:t>
      </w:r>
    </w:p>
    <w:p w:rsidR="00B5585E" w:rsidRPr="00247D9A" w:rsidRDefault="00B5585E" w:rsidP="00B5585E">
      <w:pPr>
        <w:jc w:val="both"/>
        <w:rPr>
          <w:rFonts w:cstheme="minorHAnsi"/>
          <w:sz w:val="24"/>
          <w:szCs w:val="24"/>
        </w:rPr>
      </w:pPr>
      <w:r w:rsidRPr="00247D9A">
        <w:rPr>
          <w:rFonts w:cstheme="minorHAnsi"/>
          <w:sz w:val="24"/>
          <w:szCs w:val="24"/>
        </w:rPr>
        <w:t>Ενδεικτικά έργα, τα οποία έχουν μεγάλο βαθμό ωρίμανσης ή/και αποτελούν έργα προτεραιότητας με βάση το στρατηγικό κείμενο για την ηλεκτρονική διακυβέρνηση, είναι τα ακόλουθα:</w:t>
      </w:r>
    </w:p>
    <w:p w:rsidR="00B5585E" w:rsidRPr="00247D9A" w:rsidRDefault="00B5585E" w:rsidP="007B3067">
      <w:pPr>
        <w:pStyle w:val="a6"/>
        <w:numPr>
          <w:ilvl w:val="0"/>
          <w:numId w:val="27"/>
        </w:numPr>
        <w:jc w:val="both"/>
        <w:rPr>
          <w:rFonts w:cstheme="minorHAnsi"/>
          <w:sz w:val="24"/>
          <w:szCs w:val="24"/>
        </w:rPr>
      </w:pPr>
      <w:r w:rsidRPr="00247D9A">
        <w:rPr>
          <w:rFonts w:cstheme="minorHAnsi"/>
          <w:sz w:val="24"/>
          <w:szCs w:val="24"/>
        </w:rPr>
        <w:t>Ενιαίο Σύστημα Εξυπηρέτησης Πολιτών</w:t>
      </w:r>
    </w:p>
    <w:p w:rsidR="00B5585E" w:rsidRPr="00247D9A" w:rsidRDefault="00B5585E" w:rsidP="007B3067">
      <w:pPr>
        <w:pStyle w:val="a6"/>
        <w:numPr>
          <w:ilvl w:val="0"/>
          <w:numId w:val="27"/>
        </w:numPr>
        <w:jc w:val="both"/>
        <w:rPr>
          <w:rFonts w:cstheme="minorHAnsi"/>
          <w:sz w:val="24"/>
          <w:szCs w:val="24"/>
        </w:rPr>
      </w:pPr>
      <w:r w:rsidRPr="00247D9A">
        <w:rPr>
          <w:rFonts w:cstheme="minorHAnsi"/>
          <w:sz w:val="24"/>
          <w:szCs w:val="24"/>
        </w:rPr>
        <w:t>Εξέλιξη των πληροφοριακών συστημάτων και των παρεχόμενων υπηρεσιών της Γ.Γ.Π.Σ.</w:t>
      </w:r>
    </w:p>
    <w:p w:rsidR="005F4963" w:rsidRPr="00247D9A" w:rsidRDefault="005F4963" w:rsidP="005F4963">
      <w:pPr>
        <w:pStyle w:val="a6"/>
        <w:jc w:val="both"/>
        <w:rPr>
          <w:rFonts w:cstheme="minorHAnsi"/>
          <w:sz w:val="24"/>
          <w:szCs w:val="24"/>
        </w:rPr>
      </w:pPr>
    </w:p>
    <w:p w:rsidR="00B5585E" w:rsidRPr="00247D9A" w:rsidRDefault="00B5585E" w:rsidP="007B3067">
      <w:pPr>
        <w:pStyle w:val="a6"/>
        <w:numPr>
          <w:ilvl w:val="0"/>
          <w:numId w:val="23"/>
        </w:numPr>
        <w:jc w:val="both"/>
        <w:rPr>
          <w:rFonts w:cstheme="minorHAnsi"/>
          <w:b/>
          <w:sz w:val="24"/>
          <w:szCs w:val="24"/>
        </w:rPr>
      </w:pPr>
      <w:r w:rsidRPr="00247D9A">
        <w:rPr>
          <w:rFonts w:cstheme="minorHAnsi"/>
          <w:b/>
          <w:sz w:val="24"/>
          <w:szCs w:val="24"/>
        </w:rPr>
        <w:t>Αριθμός έργων αναβάθμισης της λειτουργίας του ενιαίου σημείου πρόσβασης των πολιτών στις υπηρεσίες του δημόσιου τομέα</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είναι 2 και αφορά σε δράσεις αναβάθμισης τόσο του ενιαίου σημείου πρόσβασης των πολιτών στις ηλεκτρονικές υπηρεσίες του δημοσίου όσο και αυθεντικοποίησης των πολιτών (πύλη ΕΡΜΗΣ). Το μέσο κόστος υλοποίησης, εκτιμάται σε 3.000.000 € ανά δράση.</w:t>
      </w:r>
    </w:p>
    <w:p w:rsidR="00B5585E" w:rsidRPr="00247D9A" w:rsidRDefault="00B5585E" w:rsidP="00B5585E">
      <w:pPr>
        <w:jc w:val="both"/>
        <w:rPr>
          <w:rFonts w:cstheme="minorHAnsi"/>
          <w:sz w:val="24"/>
          <w:szCs w:val="24"/>
        </w:rPr>
      </w:pPr>
      <w:r w:rsidRPr="00247D9A">
        <w:rPr>
          <w:rFonts w:cstheme="minorHAnsi"/>
          <w:sz w:val="24"/>
          <w:szCs w:val="24"/>
        </w:rPr>
        <w:t>Ενδεικτικά έργα, τα οποία έχουν μεγάλο βαθμό ωρίμανσης ή/και αποτελούν έργα προτεραιότητας με βάση το στρατηγικό κείμενο για την ηλεκτρονική διακυβέρνηση, είναι τα ακόλουθα:</w:t>
      </w:r>
    </w:p>
    <w:p w:rsidR="00B5585E" w:rsidRPr="00247D9A" w:rsidRDefault="00B5585E" w:rsidP="007B3067">
      <w:pPr>
        <w:pStyle w:val="a6"/>
        <w:numPr>
          <w:ilvl w:val="0"/>
          <w:numId w:val="25"/>
        </w:numPr>
        <w:jc w:val="both"/>
        <w:rPr>
          <w:rFonts w:cstheme="minorHAnsi"/>
          <w:sz w:val="24"/>
          <w:szCs w:val="24"/>
        </w:rPr>
      </w:pPr>
      <w:r w:rsidRPr="00247D9A">
        <w:rPr>
          <w:rFonts w:cstheme="minorHAnsi"/>
          <w:sz w:val="24"/>
          <w:szCs w:val="24"/>
        </w:rPr>
        <w:t>Αναβάθμιση ενιαίας πύλης ΕΡΜΗΣ</w:t>
      </w:r>
    </w:p>
    <w:p w:rsidR="00B5585E" w:rsidRPr="00247D9A" w:rsidRDefault="00B5585E" w:rsidP="007B3067">
      <w:pPr>
        <w:pStyle w:val="a6"/>
        <w:numPr>
          <w:ilvl w:val="0"/>
          <w:numId w:val="25"/>
        </w:numPr>
        <w:jc w:val="both"/>
        <w:rPr>
          <w:rFonts w:cstheme="minorHAnsi"/>
          <w:sz w:val="24"/>
          <w:szCs w:val="24"/>
        </w:rPr>
      </w:pPr>
      <w:r w:rsidRPr="00247D9A">
        <w:rPr>
          <w:rFonts w:cstheme="minorHAnsi"/>
          <w:sz w:val="24"/>
          <w:szCs w:val="24"/>
        </w:rPr>
        <w:t>Αυθεντικοποίηση πολιτών</w:t>
      </w:r>
    </w:p>
    <w:p w:rsidR="005F4963" w:rsidRPr="00247D9A" w:rsidRDefault="005F4963" w:rsidP="005F4963">
      <w:pPr>
        <w:pStyle w:val="a6"/>
        <w:jc w:val="both"/>
        <w:rPr>
          <w:rFonts w:cstheme="minorHAnsi"/>
          <w:sz w:val="24"/>
          <w:szCs w:val="24"/>
        </w:rPr>
      </w:pPr>
    </w:p>
    <w:p w:rsidR="00B5585E" w:rsidRPr="00247D9A" w:rsidRDefault="00B5585E" w:rsidP="007B3067">
      <w:pPr>
        <w:pStyle w:val="a6"/>
        <w:numPr>
          <w:ilvl w:val="0"/>
          <w:numId w:val="23"/>
        </w:numPr>
        <w:jc w:val="both"/>
        <w:rPr>
          <w:rFonts w:cstheme="minorHAnsi"/>
          <w:b/>
          <w:sz w:val="24"/>
          <w:szCs w:val="24"/>
        </w:rPr>
      </w:pPr>
      <w:r w:rsidRPr="00247D9A">
        <w:rPr>
          <w:rFonts w:cstheme="minorHAnsi"/>
          <w:b/>
          <w:sz w:val="24"/>
          <w:szCs w:val="24"/>
        </w:rPr>
        <w:t>Αριθμός έργων ενίσχυσης της πληροφόρησης και της συμμετοχής των πολιτών</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είναι 3 και αφορά σε δράσεις ενίσχυσης της πληροφόρησης και της συμμετοχής των πολιτών στις δημόσιες πολιτικές. Το μέσο κόστος υλοποίησης, εκτιμάται σε 650.000 € ανά δράση.</w:t>
      </w:r>
    </w:p>
    <w:p w:rsidR="00B5585E" w:rsidRPr="00247D9A" w:rsidRDefault="00B5585E" w:rsidP="00B5585E">
      <w:pPr>
        <w:jc w:val="both"/>
        <w:rPr>
          <w:rFonts w:cstheme="minorHAnsi"/>
          <w:sz w:val="24"/>
          <w:szCs w:val="24"/>
        </w:rPr>
      </w:pPr>
      <w:r w:rsidRPr="00247D9A">
        <w:rPr>
          <w:rFonts w:cstheme="minorHAnsi"/>
          <w:sz w:val="24"/>
          <w:szCs w:val="24"/>
        </w:rPr>
        <w:lastRenderedPageBreak/>
        <w:t>Ενδεικτικά έργα, τα οποία έχουν μεγάλο βαθμό ωρίμανσης ή/και αποτελούν έργα προτεραιότητας με βάση το στρατηγικό κείμενο για την ηλεκτρονική διακυβέρνηση, είναι τα ακόλουθα:</w:t>
      </w:r>
    </w:p>
    <w:p w:rsidR="00B5585E" w:rsidRPr="00247D9A" w:rsidRDefault="00B5585E" w:rsidP="007B3067">
      <w:pPr>
        <w:pStyle w:val="a6"/>
        <w:numPr>
          <w:ilvl w:val="0"/>
          <w:numId w:val="26"/>
        </w:numPr>
        <w:jc w:val="both"/>
        <w:rPr>
          <w:rFonts w:cstheme="minorHAnsi"/>
          <w:sz w:val="24"/>
          <w:szCs w:val="24"/>
        </w:rPr>
      </w:pPr>
      <w:r w:rsidRPr="00247D9A">
        <w:rPr>
          <w:rFonts w:cstheme="minorHAnsi"/>
          <w:sz w:val="24"/>
          <w:szCs w:val="24"/>
        </w:rPr>
        <w:t>Βελτίωση του κεντρικού δικτυακού τόπου των διαβουλεύσεων και ανοικτών προσκλήσεων Opengov.gr</w:t>
      </w:r>
    </w:p>
    <w:p w:rsidR="00B5585E" w:rsidRPr="00247D9A" w:rsidRDefault="00B5585E" w:rsidP="007B3067">
      <w:pPr>
        <w:pStyle w:val="a6"/>
        <w:numPr>
          <w:ilvl w:val="0"/>
          <w:numId w:val="26"/>
        </w:numPr>
        <w:jc w:val="both"/>
        <w:rPr>
          <w:rFonts w:cstheme="minorHAnsi"/>
          <w:sz w:val="24"/>
          <w:szCs w:val="24"/>
        </w:rPr>
      </w:pPr>
      <w:r w:rsidRPr="00247D9A">
        <w:rPr>
          <w:rFonts w:cstheme="minorHAnsi"/>
          <w:sz w:val="24"/>
          <w:szCs w:val="24"/>
        </w:rPr>
        <w:t xml:space="preserve">Επέκταση του κεντρικού αποθετηρίου ανοικτών δημοσίων δεδομένων (data.gov.gr) </w:t>
      </w:r>
    </w:p>
    <w:p w:rsidR="00B5585E" w:rsidRPr="00247D9A" w:rsidRDefault="00B5585E" w:rsidP="007B3067">
      <w:pPr>
        <w:pStyle w:val="a6"/>
        <w:numPr>
          <w:ilvl w:val="0"/>
          <w:numId w:val="26"/>
        </w:numPr>
        <w:jc w:val="both"/>
        <w:rPr>
          <w:rFonts w:cstheme="minorHAnsi"/>
          <w:sz w:val="24"/>
          <w:szCs w:val="24"/>
        </w:rPr>
      </w:pPr>
      <w:r w:rsidRPr="00247D9A">
        <w:rPr>
          <w:rFonts w:cstheme="minorHAnsi"/>
          <w:sz w:val="24"/>
          <w:szCs w:val="24"/>
        </w:rPr>
        <w:t>Δράσεις ανάπτυξης εργαλείων και συστημάτων ΤΠΕ για την παροχή υπηρεσιών ανοικτής διακυβέρνησης</w:t>
      </w:r>
    </w:p>
    <w:p w:rsidR="00A74EC3" w:rsidRPr="00247D9A" w:rsidRDefault="00A74EC3" w:rsidP="00A74EC3">
      <w:pPr>
        <w:pStyle w:val="a6"/>
        <w:jc w:val="both"/>
        <w:rPr>
          <w:rFonts w:cstheme="minorHAnsi"/>
          <w:sz w:val="24"/>
          <w:szCs w:val="24"/>
        </w:rPr>
      </w:pPr>
    </w:p>
    <w:p w:rsidR="00B5585E" w:rsidRPr="00247D9A" w:rsidRDefault="00B5585E" w:rsidP="007B3067">
      <w:pPr>
        <w:pStyle w:val="a6"/>
        <w:numPr>
          <w:ilvl w:val="0"/>
          <w:numId w:val="23"/>
        </w:numPr>
        <w:jc w:val="both"/>
        <w:rPr>
          <w:rFonts w:cstheme="minorHAnsi"/>
          <w:b/>
          <w:sz w:val="24"/>
          <w:szCs w:val="24"/>
        </w:rPr>
      </w:pPr>
      <w:r w:rsidRPr="00247D9A">
        <w:rPr>
          <w:rFonts w:cstheme="minorHAnsi"/>
          <w:b/>
          <w:sz w:val="24"/>
          <w:szCs w:val="24"/>
        </w:rPr>
        <w:t>Αριθμός έργων ΤΠΕ που υποστηρίζουν την αναβάθμιση της λειτουργίας τομέων προτεραιότητας του ΕΠ για την παροχή υπηρεσιών προς πολίτες</w:t>
      </w:r>
    </w:p>
    <w:p w:rsidR="00B5585E" w:rsidRPr="00247D9A" w:rsidRDefault="00B5585E" w:rsidP="00B5585E">
      <w:pPr>
        <w:jc w:val="both"/>
        <w:rPr>
          <w:rFonts w:cstheme="minorHAnsi"/>
          <w:sz w:val="24"/>
          <w:szCs w:val="24"/>
        </w:rPr>
      </w:pPr>
      <w:r w:rsidRPr="00247D9A">
        <w:rPr>
          <w:rFonts w:cstheme="minorHAnsi"/>
          <w:sz w:val="24"/>
          <w:szCs w:val="24"/>
        </w:rPr>
        <w:t xml:space="preserve">Στο πλαίσιο υλοποίησης του ΕΠΜΔΤ προτεραιότητα χρηματοδότησης έχουν οι κάθετοι τομείς πολιτικής: δικαιοσύνη, υγεία, φορολογική-δημοσιονομικη διαχείριση, εφαρμογή μεταρρύθμισης «Πρόγραμμα Καλλικράτης», κοινωνική ασφάλιση. </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είναι 13 και αφορά σε δράσεις ΤΠΕ για την υποστήριξη της αναβάθμισης της λειτουργίας των προαναφερόμενων τομέων προτεραιότητας του ΕΠ για την παροχή υπηρεσιών προς τους πολίτες. Το μέσο κόστος υλοποίησης, εκτιμάται σε 2.000.000 € ανά δράση.</w:t>
      </w:r>
    </w:p>
    <w:p w:rsidR="00B5585E" w:rsidRPr="00247D9A" w:rsidRDefault="00B5585E" w:rsidP="00B5585E">
      <w:pPr>
        <w:jc w:val="both"/>
        <w:rPr>
          <w:rFonts w:cstheme="minorHAnsi"/>
          <w:sz w:val="24"/>
          <w:szCs w:val="24"/>
        </w:rPr>
      </w:pPr>
      <w:r w:rsidRPr="00247D9A">
        <w:rPr>
          <w:rFonts w:cstheme="minorHAnsi"/>
          <w:sz w:val="24"/>
          <w:szCs w:val="24"/>
        </w:rPr>
        <w:t>Ενδεικτικά έργα, τα οποία έχουν μεγάλο βαθμό ωρίμανσης ή/και αποτελούν έργα προτεραιότητας με βάση το στρατηγικό κείμενο για την ηλεκτρονική διακυβέρνηση, είναι τα ακόλουθα:</w:t>
      </w:r>
    </w:p>
    <w:p w:rsidR="00B5585E" w:rsidRPr="00247D9A" w:rsidRDefault="00B5585E" w:rsidP="007B3067">
      <w:pPr>
        <w:pStyle w:val="a6"/>
        <w:numPr>
          <w:ilvl w:val="0"/>
          <w:numId w:val="14"/>
        </w:numPr>
        <w:jc w:val="both"/>
        <w:rPr>
          <w:rFonts w:cstheme="minorHAnsi"/>
          <w:sz w:val="24"/>
          <w:szCs w:val="24"/>
        </w:rPr>
      </w:pPr>
      <w:r w:rsidRPr="00247D9A">
        <w:rPr>
          <w:rFonts w:cstheme="minorHAnsi"/>
          <w:sz w:val="24"/>
          <w:szCs w:val="24"/>
        </w:rPr>
        <w:t>Υλοποίηση αναδιοργάνωσης υπηρεσιών Υπουργείου Οικονομικών – Μελέτες Πρότυπης ΔΟΥ και Πρότυπου Τελωνείου</w:t>
      </w:r>
    </w:p>
    <w:p w:rsidR="00B5585E" w:rsidRPr="00247D9A" w:rsidRDefault="00B5585E" w:rsidP="007B3067">
      <w:pPr>
        <w:pStyle w:val="a6"/>
        <w:numPr>
          <w:ilvl w:val="0"/>
          <w:numId w:val="14"/>
        </w:numPr>
        <w:jc w:val="both"/>
        <w:rPr>
          <w:rFonts w:cstheme="minorHAnsi"/>
          <w:sz w:val="24"/>
          <w:szCs w:val="24"/>
        </w:rPr>
      </w:pPr>
      <w:r w:rsidRPr="00247D9A">
        <w:rPr>
          <w:rFonts w:cstheme="minorHAnsi"/>
          <w:sz w:val="24"/>
          <w:szCs w:val="24"/>
        </w:rPr>
        <w:t>Αναβάθμιση Επιχειρησιακής Ικανότητας Τοπικής Αυτοδιοίκησης</w:t>
      </w:r>
    </w:p>
    <w:p w:rsidR="00B5585E" w:rsidRPr="00247D9A" w:rsidRDefault="00B5585E" w:rsidP="007B3067">
      <w:pPr>
        <w:pStyle w:val="a6"/>
        <w:numPr>
          <w:ilvl w:val="0"/>
          <w:numId w:val="14"/>
        </w:numPr>
        <w:jc w:val="both"/>
        <w:rPr>
          <w:rFonts w:cstheme="minorHAnsi"/>
          <w:sz w:val="24"/>
          <w:szCs w:val="24"/>
        </w:rPr>
      </w:pPr>
      <w:r w:rsidRPr="00247D9A">
        <w:rPr>
          <w:rFonts w:cstheme="minorHAnsi"/>
          <w:sz w:val="24"/>
          <w:szCs w:val="24"/>
        </w:rPr>
        <w:t>Ολοκληρωμένο Σύστημα Διαχείρισης Δικαστικών Υποθέσεων για την Πολιτική και Ποινική Διαδικασία Β' Φάση</w:t>
      </w:r>
    </w:p>
    <w:p w:rsidR="00B5585E" w:rsidRPr="00247D9A" w:rsidRDefault="00B5585E" w:rsidP="007B3067">
      <w:pPr>
        <w:pStyle w:val="a6"/>
        <w:numPr>
          <w:ilvl w:val="0"/>
          <w:numId w:val="14"/>
        </w:numPr>
        <w:jc w:val="both"/>
        <w:rPr>
          <w:rFonts w:cstheme="minorHAnsi"/>
          <w:sz w:val="24"/>
          <w:szCs w:val="24"/>
        </w:rPr>
      </w:pPr>
      <w:r w:rsidRPr="00247D9A">
        <w:rPr>
          <w:rFonts w:cstheme="minorHAnsi"/>
          <w:sz w:val="24"/>
          <w:szCs w:val="24"/>
        </w:rPr>
        <w:t xml:space="preserve">"Πληροφοριακό Σύστημα Λειτουργίας Πρωτοβάθμιας Φροντίδας  Υγείας και Ανάπτυξη Ηλεκτρονικού Φακέλου Ασθενούς </w:t>
      </w:r>
    </w:p>
    <w:p w:rsidR="00B5585E" w:rsidRPr="00247D9A" w:rsidRDefault="00B5585E" w:rsidP="007B3067">
      <w:pPr>
        <w:pStyle w:val="a6"/>
        <w:numPr>
          <w:ilvl w:val="0"/>
          <w:numId w:val="14"/>
        </w:numPr>
        <w:jc w:val="both"/>
        <w:rPr>
          <w:rFonts w:cstheme="minorHAnsi"/>
          <w:sz w:val="24"/>
          <w:szCs w:val="24"/>
        </w:rPr>
      </w:pPr>
      <w:r w:rsidRPr="00247D9A">
        <w:rPr>
          <w:rFonts w:cstheme="minorHAnsi"/>
          <w:sz w:val="24"/>
          <w:szCs w:val="24"/>
        </w:rPr>
        <w:t>Υποδομές για την Ψηφιακή Καταγραφή, αποθήκευση και διάθεση πρακτικών συνεδριάσεων δικαστηρίου</w:t>
      </w:r>
    </w:p>
    <w:p w:rsidR="009D3ED1" w:rsidRPr="00247D9A" w:rsidRDefault="00A635E8" w:rsidP="009D3ED1">
      <w:pPr>
        <w:jc w:val="both"/>
        <w:rPr>
          <w:rFonts w:cstheme="minorHAnsi"/>
          <w:b/>
          <w:i/>
          <w:sz w:val="24"/>
          <w:szCs w:val="24"/>
          <w:u w:val="single"/>
        </w:rPr>
      </w:pPr>
      <w:r w:rsidRPr="00247D9A">
        <w:rPr>
          <w:rFonts w:cstheme="minorHAnsi"/>
          <w:sz w:val="24"/>
          <w:szCs w:val="24"/>
        </w:rPr>
        <w:br w:type="page"/>
      </w:r>
    </w:p>
    <w:p w:rsidR="00813916" w:rsidRPr="00247D9A" w:rsidRDefault="00E522E5" w:rsidP="00675BBC">
      <w:pPr>
        <w:jc w:val="center"/>
        <w:rPr>
          <w:rFonts w:cstheme="minorHAnsi"/>
          <w:b/>
          <w:i/>
          <w:sz w:val="24"/>
          <w:szCs w:val="24"/>
          <w:u w:val="single"/>
        </w:rPr>
      </w:pPr>
      <w:r w:rsidRPr="00247D9A">
        <w:rPr>
          <w:rFonts w:cstheme="minorHAnsi"/>
          <w:b/>
          <w:i/>
          <w:sz w:val="24"/>
          <w:szCs w:val="24"/>
          <w:u w:val="single"/>
        </w:rPr>
        <w:lastRenderedPageBreak/>
        <w:t>Άξονες Προτεραιότητας 7,8,9 «Βελτίωση της διαχείρισης και ανάπτυξη του ανθρώπινου δυναμικού του δημόσιου τομέα» – Ταμείο ΕΚΤ</w:t>
      </w:r>
    </w:p>
    <w:p w:rsidR="00675BBC" w:rsidRPr="00247D9A" w:rsidRDefault="008414AA" w:rsidP="008414AA">
      <w:pPr>
        <w:jc w:val="both"/>
        <w:rPr>
          <w:rFonts w:cstheme="minorHAnsi"/>
          <w:b/>
          <w:i/>
          <w:sz w:val="24"/>
          <w:szCs w:val="24"/>
          <w:u w:val="single"/>
        </w:rPr>
      </w:pPr>
      <w:r w:rsidRPr="00247D9A">
        <w:rPr>
          <w:rFonts w:cstheme="minorHAnsi"/>
          <w:b/>
          <w:i/>
          <w:sz w:val="24"/>
          <w:szCs w:val="24"/>
          <w:u w:val="single"/>
        </w:rPr>
        <w:t>Ειδικός Στόχος 3</w:t>
      </w:r>
      <w:r w:rsidR="00675BBC" w:rsidRPr="00247D9A">
        <w:rPr>
          <w:rFonts w:cstheme="minorHAnsi"/>
          <w:b/>
          <w:i/>
          <w:sz w:val="24"/>
          <w:szCs w:val="24"/>
          <w:u w:val="single"/>
        </w:rPr>
        <w:t xml:space="preserve">.1.1: </w:t>
      </w:r>
      <w:r w:rsidRPr="00247D9A">
        <w:rPr>
          <w:rFonts w:cstheme="minorHAnsi"/>
          <w:b/>
          <w:i/>
          <w:sz w:val="24"/>
          <w:szCs w:val="24"/>
          <w:u w:val="single"/>
        </w:rPr>
        <w:t>Αύξηση των φορέων της δημόσιας διοίκησης όπου εφαρμόζονται νέες οριζόντιες πολιτικές νέα συστήματα αξιολόγησης και ορθολογικής διοίκησης ανθρώπινου δυναμικού</w:t>
      </w:r>
    </w:p>
    <w:p w:rsidR="00675BBC" w:rsidRPr="00247D9A" w:rsidRDefault="00675BBC" w:rsidP="00116664">
      <w:pPr>
        <w:jc w:val="both"/>
        <w:rPr>
          <w:rFonts w:cstheme="minorHAnsi"/>
          <w:b/>
          <w:i/>
          <w:sz w:val="24"/>
          <w:szCs w:val="24"/>
          <w:u w:val="single"/>
        </w:rPr>
      </w:pPr>
      <w:r w:rsidRPr="00247D9A">
        <w:rPr>
          <w:rFonts w:cstheme="minorHAnsi"/>
          <w:b/>
          <w:i/>
          <w:sz w:val="24"/>
          <w:szCs w:val="24"/>
          <w:u w:val="single"/>
        </w:rPr>
        <w:t>Δείκτες Αποτελέσματος</w:t>
      </w:r>
    </w:p>
    <w:p w:rsidR="009F70F1" w:rsidRPr="00247D9A" w:rsidRDefault="009F70F1" w:rsidP="007B3067">
      <w:pPr>
        <w:pStyle w:val="a6"/>
        <w:numPr>
          <w:ilvl w:val="0"/>
          <w:numId w:val="12"/>
        </w:numPr>
        <w:jc w:val="both"/>
        <w:rPr>
          <w:rFonts w:cstheme="minorHAnsi"/>
        </w:rPr>
      </w:pPr>
      <w:r w:rsidRPr="00247D9A">
        <w:rPr>
          <w:rFonts w:cstheme="minorHAnsi"/>
          <w:b/>
          <w:sz w:val="24"/>
          <w:szCs w:val="24"/>
        </w:rPr>
        <w:t xml:space="preserve">Αριθμός φορέων δημόσιας διοίκησης που εφαρμόζουν νέες οριζόντιες πολιτικές διαχείρισης ανθρώπινου δυναμικού </w:t>
      </w:r>
    </w:p>
    <w:p w:rsidR="00EF367D" w:rsidRPr="00247D9A" w:rsidRDefault="008414AA" w:rsidP="00A87E0C">
      <w:pPr>
        <w:jc w:val="both"/>
        <w:rPr>
          <w:rFonts w:cstheme="minorHAnsi"/>
          <w:sz w:val="24"/>
          <w:szCs w:val="24"/>
        </w:rPr>
      </w:pPr>
      <w:r w:rsidRPr="00247D9A">
        <w:rPr>
          <w:rFonts w:cstheme="minorHAnsi"/>
          <w:sz w:val="24"/>
          <w:szCs w:val="24"/>
        </w:rPr>
        <w:t xml:space="preserve">Η τιμή βάσης είναι </w:t>
      </w:r>
      <w:r w:rsidR="00E562CF" w:rsidRPr="00247D9A">
        <w:rPr>
          <w:rFonts w:cstheme="minorHAnsi"/>
          <w:sz w:val="24"/>
          <w:szCs w:val="24"/>
        </w:rPr>
        <w:t>8</w:t>
      </w:r>
      <w:r w:rsidR="00EF367D" w:rsidRPr="00247D9A">
        <w:rPr>
          <w:rFonts w:cstheme="minorHAnsi"/>
          <w:sz w:val="24"/>
          <w:szCs w:val="24"/>
        </w:rPr>
        <w:t xml:space="preserve"> και προκύπτει από την έκδοση των Προεδρικών Διαταγμάτων των </w:t>
      </w:r>
      <w:r w:rsidRPr="00247D9A">
        <w:rPr>
          <w:rFonts w:cstheme="minorHAnsi"/>
          <w:sz w:val="24"/>
          <w:szCs w:val="24"/>
        </w:rPr>
        <w:t>νέων οργανογραμμάτων Υπουργείων και</w:t>
      </w:r>
      <w:r w:rsidR="00EF367D" w:rsidRPr="00247D9A">
        <w:rPr>
          <w:rFonts w:cstheme="minorHAnsi"/>
          <w:sz w:val="24"/>
          <w:szCs w:val="24"/>
        </w:rPr>
        <w:t xml:space="preserve"> τη</w:t>
      </w:r>
      <w:r w:rsidRPr="00247D9A">
        <w:rPr>
          <w:rFonts w:cstheme="minorHAnsi"/>
          <w:sz w:val="24"/>
          <w:szCs w:val="24"/>
        </w:rPr>
        <w:t xml:space="preserve"> σχετική απόφαση τοποθέτησης υπαλλήλων βάση κατανομής προσωπικού</w:t>
      </w:r>
      <w:r w:rsidR="00EF367D" w:rsidRPr="00247D9A">
        <w:rPr>
          <w:rFonts w:cstheme="minorHAnsi"/>
          <w:sz w:val="24"/>
          <w:szCs w:val="24"/>
        </w:rPr>
        <w:t xml:space="preserve"> στα υπουργεία</w:t>
      </w:r>
      <w:r w:rsidRPr="00247D9A">
        <w:rPr>
          <w:rFonts w:cstheme="minorHAnsi"/>
          <w:sz w:val="24"/>
          <w:szCs w:val="24"/>
        </w:rPr>
        <w:t xml:space="preserve"> ΥΔΜΗΔ,</w:t>
      </w:r>
      <w:r w:rsidR="00E562CF" w:rsidRPr="00247D9A">
        <w:rPr>
          <w:rFonts w:cstheme="minorHAnsi"/>
          <w:sz w:val="24"/>
          <w:szCs w:val="24"/>
        </w:rPr>
        <w:t xml:space="preserve"> Υγείας, Εργασίας Κοινωνικής Ασφάλισης &amp; Πρόνοιας, Τουρισμού, </w:t>
      </w:r>
      <w:r w:rsidR="00EF367D" w:rsidRPr="00247D9A">
        <w:rPr>
          <w:rFonts w:cstheme="minorHAnsi"/>
          <w:sz w:val="24"/>
          <w:szCs w:val="24"/>
        </w:rPr>
        <w:t xml:space="preserve">Ναυτιλίας, </w:t>
      </w:r>
      <w:r w:rsidR="00E562CF" w:rsidRPr="00247D9A">
        <w:rPr>
          <w:rFonts w:cstheme="minorHAnsi"/>
          <w:sz w:val="24"/>
          <w:szCs w:val="24"/>
        </w:rPr>
        <w:t xml:space="preserve">Υποδομών Μεταφορών και Δικτύων, </w:t>
      </w:r>
      <w:r w:rsidR="00EF367D" w:rsidRPr="00247D9A">
        <w:rPr>
          <w:rFonts w:cstheme="minorHAnsi"/>
          <w:sz w:val="24"/>
          <w:szCs w:val="24"/>
        </w:rPr>
        <w:t>Εσωτερικών</w:t>
      </w:r>
      <w:r w:rsidR="00B41A5F" w:rsidRPr="00247D9A">
        <w:rPr>
          <w:rFonts w:cstheme="minorHAnsi"/>
          <w:sz w:val="24"/>
          <w:szCs w:val="24"/>
        </w:rPr>
        <w:t xml:space="preserve"> και Μακεδονίας &amp; Θράκης.</w:t>
      </w:r>
    </w:p>
    <w:p w:rsidR="00EF367D" w:rsidRPr="00247D9A" w:rsidRDefault="009F70F1" w:rsidP="00A87E0C">
      <w:pPr>
        <w:jc w:val="both"/>
        <w:rPr>
          <w:rFonts w:cstheme="minorHAnsi"/>
          <w:sz w:val="24"/>
          <w:szCs w:val="24"/>
        </w:rPr>
      </w:pPr>
      <w:r w:rsidRPr="00247D9A">
        <w:rPr>
          <w:rFonts w:cstheme="minorHAnsi"/>
          <w:sz w:val="24"/>
          <w:szCs w:val="24"/>
        </w:rPr>
        <w:t xml:space="preserve">Η τιμή στόχος για το έτος 2023 του δείκτη είναι </w:t>
      </w:r>
      <w:r w:rsidR="008F215B" w:rsidRPr="00247D9A">
        <w:rPr>
          <w:rFonts w:cstheme="minorHAnsi"/>
          <w:sz w:val="24"/>
          <w:szCs w:val="24"/>
        </w:rPr>
        <w:t>25</w:t>
      </w:r>
      <w:r w:rsidRPr="00247D9A">
        <w:rPr>
          <w:rFonts w:cstheme="minorHAnsi"/>
          <w:sz w:val="24"/>
          <w:szCs w:val="24"/>
        </w:rPr>
        <w:t xml:space="preserve"> και αφορά </w:t>
      </w:r>
      <w:r w:rsidR="00EF367D" w:rsidRPr="00247D9A">
        <w:rPr>
          <w:rFonts w:cstheme="minorHAnsi"/>
          <w:sz w:val="24"/>
          <w:szCs w:val="24"/>
        </w:rPr>
        <w:t>στην εφαρμογή των νέων οριζόντιων πολιτικών διαχείρισης ανθρωπίνου δυναμικού από</w:t>
      </w:r>
      <w:r w:rsidR="008F215B" w:rsidRPr="00247D9A">
        <w:rPr>
          <w:rFonts w:cstheme="minorHAnsi"/>
          <w:sz w:val="24"/>
          <w:szCs w:val="24"/>
        </w:rPr>
        <w:t xml:space="preserve">18 υπουργεία και </w:t>
      </w:r>
      <w:r w:rsidRPr="00247D9A">
        <w:rPr>
          <w:rFonts w:cstheme="minorHAnsi"/>
          <w:sz w:val="24"/>
          <w:szCs w:val="24"/>
        </w:rPr>
        <w:t>7 Αποκεντρωμέ</w:t>
      </w:r>
      <w:r w:rsidR="008F215B" w:rsidRPr="00247D9A">
        <w:rPr>
          <w:rFonts w:cstheme="minorHAnsi"/>
          <w:sz w:val="24"/>
          <w:szCs w:val="24"/>
        </w:rPr>
        <w:t>νες Διοικήσεις</w:t>
      </w:r>
      <w:r w:rsidRPr="00247D9A">
        <w:rPr>
          <w:rFonts w:cstheme="minorHAnsi"/>
          <w:sz w:val="24"/>
          <w:szCs w:val="24"/>
        </w:rPr>
        <w:t>.</w:t>
      </w:r>
    </w:p>
    <w:p w:rsidR="00675BBC" w:rsidRPr="00247D9A" w:rsidRDefault="009F70F1" w:rsidP="00A87E0C">
      <w:pPr>
        <w:jc w:val="both"/>
        <w:rPr>
          <w:rFonts w:cstheme="minorHAnsi"/>
          <w:sz w:val="24"/>
          <w:szCs w:val="24"/>
        </w:rPr>
      </w:pPr>
      <w:r w:rsidRPr="00247D9A">
        <w:rPr>
          <w:rFonts w:cstheme="minorHAnsi"/>
          <w:sz w:val="24"/>
          <w:szCs w:val="24"/>
        </w:rPr>
        <w:t xml:space="preserve">Ο συγκεκριμένος δείκτης αποτελέσματος συνδέεται με </w:t>
      </w:r>
      <w:r w:rsidR="00A87E0C" w:rsidRPr="00247D9A">
        <w:rPr>
          <w:rFonts w:cstheme="minorHAnsi"/>
          <w:sz w:val="24"/>
          <w:szCs w:val="24"/>
        </w:rPr>
        <w:t xml:space="preserve">τους δείκτες εκροής </w:t>
      </w:r>
      <w:r w:rsidRPr="00247D9A">
        <w:rPr>
          <w:rFonts w:cstheme="minorHAnsi"/>
          <w:sz w:val="24"/>
          <w:szCs w:val="24"/>
        </w:rPr>
        <w:t>«</w:t>
      </w:r>
      <w:r w:rsidR="00A87E0C" w:rsidRPr="00247D9A">
        <w:rPr>
          <w:rFonts w:cstheme="minorHAnsi"/>
          <w:sz w:val="24"/>
          <w:szCs w:val="24"/>
        </w:rPr>
        <w:t>Αριθμός έργων δημιουργίας και εφαρμογής ενιαίας ψηφιακής διαχείρισης ανθρώπινου δυναμι</w:t>
      </w:r>
      <w:r w:rsidR="007C21EE" w:rsidRPr="00247D9A">
        <w:rPr>
          <w:rFonts w:cstheme="minorHAnsi"/>
          <w:sz w:val="24"/>
          <w:szCs w:val="24"/>
        </w:rPr>
        <w:t>κού της δημόσιας διοίκησης» και</w:t>
      </w:r>
      <w:r w:rsidR="00A87E0C" w:rsidRPr="00247D9A">
        <w:rPr>
          <w:rFonts w:cstheme="minorHAnsi"/>
          <w:sz w:val="24"/>
          <w:szCs w:val="24"/>
        </w:rPr>
        <w:t xml:space="preserve"> «Αριθμός μελετών για τη βελτίωση των πολιτικών ανθρώπινου δυναμικού του δημόσιου τομέα».</w:t>
      </w:r>
    </w:p>
    <w:p w:rsidR="00B5585E" w:rsidRPr="00247D9A" w:rsidRDefault="00B5585E" w:rsidP="00B5585E">
      <w:pPr>
        <w:jc w:val="both"/>
        <w:rPr>
          <w:rFonts w:cstheme="minorHAnsi"/>
          <w:b/>
          <w:i/>
          <w:sz w:val="24"/>
          <w:szCs w:val="24"/>
          <w:u w:val="single"/>
        </w:rPr>
      </w:pPr>
      <w:r w:rsidRPr="00247D9A">
        <w:rPr>
          <w:rFonts w:cstheme="minorHAnsi"/>
          <w:b/>
          <w:i/>
          <w:sz w:val="24"/>
          <w:szCs w:val="24"/>
          <w:u w:val="single"/>
        </w:rPr>
        <w:t>Δείκτες εκροής</w:t>
      </w:r>
    </w:p>
    <w:p w:rsidR="00B5585E" w:rsidRPr="00247D9A" w:rsidRDefault="00B5585E" w:rsidP="007B3067">
      <w:pPr>
        <w:pStyle w:val="a6"/>
        <w:numPr>
          <w:ilvl w:val="0"/>
          <w:numId w:val="10"/>
        </w:numPr>
        <w:jc w:val="both"/>
        <w:rPr>
          <w:rFonts w:cstheme="minorHAnsi"/>
          <w:b/>
          <w:sz w:val="24"/>
          <w:szCs w:val="24"/>
        </w:rPr>
      </w:pPr>
      <w:r w:rsidRPr="00247D9A">
        <w:rPr>
          <w:rFonts w:cstheme="minorHAnsi"/>
          <w:b/>
          <w:sz w:val="24"/>
          <w:szCs w:val="24"/>
        </w:rPr>
        <w:t>Αριθμός έργων δημιουργίας και εφαρμογής ενιαίας ψηφιακής διαχείρισης ανθρώπινου δυναμικού της δημόσιας διοίκησης</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είναι 1 και αφορά στη δημιουργία και εφαρμογή του συστήματος ενιαίας διαχείρισης του ανθρωπίνου δυναμικού της δημόσιας διοίκησης. Το κόστος υλοποίησης εκτιμάται σε 7.000.000€.</w:t>
      </w:r>
    </w:p>
    <w:p w:rsidR="00B5585E" w:rsidRPr="00247D9A" w:rsidRDefault="00B5585E" w:rsidP="00B5585E">
      <w:pPr>
        <w:jc w:val="both"/>
        <w:rPr>
          <w:rFonts w:cstheme="minorHAnsi"/>
          <w:sz w:val="24"/>
          <w:szCs w:val="24"/>
        </w:rPr>
      </w:pPr>
      <w:r w:rsidRPr="00247D9A">
        <w:rPr>
          <w:rFonts w:cstheme="minorHAnsi"/>
          <w:sz w:val="24"/>
          <w:szCs w:val="24"/>
        </w:rPr>
        <w:t xml:space="preserve">Ενδεικτικό έργο, το οποίο έχει μεγάλο βαθμό ωρίμανσης ή/και αποτελεί έργο προτεραιότητας με βάση το στρατηγικό κείμενο για τη διοικητική μεταρρύθμιση είναι το Ενιαίο σύστημα διαχείρισης ανθρωπίνου κεφαλαίου στη Δημόσια Διοίκηση (ΕΣΔΑΚ). </w:t>
      </w:r>
    </w:p>
    <w:p w:rsidR="009D3ED1" w:rsidRPr="00247D9A" w:rsidRDefault="009D3ED1" w:rsidP="00B5585E">
      <w:pPr>
        <w:jc w:val="both"/>
        <w:rPr>
          <w:rFonts w:cstheme="minorHAnsi"/>
          <w:sz w:val="24"/>
          <w:szCs w:val="24"/>
        </w:rPr>
      </w:pPr>
    </w:p>
    <w:p w:rsidR="009D3ED1" w:rsidRPr="00247D9A" w:rsidRDefault="009D3ED1" w:rsidP="00B5585E">
      <w:pPr>
        <w:jc w:val="both"/>
        <w:rPr>
          <w:rFonts w:cstheme="minorHAnsi"/>
          <w:sz w:val="24"/>
          <w:szCs w:val="24"/>
        </w:rPr>
      </w:pPr>
    </w:p>
    <w:p w:rsidR="00B5585E" w:rsidRPr="00247D9A" w:rsidRDefault="00B5585E" w:rsidP="007B3067">
      <w:pPr>
        <w:pStyle w:val="a6"/>
        <w:numPr>
          <w:ilvl w:val="0"/>
          <w:numId w:val="10"/>
        </w:numPr>
        <w:jc w:val="both"/>
        <w:rPr>
          <w:rFonts w:cstheme="minorHAnsi"/>
          <w:b/>
          <w:sz w:val="24"/>
          <w:szCs w:val="24"/>
        </w:rPr>
      </w:pPr>
      <w:r w:rsidRPr="00247D9A">
        <w:rPr>
          <w:rFonts w:cstheme="minorHAnsi"/>
          <w:b/>
          <w:sz w:val="24"/>
          <w:szCs w:val="24"/>
        </w:rPr>
        <w:lastRenderedPageBreak/>
        <w:t>Αριθμός μελετών για τη βελτίωση των πολιτικών ανθρώπινου δυναμικού του δημόσιου τομέα</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είναι 5 και αφορά στην εκπόνηση μελετών για τη βελτίωση των πολιτικών ανθρώπινου δυναμικού που άπτονται των επιμέρους πτυχών του συγκεκριμένου θέματος και αποτελούν προϋπόθεση για το σχεδιασμό ενός νέου και βιώσιμου</w:t>
      </w:r>
      <w:r w:rsidR="00BB7A3D" w:rsidRPr="00247D9A">
        <w:rPr>
          <w:rFonts w:cstheme="minorHAnsi"/>
          <w:sz w:val="24"/>
          <w:szCs w:val="24"/>
        </w:rPr>
        <w:t>συστήματος</w:t>
      </w:r>
      <w:r w:rsidRPr="00247D9A">
        <w:rPr>
          <w:rFonts w:cstheme="minorHAnsi"/>
          <w:sz w:val="24"/>
          <w:szCs w:val="24"/>
        </w:rPr>
        <w:t xml:space="preserve"> ανακατανομής των δημοσίων υπαλλήλων που θα συμβαδίζει με τη διαχείριση σταδιοδρομίας τους.</w:t>
      </w:r>
    </w:p>
    <w:p w:rsidR="00B5585E" w:rsidRPr="00247D9A" w:rsidRDefault="00B5585E" w:rsidP="00B5585E">
      <w:pPr>
        <w:jc w:val="both"/>
        <w:rPr>
          <w:rFonts w:cstheme="minorHAnsi"/>
          <w:sz w:val="24"/>
          <w:szCs w:val="24"/>
        </w:rPr>
      </w:pPr>
      <w:r w:rsidRPr="00247D9A">
        <w:rPr>
          <w:rFonts w:cstheme="minorHAnsi"/>
          <w:sz w:val="24"/>
          <w:szCs w:val="24"/>
        </w:rPr>
        <w:t>Ενδεικτικές μελέτες, οι οποίες έχουν μεγάλο βαθμό ωρίμανσης ή/και αποτελούν έργο προτεραιότητας με βάση το στρατηγικό κείμενο για τη διοικητική μεταρρύθμιση είναι:</w:t>
      </w:r>
    </w:p>
    <w:p w:rsidR="00B5585E" w:rsidRPr="00247D9A" w:rsidRDefault="00B5585E" w:rsidP="007B3067">
      <w:pPr>
        <w:pStyle w:val="a6"/>
        <w:numPr>
          <w:ilvl w:val="0"/>
          <w:numId w:val="11"/>
        </w:numPr>
        <w:jc w:val="both"/>
        <w:rPr>
          <w:rFonts w:cstheme="minorHAnsi"/>
          <w:sz w:val="24"/>
          <w:szCs w:val="24"/>
        </w:rPr>
      </w:pPr>
      <w:r w:rsidRPr="00247D9A">
        <w:rPr>
          <w:rFonts w:cstheme="minorHAnsi"/>
          <w:sz w:val="24"/>
          <w:szCs w:val="24"/>
        </w:rPr>
        <w:t xml:space="preserve">Σχεδιασμός και εφαρμογή νέου μισθολογικού συστήματος στο Δημόσιο τομέα </w:t>
      </w:r>
    </w:p>
    <w:p w:rsidR="00B5585E" w:rsidRPr="00247D9A" w:rsidRDefault="00B5585E" w:rsidP="007B3067">
      <w:pPr>
        <w:pStyle w:val="a6"/>
        <w:numPr>
          <w:ilvl w:val="0"/>
          <w:numId w:val="11"/>
        </w:numPr>
        <w:jc w:val="both"/>
        <w:rPr>
          <w:rFonts w:cstheme="minorHAnsi"/>
          <w:sz w:val="24"/>
          <w:szCs w:val="24"/>
        </w:rPr>
      </w:pPr>
      <w:r w:rsidRPr="00247D9A">
        <w:rPr>
          <w:rFonts w:cstheme="minorHAnsi"/>
          <w:sz w:val="24"/>
          <w:szCs w:val="24"/>
        </w:rPr>
        <w:t xml:space="preserve">Σχεδιασμός και εφαρμογή της στοχοθεσίας στο Δημόσιο Τομέα και της αξιολόγησης των Δημοσίων Υπαλλήλων </w:t>
      </w:r>
    </w:p>
    <w:p w:rsidR="00B5585E" w:rsidRPr="00247D9A" w:rsidRDefault="00B5585E" w:rsidP="007B3067">
      <w:pPr>
        <w:pStyle w:val="a6"/>
        <w:numPr>
          <w:ilvl w:val="0"/>
          <w:numId w:val="11"/>
        </w:numPr>
        <w:jc w:val="both"/>
        <w:rPr>
          <w:rFonts w:cstheme="minorHAnsi"/>
          <w:sz w:val="24"/>
          <w:szCs w:val="24"/>
        </w:rPr>
      </w:pPr>
      <w:r w:rsidRPr="00247D9A">
        <w:rPr>
          <w:rFonts w:cstheme="minorHAnsi"/>
          <w:sz w:val="24"/>
          <w:szCs w:val="24"/>
        </w:rPr>
        <w:t xml:space="preserve">Δημιουργία «Εσωτερικής Αγοράς Εργασίας» στο Δημόσιο Τομέα </w:t>
      </w:r>
    </w:p>
    <w:p w:rsidR="00B5585E" w:rsidRPr="00247D9A" w:rsidRDefault="00B5585E" w:rsidP="007B3067">
      <w:pPr>
        <w:pStyle w:val="a6"/>
        <w:numPr>
          <w:ilvl w:val="0"/>
          <w:numId w:val="11"/>
        </w:numPr>
        <w:jc w:val="both"/>
        <w:rPr>
          <w:rFonts w:cstheme="minorHAnsi"/>
          <w:sz w:val="24"/>
          <w:szCs w:val="24"/>
        </w:rPr>
      </w:pPr>
      <w:r w:rsidRPr="00247D9A">
        <w:rPr>
          <w:rFonts w:cstheme="minorHAnsi"/>
          <w:sz w:val="24"/>
          <w:szCs w:val="24"/>
        </w:rPr>
        <w:t xml:space="preserve">Βελτίωση της διοίκησης (management) της δημόσιας διοίκησης </w:t>
      </w:r>
    </w:p>
    <w:p w:rsidR="00B5585E" w:rsidRPr="00247D9A" w:rsidRDefault="00B5585E" w:rsidP="007B3067">
      <w:pPr>
        <w:pStyle w:val="a6"/>
        <w:numPr>
          <w:ilvl w:val="0"/>
          <w:numId w:val="11"/>
        </w:numPr>
        <w:jc w:val="both"/>
        <w:rPr>
          <w:rFonts w:cstheme="minorHAnsi"/>
          <w:sz w:val="24"/>
          <w:szCs w:val="24"/>
        </w:rPr>
      </w:pPr>
      <w:r w:rsidRPr="00247D9A">
        <w:rPr>
          <w:rFonts w:cstheme="minorHAnsi"/>
          <w:sz w:val="24"/>
          <w:szCs w:val="24"/>
        </w:rPr>
        <w:t>Σχεδιασμός και εφαρμογή νέου κλαδολογίου στο Δημόσιο τομέα</w:t>
      </w:r>
    </w:p>
    <w:p w:rsidR="00B5585E" w:rsidRPr="00247D9A" w:rsidRDefault="00B5585E" w:rsidP="00A87E0C">
      <w:pPr>
        <w:jc w:val="both"/>
        <w:rPr>
          <w:rFonts w:cstheme="minorHAnsi"/>
          <w:sz w:val="24"/>
          <w:szCs w:val="24"/>
        </w:rPr>
      </w:pPr>
      <w:r w:rsidRPr="00247D9A">
        <w:rPr>
          <w:rFonts w:cstheme="minorHAnsi"/>
          <w:sz w:val="24"/>
          <w:szCs w:val="24"/>
        </w:rPr>
        <w:t xml:space="preserve"> Το μέσο κόστος υλοποίησης, εκτιμάται σε 250.000€ ανά μελέτη.</w:t>
      </w:r>
    </w:p>
    <w:p w:rsidR="005F4963" w:rsidRPr="00247D9A" w:rsidRDefault="005F4963" w:rsidP="00A87E0C">
      <w:pPr>
        <w:jc w:val="both"/>
        <w:rPr>
          <w:rFonts w:cstheme="minorHAnsi"/>
          <w:sz w:val="24"/>
          <w:szCs w:val="24"/>
        </w:rPr>
      </w:pPr>
    </w:p>
    <w:p w:rsidR="00A87E0C" w:rsidRPr="00247D9A" w:rsidRDefault="00A87E0C" w:rsidP="00A87E0C">
      <w:pPr>
        <w:rPr>
          <w:rFonts w:cstheme="minorHAnsi"/>
          <w:b/>
          <w:i/>
          <w:sz w:val="24"/>
          <w:szCs w:val="24"/>
          <w:u w:val="single"/>
        </w:rPr>
      </w:pPr>
      <w:r w:rsidRPr="00247D9A">
        <w:rPr>
          <w:rFonts w:cstheme="minorHAnsi"/>
          <w:b/>
          <w:i/>
          <w:sz w:val="24"/>
          <w:szCs w:val="24"/>
          <w:u w:val="single"/>
        </w:rPr>
        <w:t>Ειδικός Στόχος 3.</w:t>
      </w:r>
      <w:r w:rsidR="007C21EE" w:rsidRPr="00247D9A">
        <w:rPr>
          <w:rFonts w:cstheme="minorHAnsi"/>
          <w:b/>
          <w:i/>
          <w:sz w:val="24"/>
          <w:szCs w:val="24"/>
          <w:u w:val="single"/>
        </w:rPr>
        <w:t>1.2</w:t>
      </w:r>
      <w:r w:rsidRPr="00247D9A">
        <w:rPr>
          <w:rFonts w:cstheme="minorHAnsi"/>
          <w:b/>
          <w:i/>
          <w:sz w:val="24"/>
          <w:szCs w:val="24"/>
          <w:u w:val="single"/>
        </w:rPr>
        <w:t>: Αύξηση του αριθμού στελεχών / υπαλλήλων της δημόσιας διοίκησης με πιστοποιημένες δεξιότητες / διοικητικές ικανότητες</w:t>
      </w:r>
    </w:p>
    <w:p w:rsidR="008662E9" w:rsidRPr="00247D9A" w:rsidRDefault="00565C09" w:rsidP="00EF367D">
      <w:pPr>
        <w:jc w:val="both"/>
        <w:rPr>
          <w:rFonts w:cstheme="minorHAnsi"/>
          <w:b/>
          <w:i/>
          <w:sz w:val="24"/>
          <w:szCs w:val="24"/>
          <w:u w:val="single"/>
        </w:rPr>
      </w:pPr>
      <w:r w:rsidRPr="00247D9A">
        <w:rPr>
          <w:rFonts w:cstheme="minorHAnsi"/>
          <w:b/>
          <w:i/>
          <w:sz w:val="24"/>
          <w:szCs w:val="24"/>
          <w:u w:val="single"/>
        </w:rPr>
        <w:t>Δείκτες Αποτελέσματος</w:t>
      </w:r>
    </w:p>
    <w:p w:rsidR="008F215B" w:rsidRPr="00247D9A" w:rsidRDefault="008F215B" w:rsidP="007B3067">
      <w:pPr>
        <w:pStyle w:val="a6"/>
        <w:numPr>
          <w:ilvl w:val="0"/>
          <w:numId w:val="18"/>
        </w:numPr>
        <w:jc w:val="both"/>
        <w:rPr>
          <w:rFonts w:cstheme="minorHAnsi"/>
          <w:b/>
          <w:sz w:val="24"/>
          <w:szCs w:val="24"/>
        </w:rPr>
      </w:pPr>
      <w:r w:rsidRPr="00247D9A">
        <w:rPr>
          <w:rFonts w:cstheme="minorHAnsi"/>
          <w:b/>
          <w:sz w:val="24"/>
          <w:szCs w:val="24"/>
        </w:rPr>
        <w:t>Αριθμός δημοσίων υπαλλήλων που πιστοποιήθηκαν μετά την παρακολούθηση προγραμμάτων κατάρτισης</w:t>
      </w:r>
    </w:p>
    <w:p w:rsidR="00EF367D" w:rsidRPr="00247D9A" w:rsidRDefault="008F215B" w:rsidP="008F215B">
      <w:pPr>
        <w:jc w:val="both"/>
        <w:rPr>
          <w:rFonts w:cstheme="minorHAnsi"/>
          <w:sz w:val="24"/>
          <w:szCs w:val="24"/>
        </w:rPr>
      </w:pPr>
      <w:r w:rsidRPr="00247D9A">
        <w:rPr>
          <w:rFonts w:cstheme="minorHAnsi"/>
          <w:sz w:val="24"/>
          <w:szCs w:val="24"/>
        </w:rPr>
        <w:t xml:space="preserve">Η τιμή βάσης του δείκτη είναι 97.393, βάσει των </w:t>
      </w:r>
      <w:r w:rsidR="00EF367D" w:rsidRPr="00247D9A">
        <w:rPr>
          <w:rFonts w:cstheme="minorHAnsi"/>
          <w:sz w:val="24"/>
          <w:szCs w:val="24"/>
        </w:rPr>
        <w:t xml:space="preserve">απολογιστικών </w:t>
      </w:r>
      <w:r w:rsidRPr="00247D9A">
        <w:rPr>
          <w:rFonts w:cstheme="minorHAnsi"/>
          <w:sz w:val="24"/>
          <w:szCs w:val="24"/>
        </w:rPr>
        <w:t xml:space="preserve">στοιχείωναπό την υλοποίηση αντίστοιχων έργων στο πλαίσιο του ΕΠ ΔΜ 2007-2013. </w:t>
      </w:r>
    </w:p>
    <w:p w:rsidR="00EF367D" w:rsidRPr="00247D9A" w:rsidRDefault="00C414DC" w:rsidP="008F215B">
      <w:pPr>
        <w:jc w:val="both"/>
        <w:rPr>
          <w:rFonts w:cstheme="minorHAnsi"/>
          <w:sz w:val="24"/>
          <w:szCs w:val="24"/>
        </w:rPr>
      </w:pPr>
      <w:r w:rsidRPr="00247D9A">
        <w:rPr>
          <w:rFonts w:cstheme="minorHAnsi"/>
          <w:sz w:val="24"/>
          <w:szCs w:val="24"/>
        </w:rPr>
        <w:t>Η τιμή στόχος</w:t>
      </w:r>
      <w:r w:rsidR="00EF367D" w:rsidRPr="00247D9A">
        <w:rPr>
          <w:rFonts w:cstheme="minorHAnsi"/>
          <w:sz w:val="24"/>
          <w:szCs w:val="24"/>
        </w:rPr>
        <w:t xml:space="preserve"> του δείκτη για το έτος 2023</w:t>
      </w:r>
      <w:r w:rsidRPr="00247D9A">
        <w:rPr>
          <w:rFonts w:cstheme="minorHAnsi"/>
          <w:sz w:val="24"/>
          <w:szCs w:val="24"/>
        </w:rPr>
        <w:t xml:space="preserve"> εκτιμάται σε 196.033 πιστοποιημένουςδημόσιους υπαλλήλους.</w:t>
      </w:r>
    </w:p>
    <w:p w:rsidR="009D3ED1" w:rsidRPr="00247D9A" w:rsidRDefault="009D3ED1" w:rsidP="009D3ED1">
      <w:pPr>
        <w:jc w:val="both"/>
        <w:rPr>
          <w:rFonts w:cstheme="minorHAnsi"/>
          <w:sz w:val="24"/>
          <w:szCs w:val="24"/>
        </w:rPr>
      </w:pPr>
      <w:r w:rsidRPr="00247D9A">
        <w:rPr>
          <w:rFonts w:cstheme="minorHAnsi"/>
          <w:sz w:val="24"/>
          <w:szCs w:val="24"/>
        </w:rPr>
        <w:t>Η τιμή στόχος προκύπτει από το άθροισμα:</w:t>
      </w:r>
    </w:p>
    <w:p w:rsidR="009D3ED1" w:rsidRPr="00247D9A" w:rsidRDefault="009D3ED1" w:rsidP="009D3ED1">
      <w:pPr>
        <w:pStyle w:val="a6"/>
        <w:numPr>
          <w:ilvl w:val="0"/>
          <w:numId w:val="35"/>
        </w:numPr>
        <w:jc w:val="both"/>
        <w:rPr>
          <w:rFonts w:cstheme="minorHAnsi"/>
          <w:sz w:val="24"/>
          <w:szCs w:val="24"/>
        </w:rPr>
      </w:pPr>
      <w:r w:rsidRPr="00247D9A">
        <w:rPr>
          <w:rFonts w:cstheme="minorHAnsi"/>
          <w:sz w:val="24"/>
          <w:szCs w:val="24"/>
        </w:rPr>
        <w:t>Των απολογιστικών στοιχείων του ΕΚΔΔΑ που αφορούν σε υλοποίηση αντίστοιχων έργων στο πλαίσιο του ΕΠ ΔΜ 2007-2013 (97.393)</w:t>
      </w:r>
    </w:p>
    <w:p w:rsidR="009D3ED1" w:rsidRPr="00247D9A" w:rsidRDefault="009D3ED1" w:rsidP="009D3ED1">
      <w:pPr>
        <w:pStyle w:val="a6"/>
        <w:numPr>
          <w:ilvl w:val="0"/>
          <w:numId w:val="35"/>
        </w:numPr>
        <w:jc w:val="both"/>
        <w:rPr>
          <w:rFonts w:cstheme="minorHAnsi"/>
          <w:sz w:val="24"/>
          <w:szCs w:val="24"/>
        </w:rPr>
      </w:pPr>
      <w:r w:rsidRPr="00247D9A">
        <w:rPr>
          <w:rFonts w:cstheme="minorHAnsi"/>
          <w:sz w:val="24"/>
          <w:szCs w:val="24"/>
        </w:rPr>
        <w:lastRenderedPageBreak/>
        <w:t>Του προγραμματισμού του ΕΚΔΔΑ ο οποίος αποτελεί προεκβολή των στοιχείων υλοποίησης ( 98.640)</w:t>
      </w:r>
    </w:p>
    <w:p w:rsidR="008F215B" w:rsidRPr="00247D9A" w:rsidRDefault="00C414DC" w:rsidP="008F215B">
      <w:pPr>
        <w:jc w:val="both"/>
        <w:rPr>
          <w:rFonts w:cstheme="minorHAnsi"/>
          <w:sz w:val="24"/>
          <w:szCs w:val="24"/>
        </w:rPr>
      </w:pPr>
      <w:r w:rsidRPr="00247D9A">
        <w:rPr>
          <w:rFonts w:cstheme="minorHAnsi"/>
          <w:sz w:val="24"/>
          <w:szCs w:val="24"/>
        </w:rPr>
        <w:t>Ο συγκεκριμένος δείκτης αποτελέσματος συνδέεται με τους δείκτες εκροής «Αριθμός δημοσίων υπαλλήλων που συμμετέχουν σε προγράμματα κατάρτισης για την ανάπτυξη δεξιοτήτων/διοικητικών ικανοτήτων</w:t>
      </w:r>
      <w:r w:rsidR="00EF367D" w:rsidRPr="00247D9A">
        <w:rPr>
          <w:rFonts w:cstheme="minorHAnsi"/>
          <w:sz w:val="24"/>
          <w:szCs w:val="24"/>
        </w:rPr>
        <w:t>», «Αριθμός δημοσίων υπαλλήλων που συμμετέχουν σε προγράμματα εξ αποστάσεως εκπαίδευσης».</w:t>
      </w:r>
    </w:p>
    <w:p w:rsidR="008F215B" w:rsidRPr="00247D9A" w:rsidRDefault="008F215B" w:rsidP="007B3067">
      <w:pPr>
        <w:pStyle w:val="a6"/>
        <w:numPr>
          <w:ilvl w:val="0"/>
          <w:numId w:val="18"/>
        </w:numPr>
        <w:jc w:val="both"/>
        <w:rPr>
          <w:rFonts w:cstheme="minorHAnsi"/>
          <w:b/>
          <w:sz w:val="24"/>
          <w:szCs w:val="24"/>
        </w:rPr>
      </w:pPr>
      <w:r w:rsidRPr="00247D9A">
        <w:rPr>
          <w:rFonts w:cstheme="minorHAnsi"/>
          <w:b/>
          <w:sz w:val="24"/>
          <w:szCs w:val="24"/>
        </w:rPr>
        <w:t>Αριθμός στελεχών ταχείας εξέλιξης για την υποβοήθηση των μεταρρυθμίσεων που καταρτίστηκαν και τοποθετήθηκαν σε θέσεις του Δημόσιου Τομέα</w:t>
      </w:r>
    </w:p>
    <w:p w:rsidR="00464A64" w:rsidRPr="00247D9A" w:rsidRDefault="00464A64" w:rsidP="00464A64">
      <w:pPr>
        <w:jc w:val="both"/>
        <w:rPr>
          <w:rFonts w:cstheme="minorHAnsi"/>
          <w:sz w:val="24"/>
          <w:szCs w:val="24"/>
        </w:rPr>
      </w:pPr>
      <w:r w:rsidRPr="00247D9A">
        <w:rPr>
          <w:rFonts w:cstheme="minorHAnsi"/>
          <w:sz w:val="24"/>
          <w:szCs w:val="24"/>
        </w:rPr>
        <w:t xml:space="preserve">Η τιμή βάσης του δείκτη είναι 917, βάσει των απολογιστικών στοιχείων από την υλοποίηση αντίστοιχων έργων στο πλαίσιο του ΕΠ ΔΜ 2007-2013. </w:t>
      </w:r>
    </w:p>
    <w:p w:rsidR="00464A64" w:rsidRPr="00247D9A" w:rsidRDefault="00464A64" w:rsidP="00464A64">
      <w:pPr>
        <w:jc w:val="both"/>
        <w:rPr>
          <w:rFonts w:cstheme="minorHAnsi"/>
          <w:sz w:val="24"/>
          <w:szCs w:val="24"/>
        </w:rPr>
      </w:pPr>
      <w:r w:rsidRPr="00247D9A">
        <w:rPr>
          <w:rFonts w:cstheme="minorHAnsi"/>
          <w:sz w:val="24"/>
          <w:szCs w:val="24"/>
        </w:rPr>
        <w:t>Η τιμή στόχος του δείκτη για το έτος 2023 εκτιμάται σε 1</w:t>
      </w:r>
      <w:r w:rsidR="005F4963" w:rsidRPr="00247D9A">
        <w:rPr>
          <w:rFonts w:cstheme="minorHAnsi"/>
          <w:sz w:val="24"/>
          <w:szCs w:val="24"/>
        </w:rPr>
        <w:t>.</w:t>
      </w:r>
      <w:r w:rsidRPr="00247D9A">
        <w:rPr>
          <w:rFonts w:cstheme="minorHAnsi"/>
          <w:sz w:val="24"/>
          <w:szCs w:val="24"/>
        </w:rPr>
        <w:t xml:space="preserve">917στελέχη ταχείας εξέλιξης </w:t>
      </w:r>
      <w:r w:rsidR="00F30182" w:rsidRPr="00247D9A">
        <w:rPr>
          <w:rFonts w:cstheme="minorHAnsi"/>
          <w:sz w:val="24"/>
          <w:szCs w:val="24"/>
        </w:rPr>
        <w:t xml:space="preserve">που </w:t>
      </w:r>
      <w:r w:rsidR="00341EB6" w:rsidRPr="00247D9A">
        <w:rPr>
          <w:rFonts w:cstheme="minorHAnsi"/>
          <w:sz w:val="24"/>
          <w:szCs w:val="24"/>
        </w:rPr>
        <w:t xml:space="preserve">θα τοποθετηθούν </w:t>
      </w:r>
      <w:r w:rsidR="00F30182" w:rsidRPr="00247D9A">
        <w:rPr>
          <w:rFonts w:cstheme="minorHAnsi"/>
          <w:sz w:val="24"/>
          <w:szCs w:val="24"/>
        </w:rPr>
        <w:t>σε θέσεις του Δημόσιου Τομέα</w:t>
      </w:r>
      <w:r w:rsidRPr="00247D9A">
        <w:rPr>
          <w:rFonts w:cstheme="minorHAnsi"/>
          <w:sz w:val="24"/>
          <w:szCs w:val="24"/>
        </w:rPr>
        <w:t>.</w:t>
      </w:r>
    </w:p>
    <w:p w:rsidR="009D3ED1" w:rsidRPr="00247D9A" w:rsidRDefault="009D3ED1" w:rsidP="009D3ED1">
      <w:pPr>
        <w:jc w:val="both"/>
        <w:rPr>
          <w:rFonts w:cstheme="minorHAnsi"/>
          <w:sz w:val="24"/>
          <w:szCs w:val="24"/>
        </w:rPr>
      </w:pPr>
      <w:r w:rsidRPr="00247D9A">
        <w:rPr>
          <w:rFonts w:cstheme="minorHAnsi"/>
          <w:sz w:val="24"/>
          <w:szCs w:val="24"/>
        </w:rPr>
        <w:t>Η τιμή στόχος υπολογίστηκε με βάση τα στοιχεία που δόθηκαν από το ΕΚΔΔΑ και τη Σχολή Δικαστών (ΕΣΔΙ) και αφορά σε:</w:t>
      </w:r>
    </w:p>
    <w:p w:rsidR="009D3ED1" w:rsidRPr="00247D9A" w:rsidRDefault="009D3ED1" w:rsidP="009D3ED1">
      <w:pPr>
        <w:pStyle w:val="a6"/>
        <w:numPr>
          <w:ilvl w:val="0"/>
          <w:numId w:val="37"/>
        </w:numPr>
        <w:jc w:val="both"/>
        <w:rPr>
          <w:rFonts w:cstheme="minorHAnsi"/>
          <w:sz w:val="24"/>
          <w:szCs w:val="24"/>
        </w:rPr>
      </w:pPr>
      <w:r w:rsidRPr="00247D9A">
        <w:rPr>
          <w:rFonts w:cstheme="minorHAnsi"/>
          <w:sz w:val="24"/>
          <w:szCs w:val="24"/>
        </w:rPr>
        <w:t>917 στελέχη ταχείας εξέλιξης για την υποβοήθηση των μεταρρυθμίσεων που καταρτίστηκαν και τοποθετήθηκαν σε θέσεις του Δημόσιου Τομέα από αντίστοιχα έργα του ΕΠ ΔΜ 2007-2013</w:t>
      </w:r>
    </w:p>
    <w:p w:rsidR="009D3ED1" w:rsidRPr="00247D9A" w:rsidRDefault="009D3ED1" w:rsidP="009D3ED1">
      <w:pPr>
        <w:pStyle w:val="a6"/>
        <w:numPr>
          <w:ilvl w:val="0"/>
          <w:numId w:val="37"/>
        </w:numPr>
        <w:jc w:val="both"/>
        <w:rPr>
          <w:rFonts w:cstheme="minorHAnsi"/>
          <w:sz w:val="24"/>
          <w:szCs w:val="24"/>
        </w:rPr>
      </w:pPr>
      <w:r w:rsidRPr="00247D9A">
        <w:rPr>
          <w:rFonts w:cstheme="minorHAnsi"/>
          <w:sz w:val="24"/>
          <w:szCs w:val="24"/>
        </w:rPr>
        <w:t>400 Δημοσίους υπαλλήλους με τα στοιχεία που προκύπτουν από τον προγραμματισμό του ΕΚΔΔΑ και βασίζονται στις θέσεις ευθύνης που δημιουργούνται με τους νέους Οργανισμούς των Υπουργείων (μεταρρύθμιση που ολοκληρώθηκε το 2014)</w:t>
      </w:r>
    </w:p>
    <w:p w:rsidR="009D3ED1" w:rsidRPr="00247D9A" w:rsidRDefault="009D3ED1" w:rsidP="009D3ED1">
      <w:pPr>
        <w:pStyle w:val="a6"/>
        <w:numPr>
          <w:ilvl w:val="0"/>
          <w:numId w:val="37"/>
        </w:numPr>
        <w:jc w:val="both"/>
        <w:rPr>
          <w:rFonts w:cstheme="minorHAnsi"/>
          <w:sz w:val="24"/>
          <w:szCs w:val="24"/>
        </w:rPr>
      </w:pPr>
      <w:r w:rsidRPr="00247D9A">
        <w:rPr>
          <w:rFonts w:cstheme="minorHAnsi"/>
          <w:sz w:val="24"/>
          <w:szCs w:val="24"/>
        </w:rPr>
        <w:t>600 δικαστικούς λειτουργούς που εκτιμάται ότι θα αποφοιτήσουν από την ΕΣΔΙ</w:t>
      </w:r>
    </w:p>
    <w:p w:rsidR="00E74C69" w:rsidRPr="00247D9A" w:rsidRDefault="00E74C69" w:rsidP="00E74C69">
      <w:pPr>
        <w:jc w:val="both"/>
        <w:rPr>
          <w:rFonts w:cstheme="minorHAnsi"/>
          <w:sz w:val="24"/>
          <w:szCs w:val="24"/>
        </w:rPr>
      </w:pPr>
      <w:r w:rsidRPr="00247D9A">
        <w:rPr>
          <w:rFonts w:cstheme="minorHAnsi"/>
          <w:sz w:val="24"/>
          <w:szCs w:val="24"/>
        </w:rPr>
        <w:t>Ο συγκεκριμένος δείκτης αποτελέσματος συνδέεται με το δείκτη εκροής «Αριθμός στελεχών που παρακολουθεί προγράμματα ταχείας εξέλιξης».</w:t>
      </w:r>
    </w:p>
    <w:p w:rsidR="00B5585E" w:rsidRPr="00247D9A" w:rsidRDefault="00B5585E" w:rsidP="00B5585E">
      <w:pPr>
        <w:rPr>
          <w:rFonts w:cstheme="minorHAnsi"/>
          <w:b/>
          <w:i/>
          <w:sz w:val="24"/>
          <w:szCs w:val="24"/>
          <w:u w:val="single"/>
        </w:rPr>
      </w:pPr>
      <w:r w:rsidRPr="00247D9A">
        <w:rPr>
          <w:rFonts w:cstheme="minorHAnsi"/>
          <w:b/>
          <w:i/>
          <w:sz w:val="24"/>
          <w:szCs w:val="24"/>
          <w:u w:val="single"/>
        </w:rPr>
        <w:t>Δείκτες Εκροής</w:t>
      </w:r>
    </w:p>
    <w:p w:rsidR="00B5585E" w:rsidRPr="00247D9A" w:rsidRDefault="00B5585E" w:rsidP="007B3067">
      <w:pPr>
        <w:pStyle w:val="a6"/>
        <w:numPr>
          <w:ilvl w:val="0"/>
          <w:numId w:val="17"/>
        </w:numPr>
        <w:jc w:val="both"/>
        <w:rPr>
          <w:rFonts w:cstheme="minorHAnsi"/>
          <w:b/>
          <w:sz w:val="24"/>
          <w:szCs w:val="24"/>
        </w:rPr>
      </w:pPr>
      <w:r w:rsidRPr="00247D9A">
        <w:rPr>
          <w:rFonts w:cstheme="minorHAnsi"/>
          <w:b/>
          <w:sz w:val="24"/>
          <w:szCs w:val="24"/>
        </w:rPr>
        <w:t>Αριθμός δημοσίων υπαλλήλων που συμμετέχουν σε προγράμματα κατάρτισης για την ανάπτυξη δεξιοτήτων/διοικητικών ικανοτήτων</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είναι 140.000με μέσο κόστος 260€ ανά εκπαιδευόμενο, σύμφωνα με στοιχεία παρόμοιων δράσεων που υλοποιήθηκαν στο πλαίσιο του ΕΠΔΜ 2007-2013.</w:t>
      </w:r>
    </w:p>
    <w:p w:rsidR="00B5585E" w:rsidRPr="00247D9A" w:rsidRDefault="00B5585E" w:rsidP="007B3067">
      <w:pPr>
        <w:pStyle w:val="a6"/>
        <w:numPr>
          <w:ilvl w:val="0"/>
          <w:numId w:val="17"/>
        </w:numPr>
        <w:jc w:val="both"/>
        <w:rPr>
          <w:rFonts w:cstheme="minorHAnsi"/>
          <w:b/>
          <w:sz w:val="24"/>
          <w:szCs w:val="24"/>
        </w:rPr>
      </w:pPr>
      <w:r w:rsidRPr="00247D9A">
        <w:rPr>
          <w:rFonts w:cstheme="minorHAnsi"/>
          <w:b/>
          <w:sz w:val="24"/>
          <w:szCs w:val="24"/>
        </w:rPr>
        <w:lastRenderedPageBreak/>
        <w:t>Αριθμός δημοσίων υπαλλήλων που συμμετέχουν σε προγράμματα εξ αποστάσεως εκπαίδευσης</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είναι 12.000 με μέσο κόστος 170€ ανά εκπαιδευόμενο, σύμφωνα με στοιχεία παρόμοιων δράσεων που υλοποιήθηκαν στο πλαίσιο του ΕΠΔΜ 2007-2013.</w:t>
      </w:r>
    </w:p>
    <w:p w:rsidR="00B5585E" w:rsidRPr="00247D9A" w:rsidRDefault="00B5585E" w:rsidP="007B3067">
      <w:pPr>
        <w:pStyle w:val="a6"/>
        <w:numPr>
          <w:ilvl w:val="0"/>
          <w:numId w:val="17"/>
        </w:numPr>
        <w:jc w:val="both"/>
        <w:rPr>
          <w:rFonts w:cstheme="minorHAnsi"/>
          <w:b/>
          <w:sz w:val="24"/>
          <w:szCs w:val="24"/>
        </w:rPr>
      </w:pPr>
      <w:r w:rsidRPr="00247D9A">
        <w:rPr>
          <w:rFonts w:cstheme="minorHAnsi"/>
          <w:b/>
          <w:sz w:val="24"/>
          <w:szCs w:val="24"/>
        </w:rPr>
        <w:t xml:space="preserve">Αριθμός προγραμμάτων κατάρτισης για μεσαία και υψηλόβαθμα διοικητικά στελέχη της δημόσιας διοίκησης </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είναι 250 με μέσο κόστος 6.500€ ανά πρόγραμμα, σύμφωνα με στοιχεία παρόμοιων δράσεων που υλοποιήθηκαν στο πλαίσιο του ΕΠΔΜ 2007-2013.</w:t>
      </w:r>
    </w:p>
    <w:p w:rsidR="00B5585E" w:rsidRPr="00247D9A" w:rsidRDefault="00B5585E" w:rsidP="007B3067">
      <w:pPr>
        <w:pStyle w:val="a6"/>
        <w:numPr>
          <w:ilvl w:val="0"/>
          <w:numId w:val="17"/>
        </w:numPr>
        <w:jc w:val="both"/>
        <w:rPr>
          <w:rFonts w:cstheme="minorHAnsi"/>
          <w:b/>
          <w:sz w:val="24"/>
          <w:szCs w:val="24"/>
        </w:rPr>
      </w:pPr>
      <w:r w:rsidRPr="00247D9A">
        <w:rPr>
          <w:rFonts w:cstheme="minorHAnsi"/>
          <w:b/>
          <w:sz w:val="24"/>
          <w:szCs w:val="24"/>
        </w:rPr>
        <w:t>Αριθμός στελεχών που παρακολουθεί προγράμματα ταχείας εξέλιξης</w:t>
      </w:r>
    </w:p>
    <w:p w:rsidR="00B5585E" w:rsidRPr="00247D9A" w:rsidRDefault="00B5585E" w:rsidP="00B5585E">
      <w:pPr>
        <w:jc w:val="both"/>
        <w:rPr>
          <w:rFonts w:cstheme="minorHAnsi"/>
          <w:sz w:val="24"/>
          <w:szCs w:val="24"/>
        </w:rPr>
      </w:pPr>
      <w:r w:rsidRPr="00247D9A">
        <w:rPr>
          <w:rFonts w:cstheme="minorHAnsi"/>
          <w:sz w:val="24"/>
          <w:szCs w:val="24"/>
        </w:rPr>
        <w:t>Η τιμή στόχος για το έτος 2023 του δείκτη είναι 1.000 και αφορά στην προεισαγωγική εκπαίδευση των δημοσίων υπαλλήλων και των δικαστικών λειτουργών με μέσο κόστος</w:t>
      </w:r>
      <w:r w:rsidR="00FF6F11">
        <w:rPr>
          <w:rFonts w:cstheme="minorHAnsi"/>
          <w:sz w:val="24"/>
          <w:szCs w:val="24"/>
        </w:rPr>
        <w:t xml:space="preserve"> </w:t>
      </w:r>
      <w:r w:rsidRPr="00247D9A">
        <w:rPr>
          <w:rFonts w:cstheme="minorHAnsi"/>
          <w:sz w:val="24"/>
          <w:szCs w:val="24"/>
        </w:rPr>
        <w:t>26.500€ ανά εκπαιδευόμενο, σύμφωνα με στοιχεία παρόμοιων δράσεων που υλοποιήθηκαν στο πλαίσιο του ΕΠΔΜ 2007-2013.</w:t>
      </w:r>
    </w:p>
    <w:p w:rsidR="00B5585E" w:rsidRPr="00247D9A" w:rsidRDefault="00B5585E" w:rsidP="007B3067">
      <w:pPr>
        <w:pStyle w:val="a6"/>
        <w:numPr>
          <w:ilvl w:val="0"/>
          <w:numId w:val="17"/>
        </w:numPr>
        <w:jc w:val="both"/>
        <w:rPr>
          <w:rFonts w:cstheme="minorHAnsi"/>
          <w:b/>
          <w:sz w:val="24"/>
          <w:szCs w:val="24"/>
        </w:rPr>
      </w:pPr>
      <w:r w:rsidRPr="00247D9A">
        <w:rPr>
          <w:rFonts w:cstheme="minorHAnsi"/>
          <w:b/>
          <w:sz w:val="24"/>
          <w:szCs w:val="24"/>
        </w:rPr>
        <w:t>Αριθμός προγραμμάτων σπουδών/πακέτων εκπαιδευτικού υλικού που δημιουργούνται ή αναβαθμίζονται</w:t>
      </w:r>
    </w:p>
    <w:p w:rsidR="00B5585E" w:rsidRPr="00247D9A" w:rsidRDefault="00B5585E" w:rsidP="00B5585E">
      <w:pPr>
        <w:jc w:val="both"/>
        <w:rPr>
          <w:rFonts w:cstheme="minorHAnsi"/>
          <w:sz w:val="24"/>
          <w:szCs w:val="24"/>
        </w:rPr>
      </w:pPr>
      <w:r w:rsidRPr="00247D9A">
        <w:rPr>
          <w:rFonts w:cstheme="minorHAnsi"/>
          <w:sz w:val="24"/>
          <w:szCs w:val="24"/>
        </w:rPr>
        <w:t xml:space="preserve">Η τιμή στόχος για το έτος 2023 του δείκτη είναι 204 και αφορά στη δημιουργία ή αναβάθμιση προγραμμάτων σπουδών/πακέτων εκπαιδευτικού υλικούτων σχολών παροχής κατάρτισης δημοσίων υπαλλήλων με μέσο κόστος υλοποίησης 4.500€ ανά πρόγραμμα σπουδών/πακέτο εκπαιδευτικού υλικού, σύμφωνα με στοιχεία παρόμοιων δράσεων που υλοποιήθηκαν στο πλαίσιο του ΕΠΔΜ 2007-2013. </w:t>
      </w:r>
    </w:p>
    <w:sectPr w:rsidR="00B5585E" w:rsidRPr="00247D9A" w:rsidSect="00A74EC3">
      <w:headerReference w:type="default" r:id="rId13"/>
      <w:footerReference w:type="default" r:id="rId14"/>
      <w:pgSz w:w="11906" w:h="16838"/>
      <w:pgMar w:top="1440" w:right="1800" w:bottom="1440" w:left="180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415" w:rsidRDefault="00383415" w:rsidP="00536E5E">
      <w:pPr>
        <w:spacing w:after="0" w:line="240" w:lineRule="auto"/>
      </w:pPr>
      <w:r>
        <w:separator/>
      </w:r>
    </w:p>
    <w:p w:rsidR="00383415" w:rsidRDefault="00383415"/>
  </w:endnote>
  <w:endnote w:type="continuationSeparator" w:id="0">
    <w:p w:rsidR="00383415" w:rsidRDefault="00383415" w:rsidP="00536E5E">
      <w:pPr>
        <w:spacing w:after="0" w:line="240" w:lineRule="auto"/>
      </w:pPr>
      <w:r>
        <w:continuationSeparator/>
      </w:r>
    </w:p>
    <w:p w:rsidR="00383415" w:rsidRDefault="00383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415" w:rsidRDefault="00383415" w:rsidP="00383415">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83415" w:rsidRDefault="00383415" w:rsidP="0038341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415" w:rsidRDefault="00383415" w:rsidP="00383415">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914DB">
      <w:rPr>
        <w:rStyle w:val="ab"/>
        <w:noProof/>
      </w:rPr>
      <w:t>2</w:t>
    </w:r>
    <w:r>
      <w:rPr>
        <w:rStyle w:val="ab"/>
      </w:rPr>
      <w:fldChar w:fldCharType="end"/>
    </w:r>
  </w:p>
  <w:p w:rsidR="00383415" w:rsidRPr="005A60B8" w:rsidRDefault="00383415" w:rsidP="00383415">
    <w:pPr>
      <w:pStyle w:val="a3"/>
      <w:spacing w:line="360" w:lineRule="auto"/>
      <w:jc w:val="center"/>
      <w:rPr>
        <w:i/>
        <w:sz w:val="18"/>
        <w:szCs w:val="18"/>
      </w:rPr>
    </w:pPr>
    <w:r>
      <w:rPr>
        <w:noProof/>
      </w:rPr>
      <w:drawing>
        <wp:inline distT="0" distB="0" distL="0" distR="0">
          <wp:extent cx="3165475" cy="843915"/>
          <wp:effectExtent l="0" t="0" r="0" b="0"/>
          <wp:docPr id="7" name="Picture 7"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5475" cy="84391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415" w:rsidRDefault="00383415" w:rsidP="00383415">
    <w:pPr>
      <w:pStyle w:val="a4"/>
      <w:framePr w:wrap="around" w:vAnchor="text" w:hAnchor="page" w:x="9538" w:y="-19"/>
      <w:rPr>
        <w:rStyle w:val="ab"/>
      </w:rPr>
    </w:pPr>
  </w:p>
  <w:p w:rsidR="00383415" w:rsidRDefault="00383415" w:rsidP="00383415">
    <w:pPr>
      <w:pStyle w:val="a4"/>
      <w:tabs>
        <w:tab w:val="left" w:pos="2113"/>
      </w:tabs>
      <w:ind w:right="360"/>
      <w:jc w:val="center"/>
    </w:pPr>
    <w:r>
      <w:rPr>
        <w:noProof/>
      </w:rPr>
      <w:drawing>
        <wp:inline distT="0" distB="0" distL="0" distR="0">
          <wp:extent cx="3165475" cy="843915"/>
          <wp:effectExtent l="0" t="0" r="0" b="0"/>
          <wp:docPr id="8" name="Picture 8"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5475" cy="843915"/>
                  </a:xfrm>
                  <a:prstGeom prst="rect">
                    <a:avLst/>
                  </a:prstGeom>
                  <a:noFill/>
                  <a:ln>
                    <a:noFill/>
                  </a:ln>
                </pic:spPr>
              </pic:pic>
            </a:graphicData>
          </a:graphic>
        </wp:inline>
      </w:drawing>
    </w:r>
  </w:p>
  <w:p w:rsidR="00383415" w:rsidRDefault="00383415" w:rsidP="00383415">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97398"/>
      <w:docPartObj>
        <w:docPartGallery w:val="Page Numbers (Bottom of Page)"/>
        <w:docPartUnique/>
      </w:docPartObj>
    </w:sdtPr>
    <w:sdtEndPr>
      <w:rPr>
        <w:noProof/>
      </w:rPr>
    </w:sdtEndPr>
    <w:sdtContent>
      <w:p w:rsidR="00383415" w:rsidRDefault="00383415">
        <w:pPr>
          <w:pStyle w:val="a4"/>
          <w:jc w:val="right"/>
        </w:pPr>
        <w:r>
          <w:fldChar w:fldCharType="begin"/>
        </w:r>
        <w:r>
          <w:instrText xml:space="preserve"> PAGE   \* MERGEFORMAT </w:instrText>
        </w:r>
        <w:r>
          <w:fldChar w:fldCharType="separate"/>
        </w:r>
        <w:r w:rsidR="00285085">
          <w:rPr>
            <w:noProof/>
          </w:rPr>
          <w:t>17</w:t>
        </w:r>
        <w:r>
          <w:rPr>
            <w:noProof/>
          </w:rPr>
          <w:fldChar w:fldCharType="end"/>
        </w:r>
      </w:p>
    </w:sdtContent>
  </w:sdt>
  <w:p w:rsidR="00383415" w:rsidRDefault="00383415" w:rsidP="001D7574">
    <w:pPr>
      <w:jc w:val="center"/>
    </w:pPr>
    <w:r>
      <w:rPr>
        <w:noProof/>
      </w:rPr>
      <w:drawing>
        <wp:inline distT="0" distB="0" distL="0" distR="0" wp14:anchorId="12EBEB01" wp14:editId="7FA33AA2">
          <wp:extent cx="3165475" cy="843915"/>
          <wp:effectExtent l="0" t="0" r="0" b="0"/>
          <wp:docPr id="5" name="Picture 5"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5475" cy="84391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415" w:rsidRDefault="00383415" w:rsidP="00536E5E">
      <w:pPr>
        <w:spacing w:after="0" w:line="240" w:lineRule="auto"/>
      </w:pPr>
      <w:r>
        <w:separator/>
      </w:r>
    </w:p>
    <w:p w:rsidR="00383415" w:rsidRDefault="00383415"/>
  </w:footnote>
  <w:footnote w:type="continuationSeparator" w:id="0">
    <w:p w:rsidR="00383415" w:rsidRDefault="00383415" w:rsidP="00536E5E">
      <w:pPr>
        <w:spacing w:after="0" w:line="240" w:lineRule="auto"/>
      </w:pPr>
      <w:r>
        <w:continuationSeparator/>
      </w:r>
    </w:p>
    <w:p w:rsidR="00383415" w:rsidRDefault="00383415"/>
  </w:footnote>
  <w:footnote w:id="1">
    <w:p w:rsidR="00383415" w:rsidRPr="004D0A79" w:rsidRDefault="00383415">
      <w:pPr>
        <w:pStyle w:val="a9"/>
      </w:pPr>
      <w:r>
        <w:rPr>
          <w:rStyle w:val="aa"/>
        </w:rPr>
        <w:footnoteRef/>
      </w:r>
      <w:r>
        <w:t xml:space="preserve"> </w:t>
      </w:r>
      <w:r w:rsidR="004D0A79">
        <w:t>Οι  αλλαγές στο εν λόγω έγγραφο επισημαίνονται με σκίαση προκειμένου να είναι διακριτές.</w:t>
      </w:r>
    </w:p>
  </w:footnote>
  <w:footnote w:id="2">
    <w:p w:rsidR="00383415" w:rsidRPr="00BB723B" w:rsidRDefault="00383415" w:rsidP="009D3ED1">
      <w:pPr>
        <w:pStyle w:val="a9"/>
        <w:rPr>
          <w:lang w:val="en-US"/>
        </w:rPr>
      </w:pPr>
      <w:r>
        <w:rPr>
          <w:rStyle w:val="aa"/>
        </w:rPr>
        <w:footnoteRef/>
      </w:r>
      <w:r w:rsidRPr="008F7A95">
        <w:rPr>
          <w:lang w:val="en-US"/>
        </w:rPr>
        <w:t xml:space="preserve"> (</w:t>
      </w:r>
      <w:r>
        <w:rPr>
          <w:lang w:val="en-US"/>
        </w:rPr>
        <w:t>Guidance Document on Indicators of Public Administration Capacity Building –Final-June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415" w:rsidRDefault="00383415" w:rsidP="00383415">
    <w:pPr>
      <w:pStyle w:val="a3"/>
    </w:pPr>
    <w:r>
      <w:rPr>
        <w:rFonts w:ascii="Tahoma" w:hAnsi="Tahoma" w:cs="Tahoma"/>
        <w:sz w:val="12"/>
      </w:rPr>
      <w:t xml:space="preserve">     </w:t>
    </w:r>
  </w:p>
  <w:p w:rsidR="00383415" w:rsidRPr="001E74EB" w:rsidRDefault="00383415" w:rsidP="00383415">
    <w:pPr>
      <w:pStyle w:val="a3"/>
      <w:spacing w:after="120"/>
      <w:jc w:val="center"/>
      <w:rPr>
        <w:rFonts w:ascii="Tahoma" w:hAnsi="Tahoma" w:cs="Tahoma"/>
        <w:i/>
        <w:sz w:val="20"/>
        <w:szCs w:val="20"/>
      </w:rPr>
    </w:pPr>
    <w:r w:rsidRPr="009A1D27">
      <w:rPr>
        <w:rFonts w:ascii="Tahoma" w:hAnsi="Tahoma" w:cs="Tahoma"/>
        <w:bCs/>
        <w:i/>
        <w:sz w:val="16"/>
        <w:szCs w:val="16"/>
      </w:rPr>
      <w:t>Σύμβουλος Υποστήριξης για την αναθεώρηση του Επιχειρησιακού Προγράμματος «Μεταρρύθμιση Δημόσιου Τομέα» στο πλαίσιο της τεχνικής προσαρμογής του, για το έτος 2017</w:t>
    </w:r>
  </w:p>
  <w:p w:rsidR="00383415" w:rsidRDefault="00383415" w:rsidP="00383415">
    <w:pPr>
      <w:pStyle w:val="a3"/>
      <w:jc w:val="center"/>
      <w:rPr>
        <w:rFonts w:ascii="Tahoma" w:hAnsi="Tahoma" w:cs="Tahoma"/>
        <w:b/>
        <w:i/>
        <w:sz w:val="20"/>
        <w:szCs w:val="20"/>
      </w:rPr>
    </w:pPr>
    <w:r>
      <w:rPr>
        <w:rFonts w:ascii="Tahoma" w:hAnsi="Tahoma" w:cs="Tahoma"/>
        <w:b/>
        <w:i/>
        <w:sz w:val="20"/>
        <w:szCs w:val="20"/>
      </w:rPr>
      <w:t xml:space="preserve">Π.1 </w:t>
    </w:r>
    <w:r w:rsidRPr="009A1D27">
      <w:rPr>
        <w:rFonts w:ascii="Tahoma" w:hAnsi="Tahoma" w:cs="Tahoma"/>
        <w:b/>
        <w:i/>
        <w:sz w:val="20"/>
        <w:szCs w:val="20"/>
      </w:rPr>
      <w:t>«Σχέδιο πρότασης του εγγράφου τεκμηρίωσης της πρότασης αναθεώρησης»</w:t>
    </w:r>
  </w:p>
  <w:p w:rsidR="00383415" w:rsidRDefault="00383415" w:rsidP="00383415">
    <w:pPr>
      <w:pStyle w:val="a3"/>
      <w:jc w:val="center"/>
      <w:rPr>
        <w:rFonts w:ascii="Tahoma" w:hAnsi="Tahoma" w:cs="Tahoma"/>
        <w:b/>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415" w:rsidRPr="008145D7" w:rsidRDefault="00A914DB" w:rsidP="001D7574">
    <w:pPr>
      <w:pStyle w:val="a3"/>
      <w:spacing w:after="120"/>
      <w:rPr>
        <w:rFonts w:ascii="Tahoma" w:eastAsia="Calibri" w:hAnsi="Tahoma" w:cs="Tahoma"/>
        <w:b/>
        <w:i/>
        <w:sz w:val="18"/>
        <w:szCs w:val="18"/>
      </w:rPr>
    </w:pPr>
    <w:r w:rsidRPr="008145D7">
      <w:rPr>
        <w:rFonts w:ascii="Tahoma" w:eastAsia="Calibri" w:hAnsi="Tahoma" w:cs="Tahoma"/>
        <w:b/>
        <w:i/>
        <w:sz w:val="18"/>
        <w:szCs w:val="18"/>
      </w:rPr>
      <w:t xml:space="preserve"> </w:t>
    </w:r>
    <w:r w:rsidR="00383415" w:rsidRPr="008145D7">
      <w:rPr>
        <w:rFonts w:ascii="Tahoma" w:eastAsia="Calibri" w:hAnsi="Tahoma" w:cs="Tahoma"/>
        <w:b/>
        <w:i/>
        <w:sz w:val="18"/>
        <w:szCs w:val="18"/>
      </w:rPr>
      <w:t>«</w:t>
    </w:r>
    <w:proofErr w:type="spellStart"/>
    <w:r w:rsidR="00383415" w:rsidRPr="008145D7">
      <w:rPr>
        <w:rFonts w:ascii="Tahoma" w:eastAsia="Calibri" w:hAnsi="Tahoma" w:cs="Tahoma"/>
        <w:b/>
        <w:i/>
        <w:sz w:val="18"/>
        <w:szCs w:val="18"/>
      </w:rPr>
      <w:t>Επικαιροποιημένη</w:t>
    </w:r>
    <w:proofErr w:type="spellEnd"/>
    <w:r w:rsidR="00383415" w:rsidRPr="008145D7">
      <w:rPr>
        <w:rFonts w:ascii="Tahoma" w:eastAsia="Calibri" w:hAnsi="Tahoma" w:cs="Tahoma"/>
        <w:b/>
        <w:i/>
        <w:sz w:val="18"/>
        <w:szCs w:val="18"/>
      </w:rPr>
      <w:t xml:space="preserve"> έκδοση του </w:t>
    </w:r>
    <w:r>
      <w:rPr>
        <w:rFonts w:ascii="Tahoma" w:eastAsia="Calibri" w:hAnsi="Tahoma" w:cs="Tahoma"/>
        <w:b/>
        <w:i/>
        <w:sz w:val="18"/>
        <w:szCs w:val="18"/>
      </w:rPr>
      <w:t xml:space="preserve"> Συνοδευτικού Εγγράφου Δεικτών ΕΠ ΜΔΤ»</w:t>
    </w:r>
  </w:p>
  <w:p w:rsidR="00383415" w:rsidRPr="001D7574" w:rsidRDefault="00A70123" w:rsidP="001D7574">
    <w:pPr>
      <w:pStyle w:val="a3"/>
      <w:spacing w:after="120"/>
      <w:rPr>
        <w:rFonts w:ascii="Tahoma" w:hAnsi="Tahoma" w:cs="Tahoma"/>
        <w:b/>
        <w:bCs/>
        <w:i/>
        <w:sz w:val="20"/>
        <w:szCs w:val="20"/>
      </w:rPr>
    </w:pPr>
    <w:r>
      <w:rPr>
        <w:rFonts w:ascii="Tahoma" w:hAnsi="Tahoma" w:cs="Tahoma"/>
        <w:b/>
        <w:bCs/>
        <w:i/>
        <w:noProof/>
        <w:sz w:val="20"/>
        <w:szCs w:val="20"/>
      </w:rPr>
      <mc:AlternateContent>
        <mc:Choice Requires="wps">
          <w:drawing>
            <wp:anchor distT="0" distB="0" distL="114300" distR="114300" simplePos="0" relativeHeight="251659264" behindDoc="0" locked="0" layoutInCell="1" allowOverlap="1" wp14:anchorId="67ACE6CC" wp14:editId="6F1EFD64">
              <wp:simplePos x="0" y="0"/>
              <wp:positionH relativeFrom="column">
                <wp:posOffset>-158115</wp:posOffset>
              </wp:positionH>
              <wp:positionV relativeFrom="paragraph">
                <wp:posOffset>19685</wp:posOffset>
              </wp:positionV>
              <wp:extent cx="5655310" cy="635"/>
              <wp:effectExtent l="13335" t="10160" r="8255" b="82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53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2.45pt;margin-top:1.55pt;width:445.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cIAIAAD0EAAAOAAAAZHJzL2Uyb0RvYy54bWysU02P2yAQvVfqf0Dcs/5InC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DF7"/>
    <w:multiLevelType w:val="hybridMultilevel"/>
    <w:tmpl w:val="EAB265EC"/>
    <w:lvl w:ilvl="0" w:tplc="04080001">
      <w:start w:val="1"/>
      <w:numFmt w:val="bullet"/>
      <w:lvlText w:val=""/>
      <w:lvlJc w:val="left"/>
      <w:pPr>
        <w:ind w:left="144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88510A3"/>
    <w:multiLevelType w:val="hybridMultilevel"/>
    <w:tmpl w:val="438CE1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9507C22"/>
    <w:multiLevelType w:val="hybridMultilevel"/>
    <w:tmpl w:val="F4FE50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AF473AE"/>
    <w:multiLevelType w:val="hybridMultilevel"/>
    <w:tmpl w:val="4E4C4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DF5294E"/>
    <w:multiLevelType w:val="hybridMultilevel"/>
    <w:tmpl w:val="963AAC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F142CC3"/>
    <w:multiLevelType w:val="hybridMultilevel"/>
    <w:tmpl w:val="C5D03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44A0CC8"/>
    <w:multiLevelType w:val="hybridMultilevel"/>
    <w:tmpl w:val="EF60D7EC"/>
    <w:lvl w:ilvl="0" w:tplc="0408000B">
      <w:start w:val="1"/>
      <w:numFmt w:val="bullet"/>
      <w:lvlText w:val=""/>
      <w:lvlJc w:val="left"/>
      <w:pPr>
        <w:ind w:left="761" w:hanging="360"/>
      </w:pPr>
      <w:rPr>
        <w:rFonts w:ascii="Wingdings" w:hAnsi="Wingdings"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7">
    <w:nsid w:val="1BEA29AB"/>
    <w:multiLevelType w:val="hybridMultilevel"/>
    <w:tmpl w:val="A0C64E2A"/>
    <w:lvl w:ilvl="0" w:tplc="5C3E35D4">
      <w:start w:val="1"/>
      <w:numFmt w:val="decimal"/>
      <w:lvlText w:val="%1."/>
      <w:lvlJc w:val="left"/>
      <w:pPr>
        <w:ind w:left="720" w:hanging="360"/>
      </w:pPr>
      <w:rPr>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C010401"/>
    <w:multiLevelType w:val="hybridMultilevel"/>
    <w:tmpl w:val="B71C621C"/>
    <w:lvl w:ilvl="0" w:tplc="04080001">
      <w:start w:val="1"/>
      <w:numFmt w:val="bullet"/>
      <w:lvlText w:val=""/>
      <w:lvlJc w:val="left"/>
      <w:pPr>
        <w:ind w:left="720" w:hanging="360"/>
      </w:pPr>
      <w:rPr>
        <w:rFonts w:ascii="Symbol" w:hAnsi="Symbol"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D6B4F50"/>
    <w:multiLevelType w:val="hybridMultilevel"/>
    <w:tmpl w:val="FC32C3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2E44EF2"/>
    <w:multiLevelType w:val="hybridMultilevel"/>
    <w:tmpl w:val="9FE830EA"/>
    <w:lvl w:ilvl="0" w:tplc="04080001">
      <w:start w:val="1"/>
      <w:numFmt w:val="bullet"/>
      <w:lvlText w:val=""/>
      <w:lvlJc w:val="left"/>
      <w:pPr>
        <w:ind w:left="720" w:hanging="360"/>
      </w:pPr>
      <w:rPr>
        <w:rFonts w:ascii="Symbol" w:hAnsi="Symbol"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A2624A5"/>
    <w:multiLevelType w:val="hybridMultilevel"/>
    <w:tmpl w:val="513E32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E244A1D"/>
    <w:multiLevelType w:val="hybridMultilevel"/>
    <w:tmpl w:val="02386E58"/>
    <w:lvl w:ilvl="0" w:tplc="04080001">
      <w:start w:val="1"/>
      <w:numFmt w:val="bullet"/>
      <w:lvlText w:val=""/>
      <w:lvlJc w:val="left"/>
      <w:pPr>
        <w:ind w:left="148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32EE0096"/>
    <w:multiLevelType w:val="hybridMultilevel"/>
    <w:tmpl w:val="A6AE15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E202087"/>
    <w:multiLevelType w:val="hybridMultilevel"/>
    <w:tmpl w:val="29BA46B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EF74DD1"/>
    <w:multiLevelType w:val="hybridMultilevel"/>
    <w:tmpl w:val="72FED33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F5B4D4B"/>
    <w:multiLevelType w:val="hybridMultilevel"/>
    <w:tmpl w:val="04208D90"/>
    <w:lvl w:ilvl="0" w:tplc="440CE656">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FAF514B"/>
    <w:multiLevelType w:val="hybridMultilevel"/>
    <w:tmpl w:val="FC864C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2A566F3"/>
    <w:multiLevelType w:val="hybridMultilevel"/>
    <w:tmpl w:val="0B04FE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72E671D"/>
    <w:multiLevelType w:val="hybridMultilevel"/>
    <w:tmpl w:val="1146F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7F36669"/>
    <w:multiLevelType w:val="hybridMultilevel"/>
    <w:tmpl w:val="181C3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BB52B56"/>
    <w:multiLevelType w:val="hybridMultilevel"/>
    <w:tmpl w:val="5E50B9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C5B04C5"/>
    <w:multiLevelType w:val="hybridMultilevel"/>
    <w:tmpl w:val="384889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1271A16"/>
    <w:multiLevelType w:val="hybridMultilevel"/>
    <w:tmpl w:val="53182D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2141E30"/>
    <w:multiLevelType w:val="hybridMultilevel"/>
    <w:tmpl w:val="C10EB2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48B1865"/>
    <w:multiLevelType w:val="hybridMultilevel"/>
    <w:tmpl w:val="72FED33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49B1632"/>
    <w:multiLevelType w:val="hybridMultilevel"/>
    <w:tmpl w:val="608657A6"/>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7">
    <w:nsid w:val="57F23415"/>
    <w:multiLevelType w:val="hybridMultilevel"/>
    <w:tmpl w:val="B6D6C3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AD023E8"/>
    <w:multiLevelType w:val="hybridMultilevel"/>
    <w:tmpl w:val="697E8C88"/>
    <w:lvl w:ilvl="0" w:tplc="04080001">
      <w:start w:val="1"/>
      <w:numFmt w:val="bullet"/>
      <w:lvlText w:val=""/>
      <w:lvlJc w:val="left"/>
      <w:pPr>
        <w:ind w:left="144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nsid w:val="5B0E79BD"/>
    <w:multiLevelType w:val="hybridMultilevel"/>
    <w:tmpl w:val="76B80F4C"/>
    <w:lvl w:ilvl="0" w:tplc="5C3E35D4">
      <w:start w:val="1"/>
      <w:numFmt w:val="decimal"/>
      <w:lvlText w:val="%1."/>
      <w:lvlJc w:val="left"/>
      <w:pPr>
        <w:ind w:left="720" w:hanging="360"/>
      </w:pPr>
      <w:rPr>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E6F139B"/>
    <w:multiLevelType w:val="hybridMultilevel"/>
    <w:tmpl w:val="B75851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E7B6B38"/>
    <w:multiLevelType w:val="hybridMultilevel"/>
    <w:tmpl w:val="47F046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3272B80"/>
    <w:multiLevelType w:val="hybridMultilevel"/>
    <w:tmpl w:val="1146F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5AB1026"/>
    <w:multiLevelType w:val="hybridMultilevel"/>
    <w:tmpl w:val="5A305A02"/>
    <w:lvl w:ilvl="0" w:tplc="04080001">
      <w:start w:val="1"/>
      <w:numFmt w:val="bullet"/>
      <w:lvlText w:val=""/>
      <w:lvlJc w:val="left"/>
      <w:pPr>
        <w:ind w:left="720" w:hanging="360"/>
      </w:pPr>
      <w:rPr>
        <w:rFonts w:ascii="Symbol" w:hAnsi="Symbol"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2A16C2C"/>
    <w:multiLevelType w:val="hybridMultilevel"/>
    <w:tmpl w:val="4FAE2B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2A860ED"/>
    <w:multiLevelType w:val="hybridMultilevel"/>
    <w:tmpl w:val="950EE7A0"/>
    <w:lvl w:ilvl="0" w:tplc="92263BC6">
      <w:start w:val="1"/>
      <w:numFmt w:val="decimal"/>
      <w:lvlText w:val="%1."/>
      <w:lvlJc w:val="left"/>
      <w:pPr>
        <w:ind w:left="720" w:hanging="360"/>
      </w:pPr>
      <w:rPr>
        <w:rFonts w:hint="default"/>
        <w:b/>
        <w:sz w:val="24"/>
        <w:szCs w:val="24"/>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4066AD7"/>
    <w:multiLevelType w:val="hybridMultilevel"/>
    <w:tmpl w:val="16701F98"/>
    <w:lvl w:ilvl="0" w:tplc="92263BC6">
      <w:start w:val="1"/>
      <w:numFmt w:val="decimal"/>
      <w:lvlText w:val="%1."/>
      <w:lvlJc w:val="left"/>
      <w:pPr>
        <w:ind w:left="720" w:hanging="360"/>
      </w:pPr>
      <w:rPr>
        <w:rFonts w:hint="default"/>
        <w:b/>
        <w:sz w:val="24"/>
        <w:szCs w:val="24"/>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4D6136E"/>
    <w:multiLevelType w:val="hybridMultilevel"/>
    <w:tmpl w:val="0A50100C"/>
    <w:lvl w:ilvl="0" w:tplc="0C86BAD4">
      <w:numFmt w:val="bullet"/>
      <w:lvlText w:val="-"/>
      <w:lvlJc w:val="left"/>
      <w:pPr>
        <w:ind w:left="720" w:hanging="360"/>
      </w:pPr>
      <w:rPr>
        <w:rFonts w:ascii="Calibri" w:eastAsiaTheme="minorHAnsi" w:hAnsi="Calibri" w:cstheme="minorHAns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5544EA"/>
    <w:multiLevelType w:val="hybridMultilevel"/>
    <w:tmpl w:val="1760027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CA059FD"/>
    <w:multiLevelType w:val="hybridMultilevel"/>
    <w:tmpl w:val="162617FE"/>
    <w:lvl w:ilvl="0" w:tplc="04080001">
      <w:start w:val="1"/>
      <w:numFmt w:val="bullet"/>
      <w:lvlText w:val=""/>
      <w:lvlJc w:val="left"/>
      <w:pPr>
        <w:ind w:left="720" w:hanging="360"/>
      </w:pPr>
      <w:rPr>
        <w:rFonts w:ascii="Symbol" w:hAnsi="Symbol" w:hint="default"/>
        <w:b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1"/>
  </w:num>
  <w:num w:numId="2">
    <w:abstractNumId w:val="3"/>
  </w:num>
  <w:num w:numId="3">
    <w:abstractNumId w:val="26"/>
  </w:num>
  <w:num w:numId="4">
    <w:abstractNumId w:val="24"/>
  </w:num>
  <w:num w:numId="5">
    <w:abstractNumId w:val="1"/>
  </w:num>
  <w:num w:numId="6">
    <w:abstractNumId w:val="27"/>
  </w:num>
  <w:num w:numId="7">
    <w:abstractNumId w:val="31"/>
  </w:num>
  <w:num w:numId="8">
    <w:abstractNumId w:val="32"/>
  </w:num>
  <w:num w:numId="9">
    <w:abstractNumId w:val="19"/>
  </w:num>
  <w:num w:numId="10">
    <w:abstractNumId w:val="15"/>
  </w:num>
  <w:num w:numId="11">
    <w:abstractNumId w:val="17"/>
  </w:num>
  <w:num w:numId="12">
    <w:abstractNumId w:val="36"/>
  </w:num>
  <w:num w:numId="13">
    <w:abstractNumId w:val="29"/>
  </w:num>
  <w:num w:numId="14">
    <w:abstractNumId w:val="7"/>
  </w:num>
  <w:num w:numId="15">
    <w:abstractNumId w:val="6"/>
  </w:num>
  <w:num w:numId="16">
    <w:abstractNumId w:val="16"/>
  </w:num>
  <w:num w:numId="17">
    <w:abstractNumId w:val="35"/>
  </w:num>
  <w:num w:numId="18">
    <w:abstractNumId w:val="25"/>
  </w:num>
  <w:num w:numId="19">
    <w:abstractNumId w:val="38"/>
  </w:num>
  <w:num w:numId="20">
    <w:abstractNumId w:val="13"/>
  </w:num>
  <w:num w:numId="21">
    <w:abstractNumId w:val="22"/>
  </w:num>
  <w:num w:numId="22">
    <w:abstractNumId w:val="11"/>
  </w:num>
  <w:num w:numId="23">
    <w:abstractNumId w:val="23"/>
  </w:num>
  <w:num w:numId="24">
    <w:abstractNumId w:val="18"/>
  </w:num>
  <w:num w:numId="25">
    <w:abstractNumId w:val="10"/>
  </w:num>
  <w:num w:numId="26">
    <w:abstractNumId w:val="39"/>
  </w:num>
  <w:num w:numId="27">
    <w:abstractNumId w:val="33"/>
  </w:num>
  <w:num w:numId="28">
    <w:abstractNumId w:val="14"/>
  </w:num>
  <w:num w:numId="29">
    <w:abstractNumId w:val="8"/>
  </w:num>
  <w:num w:numId="30">
    <w:abstractNumId w:val="30"/>
  </w:num>
  <w:num w:numId="31">
    <w:abstractNumId w:val="5"/>
  </w:num>
  <w:num w:numId="32">
    <w:abstractNumId w:val="20"/>
  </w:num>
  <w:num w:numId="33">
    <w:abstractNumId w:val="4"/>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34"/>
  </w:num>
  <w:num w:numId="41">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5E"/>
    <w:rsid w:val="0000719A"/>
    <w:rsid w:val="00007337"/>
    <w:rsid w:val="0002435B"/>
    <w:rsid w:val="00026BFF"/>
    <w:rsid w:val="00030203"/>
    <w:rsid w:val="000351E4"/>
    <w:rsid w:val="00035287"/>
    <w:rsid w:val="00042182"/>
    <w:rsid w:val="00042A18"/>
    <w:rsid w:val="00043984"/>
    <w:rsid w:val="000667EB"/>
    <w:rsid w:val="00073344"/>
    <w:rsid w:val="00075A5E"/>
    <w:rsid w:val="00076227"/>
    <w:rsid w:val="00083EC6"/>
    <w:rsid w:val="00085D20"/>
    <w:rsid w:val="00093AFC"/>
    <w:rsid w:val="000959F4"/>
    <w:rsid w:val="0009718A"/>
    <w:rsid w:val="000977AC"/>
    <w:rsid w:val="000A05CF"/>
    <w:rsid w:val="000A1321"/>
    <w:rsid w:val="000A50D8"/>
    <w:rsid w:val="000B0FCC"/>
    <w:rsid w:val="000B652A"/>
    <w:rsid w:val="000C649E"/>
    <w:rsid w:val="000E29CB"/>
    <w:rsid w:val="000F02C6"/>
    <w:rsid w:val="00116664"/>
    <w:rsid w:val="001179BF"/>
    <w:rsid w:val="00125D0B"/>
    <w:rsid w:val="001344B3"/>
    <w:rsid w:val="001345A3"/>
    <w:rsid w:val="001561A0"/>
    <w:rsid w:val="0016625D"/>
    <w:rsid w:val="001745F6"/>
    <w:rsid w:val="00182DCF"/>
    <w:rsid w:val="00190233"/>
    <w:rsid w:val="0019064B"/>
    <w:rsid w:val="00195387"/>
    <w:rsid w:val="001B26EE"/>
    <w:rsid w:val="001B3D6D"/>
    <w:rsid w:val="001B4670"/>
    <w:rsid w:val="001B7FD1"/>
    <w:rsid w:val="001D2185"/>
    <w:rsid w:val="001D6C68"/>
    <w:rsid w:val="001D7574"/>
    <w:rsid w:val="001E1263"/>
    <w:rsid w:val="001F16A4"/>
    <w:rsid w:val="00203426"/>
    <w:rsid w:val="00204AE1"/>
    <w:rsid w:val="002151F1"/>
    <w:rsid w:val="002202B6"/>
    <w:rsid w:val="00245853"/>
    <w:rsid w:val="00247D9A"/>
    <w:rsid w:val="00252F62"/>
    <w:rsid w:val="00267795"/>
    <w:rsid w:val="00271826"/>
    <w:rsid w:val="0027300C"/>
    <w:rsid w:val="00274EC3"/>
    <w:rsid w:val="00285085"/>
    <w:rsid w:val="0028635D"/>
    <w:rsid w:val="00291B77"/>
    <w:rsid w:val="00297292"/>
    <w:rsid w:val="00297E0B"/>
    <w:rsid w:val="002A7EDA"/>
    <w:rsid w:val="002B3076"/>
    <w:rsid w:val="002E2DC5"/>
    <w:rsid w:val="003117B8"/>
    <w:rsid w:val="00320840"/>
    <w:rsid w:val="00325ACD"/>
    <w:rsid w:val="00330A4B"/>
    <w:rsid w:val="00333CFE"/>
    <w:rsid w:val="00341EB6"/>
    <w:rsid w:val="003529EF"/>
    <w:rsid w:val="0035601C"/>
    <w:rsid w:val="003575D4"/>
    <w:rsid w:val="00357900"/>
    <w:rsid w:val="00367F4A"/>
    <w:rsid w:val="0037251D"/>
    <w:rsid w:val="00381B3B"/>
    <w:rsid w:val="00383415"/>
    <w:rsid w:val="003857AB"/>
    <w:rsid w:val="003902A2"/>
    <w:rsid w:val="003932A7"/>
    <w:rsid w:val="003C3F24"/>
    <w:rsid w:val="003D6FF8"/>
    <w:rsid w:val="003E0D84"/>
    <w:rsid w:val="003F68A1"/>
    <w:rsid w:val="00405C5F"/>
    <w:rsid w:val="0040779A"/>
    <w:rsid w:val="00416B07"/>
    <w:rsid w:val="00423B0E"/>
    <w:rsid w:val="00432568"/>
    <w:rsid w:val="00440270"/>
    <w:rsid w:val="004426A8"/>
    <w:rsid w:val="0046037A"/>
    <w:rsid w:val="00461702"/>
    <w:rsid w:val="00464A64"/>
    <w:rsid w:val="00470047"/>
    <w:rsid w:val="00474BBD"/>
    <w:rsid w:val="004832A7"/>
    <w:rsid w:val="00483517"/>
    <w:rsid w:val="004A4859"/>
    <w:rsid w:val="004A50AA"/>
    <w:rsid w:val="004A51BD"/>
    <w:rsid w:val="004B06FA"/>
    <w:rsid w:val="004C2D87"/>
    <w:rsid w:val="004D0A79"/>
    <w:rsid w:val="004D3D72"/>
    <w:rsid w:val="004D45F4"/>
    <w:rsid w:val="004D70FD"/>
    <w:rsid w:val="004F5A5A"/>
    <w:rsid w:val="00504103"/>
    <w:rsid w:val="00511835"/>
    <w:rsid w:val="005265A1"/>
    <w:rsid w:val="0053470F"/>
    <w:rsid w:val="00536E5E"/>
    <w:rsid w:val="005432F9"/>
    <w:rsid w:val="0055390C"/>
    <w:rsid w:val="00562B2E"/>
    <w:rsid w:val="00564617"/>
    <w:rsid w:val="00565C09"/>
    <w:rsid w:val="005668D4"/>
    <w:rsid w:val="00574E44"/>
    <w:rsid w:val="005872C0"/>
    <w:rsid w:val="00594010"/>
    <w:rsid w:val="005B1F7B"/>
    <w:rsid w:val="005B3D1A"/>
    <w:rsid w:val="005D39D1"/>
    <w:rsid w:val="005D58BE"/>
    <w:rsid w:val="005F4963"/>
    <w:rsid w:val="005F595C"/>
    <w:rsid w:val="006115E3"/>
    <w:rsid w:val="0061180A"/>
    <w:rsid w:val="00630E0D"/>
    <w:rsid w:val="00635ACD"/>
    <w:rsid w:val="006406AE"/>
    <w:rsid w:val="00663F89"/>
    <w:rsid w:val="00671B26"/>
    <w:rsid w:val="00673048"/>
    <w:rsid w:val="00675BBC"/>
    <w:rsid w:val="00680D53"/>
    <w:rsid w:val="00685065"/>
    <w:rsid w:val="00687A27"/>
    <w:rsid w:val="006A33C5"/>
    <w:rsid w:val="006A5C75"/>
    <w:rsid w:val="006A6F89"/>
    <w:rsid w:val="006B1353"/>
    <w:rsid w:val="006B7D00"/>
    <w:rsid w:val="006C1383"/>
    <w:rsid w:val="006C32E7"/>
    <w:rsid w:val="006C6350"/>
    <w:rsid w:val="006D2130"/>
    <w:rsid w:val="006D4F22"/>
    <w:rsid w:val="006E4F5E"/>
    <w:rsid w:val="006F5219"/>
    <w:rsid w:val="006F681A"/>
    <w:rsid w:val="00701073"/>
    <w:rsid w:val="007044F0"/>
    <w:rsid w:val="00705581"/>
    <w:rsid w:val="00715B18"/>
    <w:rsid w:val="00716C0C"/>
    <w:rsid w:val="00740C34"/>
    <w:rsid w:val="00741242"/>
    <w:rsid w:val="00743FE6"/>
    <w:rsid w:val="00747260"/>
    <w:rsid w:val="00750CAE"/>
    <w:rsid w:val="00756040"/>
    <w:rsid w:val="00757E23"/>
    <w:rsid w:val="00774C6B"/>
    <w:rsid w:val="00774F2E"/>
    <w:rsid w:val="007759E0"/>
    <w:rsid w:val="007774A2"/>
    <w:rsid w:val="00784453"/>
    <w:rsid w:val="00785046"/>
    <w:rsid w:val="007905CD"/>
    <w:rsid w:val="007935CE"/>
    <w:rsid w:val="007B0F07"/>
    <w:rsid w:val="007B239B"/>
    <w:rsid w:val="007B24E7"/>
    <w:rsid w:val="007B3067"/>
    <w:rsid w:val="007C2121"/>
    <w:rsid w:val="007C21EE"/>
    <w:rsid w:val="007C4EC6"/>
    <w:rsid w:val="007D30C4"/>
    <w:rsid w:val="007E5BD7"/>
    <w:rsid w:val="007F3E44"/>
    <w:rsid w:val="00806049"/>
    <w:rsid w:val="0080706D"/>
    <w:rsid w:val="00813916"/>
    <w:rsid w:val="008145D7"/>
    <w:rsid w:val="008173A8"/>
    <w:rsid w:val="00825F93"/>
    <w:rsid w:val="00834F57"/>
    <w:rsid w:val="00834FF0"/>
    <w:rsid w:val="008414AA"/>
    <w:rsid w:val="00846B3B"/>
    <w:rsid w:val="008574FD"/>
    <w:rsid w:val="008662E9"/>
    <w:rsid w:val="00866DA9"/>
    <w:rsid w:val="00872934"/>
    <w:rsid w:val="00872AAA"/>
    <w:rsid w:val="00874FE5"/>
    <w:rsid w:val="00881499"/>
    <w:rsid w:val="00881CB0"/>
    <w:rsid w:val="00892C37"/>
    <w:rsid w:val="008B094E"/>
    <w:rsid w:val="008B1543"/>
    <w:rsid w:val="008B21C5"/>
    <w:rsid w:val="008C1AFE"/>
    <w:rsid w:val="008C4CBE"/>
    <w:rsid w:val="008C772B"/>
    <w:rsid w:val="008E3365"/>
    <w:rsid w:val="008F159C"/>
    <w:rsid w:val="008F215B"/>
    <w:rsid w:val="0090584F"/>
    <w:rsid w:val="00905E7D"/>
    <w:rsid w:val="00912618"/>
    <w:rsid w:val="0092043A"/>
    <w:rsid w:val="0094229D"/>
    <w:rsid w:val="00943A16"/>
    <w:rsid w:val="00951DFC"/>
    <w:rsid w:val="009600A1"/>
    <w:rsid w:val="009613F0"/>
    <w:rsid w:val="0096455B"/>
    <w:rsid w:val="009645AF"/>
    <w:rsid w:val="00975AB0"/>
    <w:rsid w:val="00975F03"/>
    <w:rsid w:val="009801FB"/>
    <w:rsid w:val="009831DD"/>
    <w:rsid w:val="00990571"/>
    <w:rsid w:val="00995E5F"/>
    <w:rsid w:val="009979CC"/>
    <w:rsid w:val="009B2F48"/>
    <w:rsid w:val="009D2867"/>
    <w:rsid w:val="009D3ED1"/>
    <w:rsid w:val="009D5E11"/>
    <w:rsid w:val="009D5E35"/>
    <w:rsid w:val="009D6478"/>
    <w:rsid w:val="009D72AD"/>
    <w:rsid w:val="009E1B09"/>
    <w:rsid w:val="009E2F1B"/>
    <w:rsid w:val="009F70F1"/>
    <w:rsid w:val="00A01378"/>
    <w:rsid w:val="00A34337"/>
    <w:rsid w:val="00A358CC"/>
    <w:rsid w:val="00A635E8"/>
    <w:rsid w:val="00A67478"/>
    <w:rsid w:val="00A67E4E"/>
    <w:rsid w:val="00A70123"/>
    <w:rsid w:val="00A74EC3"/>
    <w:rsid w:val="00A80074"/>
    <w:rsid w:val="00A817F0"/>
    <w:rsid w:val="00A81DB0"/>
    <w:rsid w:val="00A81EBE"/>
    <w:rsid w:val="00A87E0C"/>
    <w:rsid w:val="00A914DB"/>
    <w:rsid w:val="00AB0D58"/>
    <w:rsid w:val="00AB11C0"/>
    <w:rsid w:val="00AB5102"/>
    <w:rsid w:val="00AD6879"/>
    <w:rsid w:val="00AE5D2E"/>
    <w:rsid w:val="00AF7B27"/>
    <w:rsid w:val="00B11073"/>
    <w:rsid w:val="00B12743"/>
    <w:rsid w:val="00B26758"/>
    <w:rsid w:val="00B31A22"/>
    <w:rsid w:val="00B41A5F"/>
    <w:rsid w:val="00B44E5D"/>
    <w:rsid w:val="00B5080C"/>
    <w:rsid w:val="00B537C5"/>
    <w:rsid w:val="00B5585E"/>
    <w:rsid w:val="00B72ED4"/>
    <w:rsid w:val="00B766FA"/>
    <w:rsid w:val="00B86CBA"/>
    <w:rsid w:val="00B91E92"/>
    <w:rsid w:val="00BA0576"/>
    <w:rsid w:val="00BA0FFD"/>
    <w:rsid w:val="00BA342E"/>
    <w:rsid w:val="00BB45D9"/>
    <w:rsid w:val="00BB6856"/>
    <w:rsid w:val="00BB7A3D"/>
    <w:rsid w:val="00BE3F6D"/>
    <w:rsid w:val="00C01DDB"/>
    <w:rsid w:val="00C037E7"/>
    <w:rsid w:val="00C35B26"/>
    <w:rsid w:val="00C414DC"/>
    <w:rsid w:val="00C66F29"/>
    <w:rsid w:val="00C7577A"/>
    <w:rsid w:val="00C7745E"/>
    <w:rsid w:val="00C82A1C"/>
    <w:rsid w:val="00C83891"/>
    <w:rsid w:val="00C90CF8"/>
    <w:rsid w:val="00C92C19"/>
    <w:rsid w:val="00CB3C2D"/>
    <w:rsid w:val="00CB4D75"/>
    <w:rsid w:val="00CB659C"/>
    <w:rsid w:val="00CC7F62"/>
    <w:rsid w:val="00CD0EFD"/>
    <w:rsid w:val="00CD2BB6"/>
    <w:rsid w:val="00CD75AD"/>
    <w:rsid w:val="00D05018"/>
    <w:rsid w:val="00D07B34"/>
    <w:rsid w:val="00D13325"/>
    <w:rsid w:val="00D22396"/>
    <w:rsid w:val="00D25B22"/>
    <w:rsid w:val="00D62860"/>
    <w:rsid w:val="00D67007"/>
    <w:rsid w:val="00D75B27"/>
    <w:rsid w:val="00D866B4"/>
    <w:rsid w:val="00D921F0"/>
    <w:rsid w:val="00DA5BAA"/>
    <w:rsid w:val="00DB585E"/>
    <w:rsid w:val="00DC5E1D"/>
    <w:rsid w:val="00DD3487"/>
    <w:rsid w:val="00DD5462"/>
    <w:rsid w:val="00DE1932"/>
    <w:rsid w:val="00DF0B37"/>
    <w:rsid w:val="00DF1195"/>
    <w:rsid w:val="00E03A4D"/>
    <w:rsid w:val="00E05409"/>
    <w:rsid w:val="00E10E01"/>
    <w:rsid w:val="00E10F40"/>
    <w:rsid w:val="00E13135"/>
    <w:rsid w:val="00E45381"/>
    <w:rsid w:val="00E522E5"/>
    <w:rsid w:val="00E562CF"/>
    <w:rsid w:val="00E61BCE"/>
    <w:rsid w:val="00E66ACF"/>
    <w:rsid w:val="00E71B00"/>
    <w:rsid w:val="00E73650"/>
    <w:rsid w:val="00E74AE0"/>
    <w:rsid w:val="00E74C69"/>
    <w:rsid w:val="00E760B4"/>
    <w:rsid w:val="00E7779F"/>
    <w:rsid w:val="00E83532"/>
    <w:rsid w:val="00E94470"/>
    <w:rsid w:val="00E950C9"/>
    <w:rsid w:val="00E954E7"/>
    <w:rsid w:val="00EA53CC"/>
    <w:rsid w:val="00EA5D2F"/>
    <w:rsid w:val="00EA5FD2"/>
    <w:rsid w:val="00EC1ABD"/>
    <w:rsid w:val="00EC44F1"/>
    <w:rsid w:val="00ED5D5E"/>
    <w:rsid w:val="00ED7261"/>
    <w:rsid w:val="00EF367D"/>
    <w:rsid w:val="00F0662E"/>
    <w:rsid w:val="00F07295"/>
    <w:rsid w:val="00F116DF"/>
    <w:rsid w:val="00F2437B"/>
    <w:rsid w:val="00F2617D"/>
    <w:rsid w:val="00F30182"/>
    <w:rsid w:val="00F320C0"/>
    <w:rsid w:val="00F479BD"/>
    <w:rsid w:val="00F7314E"/>
    <w:rsid w:val="00F76775"/>
    <w:rsid w:val="00F779E8"/>
    <w:rsid w:val="00F94C69"/>
    <w:rsid w:val="00FC2EC7"/>
    <w:rsid w:val="00FD2314"/>
    <w:rsid w:val="00FD3D21"/>
    <w:rsid w:val="00FE1E39"/>
    <w:rsid w:val="00FE637A"/>
    <w:rsid w:val="00FF6F1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9"/>
    <w:qFormat/>
    <w:rsid w:val="009D3ED1"/>
    <w:pPr>
      <w:keepNext/>
      <w:keepLines/>
      <w:spacing w:before="480" w:after="0"/>
      <w:outlineLvl w:val="0"/>
    </w:pPr>
    <w:rPr>
      <w:rFonts w:ascii="Cambria" w:eastAsia="Times New Roman" w:hAnsi="Cambria" w:cs="Cambria"/>
      <w:b/>
      <w:bCs/>
      <w:color w:val="365F91"/>
      <w:sz w:val="28"/>
      <w:szCs w:val="28"/>
    </w:rPr>
  </w:style>
  <w:style w:type="paragraph" w:styleId="3">
    <w:name w:val="heading 3"/>
    <w:basedOn w:val="a"/>
    <w:next w:val="a"/>
    <w:link w:val="3Char"/>
    <w:uiPriority w:val="9"/>
    <w:unhideWhenUsed/>
    <w:qFormat/>
    <w:rsid w:val="00A6747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FF6F1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
    <w:basedOn w:val="a"/>
    <w:link w:val="Char"/>
    <w:unhideWhenUsed/>
    <w:rsid w:val="00536E5E"/>
    <w:pPr>
      <w:tabs>
        <w:tab w:val="center" w:pos="4153"/>
        <w:tab w:val="right" w:pos="8306"/>
      </w:tabs>
      <w:spacing w:after="0" w:line="240" w:lineRule="auto"/>
    </w:pPr>
  </w:style>
  <w:style w:type="character" w:customStyle="1" w:styleId="Char">
    <w:name w:val="Κεφαλίδα Char"/>
    <w:aliases w:val="hd Char"/>
    <w:basedOn w:val="a0"/>
    <w:link w:val="a3"/>
    <w:rsid w:val="00536E5E"/>
  </w:style>
  <w:style w:type="paragraph" w:styleId="a4">
    <w:name w:val="footer"/>
    <w:aliases w:val="ft"/>
    <w:basedOn w:val="a"/>
    <w:link w:val="Char0"/>
    <w:uiPriority w:val="99"/>
    <w:unhideWhenUsed/>
    <w:rsid w:val="00536E5E"/>
    <w:pPr>
      <w:tabs>
        <w:tab w:val="center" w:pos="4153"/>
        <w:tab w:val="right" w:pos="8306"/>
      </w:tabs>
      <w:spacing w:after="0" w:line="240" w:lineRule="auto"/>
    </w:pPr>
  </w:style>
  <w:style w:type="character" w:customStyle="1" w:styleId="Char0">
    <w:name w:val="Υποσέλιδο Char"/>
    <w:aliases w:val="ft Char"/>
    <w:basedOn w:val="a0"/>
    <w:link w:val="a4"/>
    <w:uiPriority w:val="99"/>
    <w:rsid w:val="00536E5E"/>
  </w:style>
  <w:style w:type="paragraph" w:styleId="a5">
    <w:name w:val="Balloon Text"/>
    <w:basedOn w:val="a"/>
    <w:link w:val="Char1"/>
    <w:uiPriority w:val="99"/>
    <w:semiHidden/>
    <w:unhideWhenUsed/>
    <w:rsid w:val="00536E5E"/>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536E5E"/>
    <w:rPr>
      <w:rFonts w:ascii="Tahoma" w:hAnsi="Tahoma" w:cs="Tahoma"/>
      <w:sz w:val="16"/>
      <w:szCs w:val="16"/>
    </w:rPr>
  </w:style>
  <w:style w:type="character" w:customStyle="1" w:styleId="3Char">
    <w:name w:val="Επικεφαλίδα 3 Char"/>
    <w:basedOn w:val="a0"/>
    <w:link w:val="3"/>
    <w:uiPriority w:val="9"/>
    <w:rsid w:val="00A67478"/>
    <w:rPr>
      <w:rFonts w:asciiTheme="majorHAnsi" w:eastAsiaTheme="majorEastAsia" w:hAnsiTheme="majorHAnsi" w:cstheme="majorBidi"/>
      <w:b/>
      <w:bCs/>
      <w:color w:val="4F81BD" w:themeColor="accent1"/>
    </w:rPr>
  </w:style>
  <w:style w:type="paragraph" w:styleId="a6">
    <w:name w:val="List Paragraph"/>
    <w:basedOn w:val="a"/>
    <w:uiPriority w:val="34"/>
    <w:qFormat/>
    <w:rsid w:val="00C037E7"/>
    <w:pPr>
      <w:ind w:left="720"/>
      <w:contextualSpacing/>
    </w:pPr>
  </w:style>
  <w:style w:type="paragraph" w:customStyle="1" w:styleId="Default">
    <w:name w:val="Default"/>
    <w:link w:val="DefaultChar"/>
    <w:uiPriority w:val="99"/>
    <w:rsid w:val="004603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annotation text"/>
    <w:basedOn w:val="a"/>
    <w:link w:val="Char2"/>
    <w:rsid w:val="0046037A"/>
    <w:pPr>
      <w:spacing w:after="240" w:line="240" w:lineRule="auto"/>
      <w:jc w:val="both"/>
    </w:pPr>
    <w:rPr>
      <w:rFonts w:ascii="Times New Roman" w:eastAsia="Times New Roman" w:hAnsi="Times New Roman" w:cs="Times New Roman"/>
      <w:sz w:val="20"/>
      <w:szCs w:val="20"/>
      <w:lang w:bidi="el-GR"/>
    </w:rPr>
  </w:style>
  <w:style w:type="character" w:customStyle="1" w:styleId="Char2">
    <w:name w:val="Κείμενο σχολίου Char"/>
    <w:basedOn w:val="a0"/>
    <w:link w:val="a7"/>
    <w:rsid w:val="0046037A"/>
    <w:rPr>
      <w:rFonts w:ascii="Times New Roman" w:eastAsia="Times New Roman" w:hAnsi="Times New Roman" w:cs="Times New Roman"/>
      <w:sz w:val="20"/>
      <w:szCs w:val="20"/>
      <w:lang w:eastAsia="el-GR" w:bidi="el-GR"/>
    </w:rPr>
  </w:style>
  <w:style w:type="character" w:styleId="a8">
    <w:name w:val="annotation reference"/>
    <w:semiHidden/>
    <w:rsid w:val="0046037A"/>
    <w:rPr>
      <w:sz w:val="16"/>
      <w:szCs w:val="16"/>
    </w:rPr>
  </w:style>
  <w:style w:type="character" w:customStyle="1" w:styleId="Bodytext2">
    <w:name w:val="Body text (2)_"/>
    <w:link w:val="Bodytext20"/>
    <w:rsid w:val="00F779E8"/>
    <w:rPr>
      <w:rFonts w:ascii="Times New Roman" w:eastAsia="Times New Roman" w:hAnsi="Times New Roman"/>
      <w:i/>
      <w:iCs/>
      <w:sz w:val="23"/>
      <w:szCs w:val="23"/>
      <w:shd w:val="clear" w:color="auto" w:fill="FFFFFF"/>
    </w:rPr>
  </w:style>
  <w:style w:type="paragraph" w:customStyle="1" w:styleId="Bodytext20">
    <w:name w:val="Body text (2)"/>
    <w:basedOn w:val="a"/>
    <w:link w:val="Bodytext2"/>
    <w:rsid w:val="00F779E8"/>
    <w:pPr>
      <w:widowControl w:val="0"/>
      <w:shd w:val="clear" w:color="auto" w:fill="FFFFFF"/>
      <w:spacing w:before="360" w:after="360" w:line="0" w:lineRule="atLeast"/>
    </w:pPr>
    <w:rPr>
      <w:rFonts w:ascii="Times New Roman" w:eastAsia="Times New Roman" w:hAnsi="Times New Roman"/>
      <w:i/>
      <w:iCs/>
      <w:sz w:val="23"/>
      <w:szCs w:val="23"/>
    </w:rPr>
  </w:style>
  <w:style w:type="character" w:customStyle="1" w:styleId="1Char">
    <w:name w:val="Επικεφαλίδα 1 Char"/>
    <w:basedOn w:val="a0"/>
    <w:link w:val="1"/>
    <w:uiPriority w:val="99"/>
    <w:rsid w:val="009D3ED1"/>
    <w:rPr>
      <w:rFonts w:ascii="Cambria" w:eastAsia="Times New Roman" w:hAnsi="Cambria" w:cs="Cambria"/>
      <w:b/>
      <w:bCs/>
      <w:color w:val="365F91"/>
      <w:sz w:val="28"/>
      <w:szCs w:val="28"/>
    </w:rPr>
  </w:style>
  <w:style w:type="paragraph" w:styleId="a9">
    <w:name w:val="footnote text"/>
    <w:basedOn w:val="a"/>
    <w:link w:val="Char3"/>
    <w:uiPriority w:val="99"/>
    <w:semiHidden/>
    <w:rsid w:val="009D3ED1"/>
    <w:pPr>
      <w:spacing w:after="0" w:line="240" w:lineRule="auto"/>
    </w:pPr>
    <w:rPr>
      <w:rFonts w:ascii="Calibri" w:eastAsia="Calibri" w:hAnsi="Calibri" w:cs="Calibri"/>
      <w:sz w:val="20"/>
      <w:szCs w:val="20"/>
    </w:rPr>
  </w:style>
  <w:style w:type="character" w:customStyle="1" w:styleId="Char3">
    <w:name w:val="Κείμενο υποσημείωσης Char"/>
    <w:basedOn w:val="a0"/>
    <w:link w:val="a9"/>
    <w:uiPriority w:val="99"/>
    <w:semiHidden/>
    <w:rsid w:val="009D3ED1"/>
    <w:rPr>
      <w:rFonts w:ascii="Calibri" w:eastAsia="Calibri" w:hAnsi="Calibri" w:cs="Calibri"/>
      <w:sz w:val="20"/>
      <w:szCs w:val="20"/>
    </w:rPr>
  </w:style>
  <w:style w:type="character" w:styleId="aa">
    <w:name w:val="footnote reference"/>
    <w:basedOn w:val="a0"/>
    <w:uiPriority w:val="99"/>
    <w:semiHidden/>
    <w:rsid w:val="009D3ED1"/>
    <w:rPr>
      <w:vertAlign w:val="superscript"/>
    </w:rPr>
  </w:style>
  <w:style w:type="character" w:styleId="ab">
    <w:name w:val="page number"/>
    <w:basedOn w:val="a0"/>
    <w:rsid w:val="001D7574"/>
  </w:style>
  <w:style w:type="paragraph" w:styleId="10">
    <w:name w:val="toc 1"/>
    <w:basedOn w:val="a"/>
    <w:next w:val="a"/>
    <w:autoRedefine/>
    <w:uiPriority w:val="39"/>
    <w:rsid w:val="001D7574"/>
    <w:pPr>
      <w:tabs>
        <w:tab w:val="right" w:leader="dot" w:pos="9356"/>
      </w:tabs>
      <w:spacing w:after="120" w:line="240" w:lineRule="auto"/>
      <w:jc w:val="both"/>
    </w:pPr>
    <w:rPr>
      <w:rFonts w:ascii="Tahoma" w:eastAsia="Times New Roman" w:hAnsi="Tahoma" w:cs="Tahoma"/>
      <w:b/>
      <w:noProof/>
      <w:sz w:val="20"/>
      <w:szCs w:val="20"/>
      <w:u w:val="single"/>
    </w:rPr>
  </w:style>
  <w:style w:type="character" w:customStyle="1" w:styleId="4Char">
    <w:name w:val="Επικεφαλίδα 4 Char"/>
    <w:basedOn w:val="a0"/>
    <w:link w:val="4"/>
    <w:uiPriority w:val="9"/>
    <w:semiHidden/>
    <w:rsid w:val="00FF6F11"/>
    <w:rPr>
      <w:rFonts w:asciiTheme="majorHAnsi" w:eastAsiaTheme="majorEastAsia" w:hAnsiTheme="majorHAnsi" w:cstheme="majorBidi"/>
      <w:i/>
      <w:iCs/>
      <w:color w:val="365F91" w:themeColor="accent1" w:themeShade="BF"/>
    </w:rPr>
  </w:style>
  <w:style w:type="character" w:styleId="ac">
    <w:name w:val="Strong"/>
    <w:qFormat/>
    <w:rsid w:val="00FF6F11"/>
    <w:rPr>
      <w:b/>
      <w:bCs/>
    </w:rPr>
  </w:style>
  <w:style w:type="character" w:customStyle="1" w:styleId="DefaultChar">
    <w:name w:val="Default Char"/>
    <w:link w:val="Default"/>
    <w:uiPriority w:val="99"/>
    <w:locked/>
    <w:rsid w:val="00FF6F11"/>
    <w:rPr>
      <w:rFonts w:ascii="Times New Roman" w:eastAsia="Calibri" w:hAnsi="Times New Roman" w:cs="Times New Roman"/>
      <w:color w:val="000000"/>
      <w:sz w:val="24"/>
      <w:szCs w:val="24"/>
    </w:rPr>
  </w:style>
  <w:style w:type="character" w:styleId="-">
    <w:name w:val="Hyperlink"/>
    <w:basedOn w:val="a0"/>
    <w:uiPriority w:val="99"/>
    <w:unhideWhenUsed/>
    <w:rsid w:val="00A914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9"/>
    <w:qFormat/>
    <w:rsid w:val="009D3ED1"/>
    <w:pPr>
      <w:keepNext/>
      <w:keepLines/>
      <w:spacing w:before="480" w:after="0"/>
      <w:outlineLvl w:val="0"/>
    </w:pPr>
    <w:rPr>
      <w:rFonts w:ascii="Cambria" w:eastAsia="Times New Roman" w:hAnsi="Cambria" w:cs="Cambria"/>
      <w:b/>
      <w:bCs/>
      <w:color w:val="365F91"/>
      <w:sz w:val="28"/>
      <w:szCs w:val="28"/>
    </w:rPr>
  </w:style>
  <w:style w:type="paragraph" w:styleId="3">
    <w:name w:val="heading 3"/>
    <w:basedOn w:val="a"/>
    <w:next w:val="a"/>
    <w:link w:val="3Char"/>
    <w:uiPriority w:val="9"/>
    <w:unhideWhenUsed/>
    <w:qFormat/>
    <w:rsid w:val="00A6747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FF6F1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
    <w:basedOn w:val="a"/>
    <w:link w:val="Char"/>
    <w:unhideWhenUsed/>
    <w:rsid w:val="00536E5E"/>
    <w:pPr>
      <w:tabs>
        <w:tab w:val="center" w:pos="4153"/>
        <w:tab w:val="right" w:pos="8306"/>
      </w:tabs>
      <w:spacing w:after="0" w:line="240" w:lineRule="auto"/>
    </w:pPr>
  </w:style>
  <w:style w:type="character" w:customStyle="1" w:styleId="Char">
    <w:name w:val="Κεφαλίδα Char"/>
    <w:aliases w:val="hd Char"/>
    <w:basedOn w:val="a0"/>
    <w:link w:val="a3"/>
    <w:rsid w:val="00536E5E"/>
  </w:style>
  <w:style w:type="paragraph" w:styleId="a4">
    <w:name w:val="footer"/>
    <w:aliases w:val="ft"/>
    <w:basedOn w:val="a"/>
    <w:link w:val="Char0"/>
    <w:uiPriority w:val="99"/>
    <w:unhideWhenUsed/>
    <w:rsid w:val="00536E5E"/>
    <w:pPr>
      <w:tabs>
        <w:tab w:val="center" w:pos="4153"/>
        <w:tab w:val="right" w:pos="8306"/>
      </w:tabs>
      <w:spacing w:after="0" w:line="240" w:lineRule="auto"/>
    </w:pPr>
  </w:style>
  <w:style w:type="character" w:customStyle="1" w:styleId="Char0">
    <w:name w:val="Υποσέλιδο Char"/>
    <w:aliases w:val="ft Char"/>
    <w:basedOn w:val="a0"/>
    <w:link w:val="a4"/>
    <w:uiPriority w:val="99"/>
    <w:rsid w:val="00536E5E"/>
  </w:style>
  <w:style w:type="paragraph" w:styleId="a5">
    <w:name w:val="Balloon Text"/>
    <w:basedOn w:val="a"/>
    <w:link w:val="Char1"/>
    <w:uiPriority w:val="99"/>
    <w:semiHidden/>
    <w:unhideWhenUsed/>
    <w:rsid w:val="00536E5E"/>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536E5E"/>
    <w:rPr>
      <w:rFonts w:ascii="Tahoma" w:hAnsi="Tahoma" w:cs="Tahoma"/>
      <w:sz w:val="16"/>
      <w:szCs w:val="16"/>
    </w:rPr>
  </w:style>
  <w:style w:type="character" w:customStyle="1" w:styleId="3Char">
    <w:name w:val="Επικεφαλίδα 3 Char"/>
    <w:basedOn w:val="a0"/>
    <w:link w:val="3"/>
    <w:uiPriority w:val="9"/>
    <w:rsid w:val="00A67478"/>
    <w:rPr>
      <w:rFonts w:asciiTheme="majorHAnsi" w:eastAsiaTheme="majorEastAsia" w:hAnsiTheme="majorHAnsi" w:cstheme="majorBidi"/>
      <w:b/>
      <w:bCs/>
      <w:color w:val="4F81BD" w:themeColor="accent1"/>
    </w:rPr>
  </w:style>
  <w:style w:type="paragraph" w:styleId="a6">
    <w:name w:val="List Paragraph"/>
    <w:basedOn w:val="a"/>
    <w:uiPriority w:val="34"/>
    <w:qFormat/>
    <w:rsid w:val="00C037E7"/>
    <w:pPr>
      <w:ind w:left="720"/>
      <w:contextualSpacing/>
    </w:pPr>
  </w:style>
  <w:style w:type="paragraph" w:customStyle="1" w:styleId="Default">
    <w:name w:val="Default"/>
    <w:link w:val="DefaultChar"/>
    <w:uiPriority w:val="99"/>
    <w:rsid w:val="004603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annotation text"/>
    <w:basedOn w:val="a"/>
    <w:link w:val="Char2"/>
    <w:rsid w:val="0046037A"/>
    <w:pPr>
      <w:spacing w:after="240" w:line="240" w:lineRule="auto"/>
      <w:jc w:val="both"/>
    </w:pPr>
    <w:rPr>
      <w:rFonts w:ascii="Times New Roman" w:eastAsia="Times New Roman" w:hAnsi="Times New Roman" w:cs="Times New Roman"/>
      <w:sz w:val="20"/>
      <w:szCs w:val="20"/>
      <w:lang w:bidi="el-GR"/>
    </w:rPr>
  </w:style>
  <w:style w:type="character" w:customStyle="1" w:styleId="Char2">
    <w:name w:val="Κείμενο σχολίου Char"/>
    <w:basedOn w:val="a0"/>
    <w:link w:val="a7"/>
    <w:rsid w:val="0046037A"/>
    <w:rPr>
      <w:rFonts w:ascii="Times New Roman" w:eastAsia="Times New Roman" w:hAnsi="Times New Roman" w:cs="Times New Roman"/>
      <w:sz w:val="20"/>
      <w:szCs w:val="20"/>
      <w:lang w:eastAsia="el-GR" w:bidi="el-GR"/>
    </w:rPr>
  </w:style>
  <w:style w:type="character" w:styleId="a8">
    <w:name w:val="annotation reference"/>
    <w:semiHidden/>
    <w:rsid w:val="0046037A"/>
    <w:rPr>
      <w:sz w:val="16"/>
      <w:szCs w:val="16"/>
    </w:rPr>
  </w:style>
  <w:style w:type="character" w:customStyle="1" w:styleId="Bodytext2">
    <w:name w:val="Body text (2)_"/>
    <w:link w:val="Bodytext20"/>
    <w:rsid w:val="00F779E8"/>
    <w:rPr>
      <w:rFonts w:ascii="Times New Roman" w:eastAsia="Times New Roman" w:hAnsi="Times New Roman"/>
      <w:i/>
      <w:iCs/>
      <w:sz w:val="23"/>
      <w:szCs w:val="23"/>
      <w:shd w:val="clear" w:color="auto" w:fill="FFFFFF"/>
    </w:rPr>
  </w:style>
  <w:style w:type="paragraph" w:customStyle="1" w:styleId="Bodytext20">
    <w:name w:val="Body text (2)"/>
    <w:basedOn w:val="a"/>
    <w:link w:val="Bodytext2"/>
    <w:rsid w:val="00F779E8"/>
    <w:pPr>
      <w:widowControl w:val="0"/>
      <w:shd w:val="clear" w:color="auto" w:fill="FFFFFF"/>
      <w:spacing w:before="360" w:after="360" w:line="0" w:lineRule="atLeast"/>
    </w:pPr>
    <w:rPr>
      <w:rFonts w:ascii="Times New Roman" w:eastAsia="Times New Roman" w:hAnsi="Times New Roman"/>
      <w:i/>
      <w:iCs/>
      <w:sz w:val="23"/>
      <w:szCs w:val="23"/>
    </w:rPr>
  </w:style>
  <w:style w:type="character" w:customStyle="1" w:styleId="1Char">
    <w:name w:val="Επικεφαλίδα 1 Char"/>
    <w:basedOn w:val="a0"/>
    <w:link w:val="1"/>
    <w:uiPriority w:val="99"/>
    <w:rsid w:val="009D3ED1"/>
    <w:rPr>
      <w:rFonts w:ascii="Cambria" w:eastAsia="Times New Roman" w:hAnsi="Cambria" w:cs="Cambria"/>
      <w:b/>
      <w:bCs/>
      <w:color w:val="365F91"/>
      <w:sz w:val="28"/>
      <w:szCs w:val="28"/>
    </w:rPr>
  </w:style>
  <w:style w:type="paragraph" w:styleId="a9">
    <w:name w:val="footnote text"/>
    <w:basedOn w:val="a"/>
    <w:link w:val="Char3"/>
    <w:uiPriority w:val="99"/>
    <w:semiHidden/>
    <w:rsid w:val="009D3ED1"/>
    <w:pPr>
      <w:spacing w:after="0" w:line="240" w:lineRule="auto"/>
    </w:pPr>
    <w:rPr>
      <w:rFonts w:ascii="Calibri" w:eastAsia="Calibri" w:hAnsi="Calibri" w:cs="Calibri"/>
      <w:sz w:val="20"/>
      <w:szCs w:val="20"/>
    </w:rPr>
  </w:style>
  <w:style w:type="character" w:customStyle="1" w:styleId="Char3">
    <w:name w:val="Κείμενο υποσημείωσης Char"/>
    <w:basedOn w:val="a0"/>
    <w:link w:val="a9"/>
    <w:uiPriority w:val="99"/>
    <w:semiHidden/>
    <w:rsid w:val="009D3ED1"/>
    <w:rPr>
      <w:rFonts w:ascii="Calibri" w:eastAsia="Calibri" w:hAnsi="Calibri" w:cs="Calibri"/>
      <w:sz w:val="20"/>
      <w:szCs w:val="20"/>
    </w:rPr>
  </w:style>
  <w:style w:type="character" w:styleId="aa">
    <w:name w:val="footnote reference"/>
    <w:basedOn w:val="a0"/>
    <w:uiPriority w:val="99"/>
    <w:semiHidden/>
    <w:rsid w:val="009D3ED1"/>
    <w:rPr>
      <w:vertAlign w:val="superscript"/>
    </w:rPr>
  </w:style>
  <w:style w:type="character" w:styleId="ab">
    <w:name w:val="page number"/>
    <w:basedOn w:val="a0"/>
    <w:rsid w:val="001D7574"/>
  </w:style>
  <w:style w:type="paragraph" w:styleId="10">
    <w:name w:val="toc 1"/>
    <w:basedOn w:val="a"/>
    <w:next w:val="a"/>
    <w:autoRedefine/>
    <w:uiPriority w:val="39"/>
    <w:rsid w:val="001D7574"/>
    <w:pPr>
      <w:tabs>
        <w:tab w:val="right" w:leader="dot" w:pos="9356"/>
      </w:tabs>
      <w:spacing w:after="120" w:line="240" w:lineRule="auto"/>
      <w:jc w:val="both"/>
    </w:pPr>
    <w:rPr>
      <w:rFonts w:ascii="Tahoma" w:eastAsia="Times New Roman" w:hAnsi="Tahoma" w:cs="Tahoma"/>
      <w:b/>
      <w:noProof/>
      <w:sz w:val="20"/>
      <w:szCs w:val="20"/>
      <w:u w:val="single"/>
    </w:rPr>
  </w:style>
  <w:style w:type="character" w:customStyle="1" w:styleId="4Char">
    <w:name w:val="Επικεφαλίδα 4 Char"/>
    <w:basedOn w:val="a0"/>
    <w:link w:val="4"/>
    <w:uiPriority w:val="9"/>
    <w:semiHidden/>
    <w:rsid w:val="00FF6F11"/>
    <w:rPr>
      <w:rFonts w:asciiTheme="majorHAnsi" w:eastAsiaTheme="majorEastAsia" w:hAnsiTheme="majorHAnsi" w:cstheme="majorBidi"/>
      <w:i/>
      <w:iCs/>
      <w:color w:val="365F91" w:themeColor="accent1" w:themeShade="BF"/>
    </w:rPr>
  </w:style>
  <w:style w:type="character" w:styleId="ac">
    <w:name w:val="Strong"/>
    <w:qFormat/>
    <w:rsid w:val="00FF6F11"/>
    <w:rPr>
      <w:b/>
      <w:bCs/>
    </w:rPr>
  </w:style>
  <w:style w:type="character" w:customStyle="1" w:styleId="DefaultChar">
    <w:name w:val="Default Char"/>
    <w:link w:val="Default"/>
    <w:uiPriority w:val="99"/>
    <w:locked/>
    <w:rsid w:val="00FF6F11"/>
    <w:rPr>
      <w:rFonts w:ascii="Times New Roman" w:eastAsia="Calibri" w:hAnsi="Times New Roman" w:cs="Times New Roman"/>
      <w:color w:val="000000"/>
      <w:sz w:val="24"/>
      <w:szCs w:val="24"/>
    </w:rPr>
  </w:style>
  <w:style w:type="character" w:styleId="-">
    <w:name w:val="Hyperlink"/>
    <w:basedOn w:val="a0"/>
    <w:uiPriority w:val="99"/>
    <w:unhideWhenUsed/>
    <w:rsid w:val="00A914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1241">
      <w:bodyDiv w:val="1"/>
      <w:marLeft w:val="0"/>
      <w:marRight w:val="0"/>
      <w:marTop w:val="0"/>
      <w:marBottom w:val="0"/>
      <w:divBdr>
        <w:top w:val="none" w:sz="0" w:space="0" w:color="auto"/>
        <w:left w:val="none" w:sz="0" w:space="0" w:color="auto"/>
        <w:bottom w:val="none" w:sz="0" w:space="0" w:color="auto"/>
        <w:right w:val="none" w:sz="0" w:space="0" w:color="auto"/>
      </w:divBdr>
    </w:div>
    <w:div w:id="184372035">
      <w:bodyDiv w:val="1"/>
      <w:marLeft w:val="0"/>
      <w:marRight w:val="0"/>
      <w:marTop w:val="0"/>
      <w:marBottom w:val="0"/>
      <w:divBdr>
        <w:top w:val="none" w:sz="0" w:space="0" w:color="auto"/>
        <w:left w:val="none" w:sz="0" w:space="0" w:color="auto"/>
        <w:bottom w:val="none" w:sz="0" w:space="0" w:color="auto"/>
        <w:right w:val="none" w:sz="0" w:space="0" w:color="auto"/>
      </w:divBdr>
    </w:div>
    <w:div w:id="219099611">
      <w:bodyDiv w:val="1"/>
      <w:marLeft w:val="0"/>
      <w:marRight w:val="0"/>
      <w:marTop w:val="0"/>
      <w:marBottom w:val="0"/>
      <w:divBdr>
        <w:top w:val="none" w:sz="0" w:space="0" w:color="auto"/>
        <w:left w:val="none" w:sz="0" w:space="0" w:color="auto"/>
        <w:bottom w:val="none" w:sz="0" w:space="0" w:color="auto"/>
        <w:right w:val="none" w:sz="0" w:space="0" w:color="auto"/>
      </w:divBdr>
    </w:div>
    <w:div w:id="234508955">
      <w:bodyDiv w:val="1"/>
      <w:marLeft w:val="0"/>
      <w:marRight w:val="0"/>
      <w:marTop w:val="0"/>
      <w:marBottom w:val="0"/>
      <w:divBdr>
        <w:top w:val="none" w:sz="0" w:space="0" w:color="auto"/>
        <w:left w:val="none" w:sz="0" w:space="0" w:color="auto"/>
        <w:bottom w:val="none" w:sz="0" w:space="0" w:color="auto"/>
        <w:right w:val="none" w:sz="0" w:space="0" w:color="auto"/>
      </w:divBdr>
    </w:div>
    <w:div w:id="386034848">
      <w:bodyDiv w:val="1"/>
      <w:marLeft w:val="0"/>
      <w:marRight w:val="0"/>
      <w:marTop w:val="0"/>
      <w:marBottom w:val="0"/>
      <w:divBdr>
        <w:top w:val="none" w:sz="0" w:space="0" w:color="auto"/>
        <w:left w:val="none" w:sz="0" w:space="0" w:color="auto"/>
        <w:bottom w:val="none" w:sz="0" w:space="0" w:color="auto"/>
        <w:right w:val="none" w:sz="0" w:space="0" w:color="auto"/>
      </w:divBdr>
    </w:div>
    <w:div w:id="430857251">
      <w:bodyDiv w:val="1"/>
      <w:marLeft w:val="0"/>
      <w:marRight w:val="0"/>
      <w:marTop w:val="0"/>
      <w:marBottom w:val="0"/>
      <w:divBdr>
        <w:top w:val="none" w:sz="0" w:space="0" w:color="auto"/>
        <w:left w:val="none" w:sz="0" w:space="0" w:color="auto"/>
        <w:bottom w:val="none" w:sz="0" w:space="0" w:color="auto"/>
        <w:right w:val="none" w:sz="0" w:space="0" w:color="auto"/>
      </w:divBdr>
    </w:div>
    <w:div w:id="444203914">
      <w:bodyDiv w:val="1"/>
      <w:marLeft w:val="0"/>
      <w:marRight w:val="0"/>
      <w:marTop w:val="0"/>
      <w:marBottom w:val="0"/>
      <w:divBdr>
        <w:top w:val="none" w:sz="0" w:space="0" w:color="auto"/>
        <w:left w:val="none" w:sz="0" w:space="0" w:color="auto"/>
        <w:bottom w:val="none" w:sz="0" w:space="0" w:color="auto"/>
        <w:right w:val="none" w:sz="0" w:space="0" w:color="auto"/>
      </w:divBdr>
    </w:div>
    <w:div w:id="515315731">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32772333">
      <w:bodyDiv w:val="1"/>
      <w:marLeft w:val="0"/>
      <w:marRight w:val="0"/>
      <w:marTop w:val="0"/>
      <w:marBottom w:val="0"/>
      <w:divBdr>
        <w:top w:val="none" w:sz="0" w:space="0" w:color="auto"/>
        <w:left w:val="none" w:sz="0" w:space="0" w:color="auto"/>
        <w:bottom w:val="none" w:sz="0" w:space="0" w:color="auto"/>
        <w:right w:val="none" w:sz="0" w:space="0" w:color="auto"/>
      </w:divBdr>
    </w:div>
    <w:div w:id="638263629">
      <w:bodyDiv w:val="1"/>
      <w:marLeft w:val="0"/>
      <w:marRight w:val="0"/>
      <w:marTop w:val="0"/>
      <w:marBottom w:val="0"/>
      <w:divBdr>
        <w:top w:val="none" w:sz="0" w:space="0" w:color="auto"/>
        <w:left w:val="none" w:sz="0" w:space="0" w:color="auto"/>
        <w:bottom w:val="none" w:sz="0" w:space="0" w:color="auto"/>
        <w:right w:val="none" w:sz="0" w:space="0" w:color="auto"/>
      </w:divBdr>
    </w:div>
    <w:div w:id="805858170">
      <w:bodyDiv w:val="1"/>
      <w:marLeft w:val="0"/>
      <w:marRight w:val="0"/>
      <w:marTop w:val="0"/>
      <w:marBottom w:val="0"/>
      <w:divBdr>
        <w:top w:val="none" w:sz="0" w:space="0" w:color="auto"/>
        <w:left w:val="none" w:sz="0" w:space="0" w:color="auto"/>
        <w:bottom w:val="none" w:sz="0" w:space="0" w:color="auto"/>
        <w:right w:val="none" w:sz="0" w:space="0" w:color="auto"/>
      </w:divBdr>
    </w:div>
    <w:div w:id="847334917">
      <w:bodyDiv w:val="1"/>
      <w:marLeft w:val="0"/>
      <w:marRight w:val="0"/>
      <w:marTop w:val="0"/>
      <w:marBottom w:val="0"/>
      <w:divBdr>
        <w:top w:val="none" w:sz="0" w:space="0" w:color="auto"/>
        <w:left w:val="none" w:sz="0" w:space="0" w:color="auto"/>
        <w:bottom w:val="none" w:sz="0" w:space="0" w:color="auto"/>
        <w:right w:val="none" w:sz="0" w:space="0" w:color="auto"/>
      </w:divBdr>
    </w:div>
    <w:div w:id="930964860">
      <w:bodyDiv w:val="1"/>
      <w:marLeft w:val="0"/>
      <w:marRight w:val="0"/>
      <w:marTop w:val="0"/>
      <w:marBottom w:val="0"/>
      <w:divBdr>
        <w:top w:val="none" w:sz="0" w:space="0" w:color="auto"/>
        <w:left w:val="none" w:sz="0" w:space="0" w:color="auto"/>
        <w:bottom w:val="none" w:sz="0" w:space="0" w:color="auto"/>
        <w:right w:val="none" w:sz="0" w:space="0" w:color="auto"/>
      </w:divBdr>
    </w:div>
    <w:div w:id="944119509">
      <w:bodyDiv w:val="1"/>
      <w:marLeft w:val="0"/>
      <w:marRight w:val="0"/>
      <w:marTop w:val="0"/>
      <w:marBottom w:val="0"/>
      <w:divBdr>
        <w:top w:val="none" w:sz="0" w:space="0" w:color="auto"/>
        <w:left w:val="none" w:sz="0" w:space="0" w:color="auto"/>
        <w:bottom w:val="none" w:sz="0" w:space="0" w:color="auto"/>
        <w:right w:val="none" w:sz="0" w:space="0" w:color="auto"/>
      </w:divBdr>
    </w:div>
    <w:div w:id="1266306003">
      <w:bodyDiv w:val="1"/>
      <w:marLeft w:val="0"/>
      <w:marRight w:val="0"/>
      <w:marTop w:val="0"/>
      <w:marBottom w:val="0"/>
      <w:divBdr>
        <w:top w:val="none" w:sz="0" w:space="0" w:color="auto"/>
        <w:left w:val="none" w:sz="0" w:space="0" w:color="auto"/>
        <w:bottom w:val="none" w:sz="0" w:space="0" w:color="auto"/>
        <w:right w:val="none" w:sz="0" w:space="0" w:color="auto"/>
      </w:divBdr>
    </w:div>
    <w:div w:id="1283923425">
      <w:bodyDiv w:val="1"/>
      <w:marLeft w:val="0"/>
      <w:marRight w:val="0"/>
      <w:marTop w:val="0"/>
      <w:marBottom w:val="0"/>
      <w:divBdr>
        <w:top w:val="none" w:sz="0" w:space="0" w:color="auto"/>
        <w:left w:val="none" w:sz="0" w:space="0" w:color="auto"/>
        <w:bottom w:val="none" w:sz="0" w:space="0" w:color="auto"/>
        <w:right w:val="none" w:sz="0" w:space="0" w:color="auto"/>
      </w:divBdr>
    </w:div>
    <w:div w:id="1290867081">
      <w:bodyDiv w:val="1"/>
      <w:marLeft w:val="0"/>
      <w:marRight w:val="0"/>
      <w:marTop w:val="0"/>
      <w:marBottom w:val="0"/>
      <w:divBdr>
        <w:top w:val="none" w:sz="0" w:space="0" w:color="auto"/>
        <w:left w:val="none" w:sz="0" w:space="0" w:color="auto"/>
        <w:bottom w:val="none" w:sz="0" w:space="0" w:color="auto"/>
        <w:right w:val="none" w:sz="0" w:space="0" w:color="auto"/>
      </w:divBdr>
    </w:div>
    <w:div w:id="1314482984">
      <w:bodyDiv w:val="1"/>
      <w:marLeft w:val="0"/>
      <w:marRight w:val="0"/>
      <w:marTop w:val="0"/>
      <w:marBottom w:val="0"/>
      <w:divBdr>
        <w:top w:val="none" w:sz="0" w:space="0" w:color="auto"/>
        <w:left w:val="none" w:sz="0" w:space="0" w:color="auto"/>
        <w:bottom w:val="none" w:sz="0" w:space="0" w:color="auto"/>
        <w:right w:val="none" w:sz="0" w:space="0" w:color="auto"/>
      </w:divBdr>
    </w:div>
    <w:div w:id="1328679456">
      <w:bodyDiv w:val="1"/>
      <w:marLeft w:val="0"/>
      <w:marRight w:val="0"/>
      <w:marTop w:val="0"/>
      <w:marBottom w:val="0"/>
      <w:divBdr>
        <w:top w:val="none" w:sz="0" w:space="0" w:color="auto"/>
        <w:left w:val="none" w:sz="0" w:space="0" w:color="auto"/>
        <w:bottom w:val="none" w:sz="0" w:space="0" w:color="auto"/>
        <w:right w:val="none" w:sz="0" w:space="0" w:color="auto"/>
      </w:divBdr>
    </w:div>
    <w:div w:id="1397363245">
      <w:bodyDiv w:val="1"/>
      <w:marLeft w:val="0"/>
      <w:marRight w:val="0"/>
      <w:marTop w:val="0"/>
      <w:marBottom w:val="0"/>
      <w:divBdr>
        <w:top w:val="none" w:sz="0" w:space="0" w:color="auto"/>
        <w:left w:val="none" w:sz="0" w:space="0" w:color="auto"/>
        <w:bottom w:val="none" w:sz="0" w:space="0" w:color="auto"/>
        <w:right w:val="none" w:sz="0" w:space="0" w:color="auto"/>
      </w:divBdr>
    </w:div>
    <w:div w:id="1408645829">
      <w:bodyDiv w:val="1"/>
      <w:marLeft w:val="0"/>
      <w:marRight w:val="0"/>
      <w:marTop w:val="0"/>
      <w:marBottom w:val="0"/>
      <w:divBdr>
        <w:top w:val="none" w:sz="0" w:space="0" w:color="auto"/>
        <w:left w:val="none" w:sz="0" w:space="0" w:color="auto"/>
        <w:bottom w:val="none" w:sz="0" w:space="0" w:color="auto"/>
        <w:right w:val="none" w:sz="0" w:space="0" w:color="auto"/>
      </w:divBdr>
    </w:div>
    <w:div w:id="1418986511">
      <w:bodyDiv w:val="1"/>
      <w:marLeft w:val="0"/>
      <w:marRight w:val="0"/>
      <w:marTop w:val="0"/>
      <w:marBottom w:val="0"/>
      <w:divBdr>
        <w:top w:val="none" w:sz="0" w:space="0" w:color="auto"/>
        <w:left w:val="none" w:sz="0" w:space="0" w:color="auto"/>
        <w:bottom w:val="none" w:sz="0" w:space="0" w:color="auto"/>
        <w:right w:val="none" w:sz="0" w:space="0" w:color="auto"/>
      </w:divBdr>
    </w:div>
    <w:div w:id="1450390292">
      <w:bodyDiv w:val="1"/>
      <w:marLeft w:val="0"/>
      <w:marRight w:val="0"/>
      <w:marTop w:val="0"/>
      <w:marBottom w:val="0"/>
      <w:divBdr>
        <w:top w:val="none" w:sz="0" w:space="0" w:color="auto"/>
        <w:left w:val="none" w:sz="0" w:space="0" w:color="auto"/>
        <w:bottom w:val="none" w:sz="0" w:space="0" w:color="auto"/>
        <w:right w:val="none" w:sz="0" w:space="0" w:color="auto"/>
      </w:divBdr>
    </w:div>
    <w:div w:id="1459107054">
      <w:bodyDiv w:val="1"/>
      <w:marLeft w:val="0"/>
      <w:marRight w:val="0"/>
      <w:marTop w:val="0"/>
      <w:marBottom w:val="0"/>
      <w:divBdr>
        <w:top w:val="none" w:sz="0" w:space="0" w:color="auto"/>
        <w:left w:val="none" w:sz="0" w:space="0" w:color="auto"/>
        <w:bottom w:val="none" w:sz="0" w:space="0" w:color="auto"/>
        <w:right w:val="none" w:sz="0" w:space="0" w:color="auto"/>
      </w:divBdr>
    </w:div>
    <w:div w:id="1488666766">
      <w:bodyDiv w:val="1"/>
      <w:marLeft w:val="0"/>
      <w:marRight w:val="0"/>
      <w:marTop w:val="0"/>
      <w:marBottom w:val="0"/>
      <w:divBdr>
        <w:top w:val="none" w:sz="0" w:space="0" w:color="auto"/>
        <w:left w:val="none" w:sz="0" w:space="0" w:color="auto"/>
        <w:bottom w:val="none" w:sz="0" w:space="0" w:color="auto"/>
        <w:right w:val="none" w:sz="0" w:space="0" w:color="auto"/>
      </w:divBdr>
    </w:div>
    <w:div w:id="1491948640">
      <w:bodyDiv w:val="1"/>
      <w:marLeft w:val="0"/>
      <w:marRight w:val="0"/>
      <w:marTop w:val="0"/>
      <w:marBottom w:val="0"/>
      <w:divBdr>
        <w:top w:val="none" w:sz="0" w:space="0" w:color="auto"/>
        <w:left w:val="none" w:sz="0" w:space="0" w:color="auto"/>
        <w:bottom w:val="none" w:sz="0" w:space="0" w:color="auto"/>
        <w:right w:val="none" w:sz="0" w:space="0" w:color="auto"/>
      </w:divBdr>
    </w:div>
    <w:div w:id="1505316998">
      <w:bodyDiv w:val="1"/>
      <w:marLeft w:val="0"/>
      <w:marRight w:val="0"/>
      <w:marTop w:val="0"/>
      <w:marBottom w:val="0"/>
      <w:divBdr>
        <w:top w:val="none" w:sz="0" w:space="0" w:color="auto"/>
        <w:left w:val="none" w:sz="0" w:space="0" w:color="auto"/>
        <w:bottom w:val="none" w:sz="0" w:space="0" w:color="auto"/>
        <w:right w:val="none" w:sz="0" w:space="0" w:color="auto"/>
      </w:divBdr>
    </w:div>
    <w:div w:id="1522549036">
      <w:bodyDiv w:val="1"/>
      <w:marLeft w:val="0"/>
      <w:marRight w:val="0"/>
      <w:marTop w:val="0"/>
      <w:marBottom w:val="0"/>
      <w:divBdr>
        <w:top w:val="none" w:sz="0" w:space="0" w:color="auto"/>
        <w:left w:val="none" w:sz="0" w:space="0" w:color="auto"/>
        <w:bottom w:val="none" w:sz="0" w:space="0" w:color="auto"/>
        <w:right w:val="none" w:sz="0" w:space="0" w:color="auto"/>
      </w:divBdr>
    </w:div>
    <w:div w:id="1524199381">
      <w:bodyDiv w:val="1"/>
      <w:marLeft w:val="0"/>
      <w:marRight w:val="0"/>
      <w:marTop w:val="0"/>
      <w:marBottom w:val="0"/>
      <w:divBdr>
        <w:top w:val="none" w:sz="0" w:space="0" w:color="auto"/>
        <w:left w:val="none" w:sz="0" w:space="0" w:color="auto"/>
        <w:bottom w:val="none" w:sz="0" w:space="0" w:color="auto"/>
        <w:right w:val="none" w:sz="0" w:space="0" w:color="auto"/>
      </w:divBdr>
    </w:div>
    <w:div w:id="1590308080">
      <w:bodyDiv w:val="1"/>
      <w:marLeft w:val="0"/>
      <w:marRight w:val="0"/>
      <w:marTop w:val="0"/>
      <w:marBottom w:val="0"/>
      <w:divBdr>
        <w:top w:val="none" w:sz="0" w:space="0" w:color="auto"/>
        <w:left w:val="none" w:sz="0" w:space="0" w:color="auto"/>
        <w:bottom w:val="none" w:sz="0" w:space="0" w:color="auto"/>
        <w:right w:val="none" w:sz="0" w:space="0" w:color="auto"/>
      </w:divBdr>
    </w:div>
    <w:div w:id="1665933998">
      <w:bodyDiv w:val="1"/>
      <w:marLeft w:val="0"/>
      <w:marRight w:val="0"/>
      <w:marTop w:val="0"/>
      <w:marBottom w:val="0"/>
      <w:divBdr>
        <w:top w:val="none" w:sz="0" w:space="0" w:color="auto"/>
        <w:left w:val="none" w:sz="0" w:space="0" w:color="auto"/>
        <w:bottom w:val="none" w:sz="0" w:space="0" w:color="auto"/>
        <w:right w:val="none" w:sz="0" w:space="0" w:color="auto"/>
      </w:divBdr>
    </w:div>
    <w:div w:id="1789158609">
      <w:bodyDiv w:val="1"/>
      <w:marLeft w:val="0"/>
      <w:marRight w:val="0"/>
      <w:marTop w:val="0"/>
      <w:marBottom w:val="0"/>
      <w:divBdr>
        <w:top w:val="none" w:sz="0" w:space="0" w:color="auto"/>
        <w:left w:val="none" w:sz="0" w:space="0" w:color="auto"/>
        <w:bottom w:val="none" w:sz="0" w:space="0" w:color="auto"/>
        <w:right w:val="none" w:sz="0" w:space="0" w:color="auto"/>
      </w:divBdr>
    </w:div>
    <w:div w:id="1790050462">
      <w:bodyDiv w:val="1"/>
      <w:marLeft w:val="0"/>
      <w:marRight w:val="0"/>
      <w:marTop w:val="0"/>
      <w:marBottom w:val="0"/>
      <w:divBdr>
        <w:top w:val="none" w:sz="0" w:space="0" w:color="auto"/>
        <w:left w:val="none" w:sz="0" w:space="0" w:color="auto"/>
        <w:bottom w:val="none" w:sz="0" w:space="0" w:color="auto"/>
        <w:right w:val="none" w:sz="0" w:space="0" w:color="auto"/>
      </w:divBdr>
    </w:div>
    <w:div w:id="1801650607">
      <w:bodyDiv w:val="1"/>
      <w:marLeft w:val="0"/>
      <w:marRight w:val="0"/>
      <w:marTop w:val="0"/>
      <w:marBottom w:val="0"/>
      <w:divBdr>
        <w:top w:val="none" w:sz="0" w:space="0" w:color="auto"/>
        <w:left w:val="none" w:sz="0" w:space="0" w:color="auto"/>
        <w:bottom w:val="none" w:sz="0" w:space="0" w:color="auto"/>
        <w:right w:val="none" w:sz="0" w:space="0" w:color="auto"/>
      </w:divBdr>
    </w:div>
    <w:div w:id="1828134807">
      <w:bodyDiv w:val="1"/>
      <w:marLeft w:val="0"/>
      <w:marRight w:val="0"/>
      <w:marTop w:val="0"/>
      <w:marBottom w:val="0"/>
      <w:divBdr>
        <w:top w:val="none" w:sz="0" w:space="0" w:color="auto"/>
        <w:left w:val="none" w:sz="0" w:space="0" w:color="auto"/>
        <w:bottom w:val="none" w:sz="0" w:space="0" w:color="auto"/>
        <w:right w:val="none" w:sz="0" w:space="0" w:color="auto"/>
      </w:divBdr>
    </w:div>
    <w:div w:id="1894344767">
      <w:bodyDiv w:val="1"/>
      <w:marLeft w:val="0"/>
      <w:marRight w:val="0"/>
      <w:marTop w:val="0"/>
      <w:marBottom w:val="0"/>
      <w:divBdr>
        <w:top w:val="none" w:sz="0" w:space="0" w:color="auto"/>
        <w:left w:val="none" w:sz="0" w:space="0" w:color="auto"/>
        <w:bottom w:val="none" w:sz="0" w:space="0" w:color="auto"/>
        <w:right w:val="none" w:sz="0" w:space="0" w:color="auto"/>
      </w:divBdr>
    </w:div>
    <w:div w:id="1954705153">
      <w:bodyDiv w:val="1"/>
      <w:marLeft w:val="0"/>
      <w:marRight w:val="0"/>
      <w:marTop w:val="0"/>
      <w:marBottom w:val="0"/>
      <w:divBdr>
        <w:top w:val="none" w:sz="0" w:space="0" w:color="auto"/>
        <w:left w:val="none" w:sz="0" w:space="0" w:color="auto"/>
        <w:bottom w:val="none" w:sz="0" w:space="0" w:color="auto"/>
        <w:right w:val="none" w:sz="0" w:space="0" w:color="auto"/>
      </w:divBdr>
    </w:div>
    <w:div w:id="1955749730">
      <w:bodyDiv w:val="1"/>
      <w:marLeft w:val="0"/>
      <w:marRight w:val="0"/>
      <w:marTop w:val="0"/>
      <w:marBottom w:val="0"/>
      <w:divBdr>
        <w:top w:val="none" w:sz="0" w:space="0" w:color="auto"/>
        <w:left w:val="none" w:sz="0" w:space="0" w:color="auto"/>
        <w:bottom w:val="none" w:sz="0" w:space="0" w:color="auto"/>
        <w:right w:val="none" w:sz="0" w:space="0" w:color="auto"/>
      </w:divBdr>
    </w:div>
    <w:div w:id="1982883194">
      <w:bodyDiv w:val="1"/>
      <w:marLeft w:val="0"/>
      <w:marRight w:val="0"/>
      <w:marTop w:val="0"/>
      <w:marBottom w:val="0"/>
      <w:divBdr>
        <w:top w:val="none" w:sz="0" w:space="0" w:color="auto"/>
        <w:left w:val="none" w:sz="0" w:space="0" w:color="auto"/>
        <w:bottom w:val="none" w:sz="0" w:space="0" w:color="auto"/>
        <w:right w:val="none" w:sz="0" w:space="0" w:color="auto"/>
      </w:divBdr>
    </w:div>
    <w:div w:id="2087878067">
      <w:bodyDiv w:val="1"/>
      <w:marLeft w:val="0"/>
      <w:marRight w:val="0"/>
      <w:marTop w:val="0"/>
      <w:marBottom w:val="0"/>
      <w:divBdr>
        <w:top w:val="none" w:sz="0" w:space="0" w:color="auto"/>
        <w:left w:val="none" w:sz="0" w:space="0" w:color="auto"/>
        <w:bottom w:val="none" w:sz="0" w:space="0" w:color="auto"/>
        <w:right w:val="none" w:sz="0" w:space="0" w:color="auto"/>
      </w:divBdr>
    </w:div>
    <w:div w:id="21333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c4f59b79303d18c968b6dd5a4da34f49">
  <xsd:schema xmlns:xsd="http://www.w3.org/2001/XMLSchema" xmlns:xs="http://www.w3.org/2001/XMLSchema" xmlns:p="http://schemas.microsoft.com/office/2006/metadata/properties" xmlns:ns1="http://schemas.microsoft.com/sharepoint/v3" targetNamespace="http://schemas.microsoft.com/office/2006/metadata/properties" ma:root="true" ma:fieldsID="411b4437d7e41913fd45395c41a890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F4EB6-32E7-4F12-98E5-226F47990467}"/>
</file>

<file path=customXml/itemProps2.xml><?xml version="1.0" encoding="utf-8"?>
<ds:datastoreItem xmlns:ds="http://schemas.openxmlformats.org/officeDocument/2006/customXml" ds:itemID="{17A7ED79-7496-4612-892B-5FEB63B7DD16}"/>
</file>

<file path=customXml/itemProps3.xml><?xml version="1.0" encoding="utf-8"?>
<ds:datastoreItem xmlns:ds="http://schemas.openxmlformats.org/officeDocument/2006/customXml" ds:itemID="{BF42FB80-7BAB-43F8-80F1-C4560CE48188}"/>
</file>

<file path=customXml/itemProps4.xml><?xml version="1.0" encoding="utf-8"?>
<ds:datastoreItem xmlns:ds="http://schemas.openxmlformats.org/officeDocument/2006/customXml" ds:itemID="{46810058-65B7-4674-B498-D2794E19C57D}"/>
</file>

<file path=docProps/app.xml><?xml version="1.0" encoding="utf-8"?>
<Properties xmlns="http://schemas.openxmlformats.org/officeDocument/2006/extended-properties" xmlns:vt="http://schemas.openxmlformats.org/officeDocument/2006/docPropsVTypes">
  <Template>Normal.dotm</Template>
  <TotalTime>25</TotalTime>
  <Pages>25</Pages>
  <Words>7059</Words>
  <Characters>38121</Characters>
  <Application>Microsoft Office Word</Application>
  <DocSecurity>0</DocSecurity>
  <Lines>317</Lines>
  <Paragraphs>90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ΑΓΓΕΛΟΠΟΥΛΟΥ ΠΗΝΕΛΟΠΗ</cp:lastModifiedBy>
  <cp:revision>4</cp:revision>
  <cp:lastPrinted>2017-09-05T13:57:00Z</cp:lastPrinted>
  <dcterms:created xsi:type="dcterms:W3CDTF">2017-09-12T11:23:00Z</dcterms:created>
  <dcterms:modified xsi:type="dcterms:W3CDTF">2017-09-22T05:10:00Z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