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7.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style3.xml" ContentType="application/vnd.ms-office.chartstyle+xml"/>
  <Override PartName="/word/charts/style6.xml" ContentType="application/vnd.ms-office.chartstyle+xml"/>
  <Override PartName="/word/charts/colors5.xml" ContentType="application/vnd.ms-office.chartcolorstyle+xml"/>
  <Override PartName="/word/charts/chart4.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style5.xml" ContentType="application/vnd.ms-office.chartstyle+xml"/>
  <Override PartName="/word/charts/colors4.xml" ContentType="application/vnd.ms-office.chartcolorstyl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1591315" w:displacedByCustomXml="next"/>
    <w:sdt>
      <w:sdtPr>
        <w:rPr>
          <w:b/>
          <w:bCs/>
        </w:rPr>
        <w:id w:val="233895141"/>
        <w:docPartObj>
          <w:docPartGallery w:val="Cover Pages"/>
          <w:docPartUnique/>
        </w:docPartObj>
      </w:sdtPr>
      <w:sdtEndPr>
        <w:rPr>
          <w:b w:val="0"/>
          <w:bCs w:val="0"/>
          <w:sz w:val="12"/>
        </w:rPr>
      </w:sdtEndPr>
      <w:sdtContent>
        <w:p w14:paraId="0AA76A9A" w14:textId="77777777" w:rsidR="0048335B" w:rsidRPr="0029055C" w:rsidRDefault="0048335B">
          <w:pPr>
            <w:spacing w:before="0" w:after="200" w:line="276" w:lineRule="auto"/>
            <w:jc w:val="left"/>
            <w:rPr>
              <w:b/>
              <w:bCs/>
            </w:rPr>
          </w:pPr>
        </w:p>
        <w:p w14:paraId="53B14A18" w14:textId="77777777" w:rsidR="00015521" w:rsidRPr="0029055C" w:rsidRDefault="00015521" w:rsidP="002D248A">
          <w:pPr>
            <w:ind w:hanging="567"/>
            <w:jc w:val="left"/>
          </w:pPr>
          <w:r w:rsidRPr="0029055C">
            <w:t xml:space="preserve"> </w:t>
          </w:r>
          <w:r w:rsidR="00437B19" w:rsidRPr="0029055C">
            <w:rPr>
              <w:noProof/>
            </w:rPr>
            <w:drawing>
              <wp:inline distT="0" distB="0" distL="0" distR="0" wp14:anchorId="5265D159" wp14:editId="271D35E6">
                <wp:extent cx="2340814" cy="1214096"/>
                <wp:effectExtent l="0" t="0" r="2540" b="5715"/>
                <wp:docPr id="10" name="Picture 10"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9">
                          <a:extLst>
                            <a:ext uri="{28A0092B-C50C-407E-A947-70E740481C1C}">
                              <a14:useLocalDpi xmlns:a14="http://schemas.microsoft.com/office/drawing/2010/main" val="0"/>
                            </a:ext>
                          </a:extLst>
                        </a:blip>
                        <a:srcRect l="35878" t="14750" r="33382" b="25445"/>
                        <a:stretch/>
                      </pic:blipFill>
                      <pic:spPr bwMode="auto">
                        <a:xfrm>
                          <a:off x="0" y="0"/>
                          <a:ext cx="2360376" cy="1224242"/>
                        </a:xfrm>
                        <a:prstGeom prst="rect">
                          <a:avLst/>
                        </a:prstGeom>
                        <a:noFill/>
                        <a:ln>
                          <a:noFill/>
                        </a:ln>
                        <a:extLst>
                          <a:ext uri="{53640926-AAD7-44D8-BBD7-CCE9431645EC}">
                            <a14:shadowObscured xmlns:a14="http://schemas.microsoft.com/office/drawing/2010/main"/>
                          </a:ext>
                        </a:extLst>
                      </pic:spPr>
                    </pic:pic>
                  </a:graphicData>
                </a:graphic>
              </wp:inline>
            </w:drawing>
          </w:r>
        </w:p>
        <w:p w14:paraId="537464BE" w14:textId="77777777" w:rsidR="00015521" w:rsidRPr="0029055C" w:rsidRDefault="00015521"/>
        <w:p w14:paraId="3349A7B0" w14:textId="77777777" w:rsidR="0048335B" w:rsidRPr="0029055C" w:rsidRDefault="0048335B"/>
        <w:p w14:paraId="2BB2DC89" w14:textId="77777777" w:rsidR="004120C8" w:rsidRPr="0029055C" w:rsidRDefault="004120C8"/>
        <w:p w14:paraId="07C34632" w14:textId="77777777" w:rsidR="004120C8" w:rsidRPr="0029055C" w:rsidRDefault="004120C8"/>
        <w:p w14:paraId="69689825" w14:textId="77777777" w:rsidR="00391067" w:rsidRPr="0029055C" w:rsidRDefault="00391067" w:rsidP="00865701">
          <w:pPr>
            <w:spacing w:before="0" w:after="200" w:line="276" w:lineRule="auto"/>
            <w:ind w:hanging="993"/>
            <w:jc w:val="left"/>
          </w:pPr>
        </w:p>
        <w:p w14:paraId="6CA1B52E" w14:textId="77777777" w:rsidR="005843A7" w:rsidRPr="0029055C" w:rsidRDefault="00865701" w:rsidP="00865701">
          <w:pPr>
            <w:spacing w:before="0" w:after="200" w:line="276" w:lineRule="auto"/>
            <w:ind w:hanging="993"/>
            <w:jc w:val="left"/>
          </w:pPr>
          <w:r w:rsidRPr="0029055C">
            <w:t xml:space="preserve">  </w:t>
          </w:r>
        </w:p>
        <w:p w14:paraId="12B09B94" w14:textId="77777777" w:rsidR="004120C8" w:rsidRPr="0029055C" w:rsidRDefault="004120C8" w:rsidP="00865701">
          <w:pPr>
            <w:spacing w:before="0" w:after="200" w:line="276" w:lineRule="auto"/>
            <w:ind w:hanging="993"/>
            <w:jc w:val="left"/>
          </w:pPr>
        </w:p>
        <w:p w14:paraId="1C4D259B" w14:textId="77777777" w:rsidR="004120C8" w:rsidRPr="0029055C" w:rsidRDefault="004120C8" w:rsidP="004120C8"/>
        <w:p w14:paraId="56A85E8F" w14:textId="77777777" w:rsidR="004120C8" w:rsidRPr="0029055C" w:rsidRDefault="00E12B5B" w:rsidP="004120C8">
          <w:r w:rsidRPr="0029055C">
            <w:rPr>
              <w:noProof/>
            </w:rPr>
            <mc:AlternateContent>
              <mc:Choice Requires="wps">
                <w:drawing>
                  <wp:anchor distT="0" distB="0" distL="114300" distR="114300" simplePos="0" relativeHeight="251652608" behindDoc="0" locked="0" layoutInCell="1" allowOverlap="1" wp14:anchorId="26A987FB" wp14:editId="50D27057">
                    <wp:simplePos x="0" y="0"/>
                    <wp:positionH relativeFrom="column">
                      <wp:posOffset>-963930</wp:posOffset>
                    </wp:positionH>
                    <wp:positionV relativeFrom="paragraph">
                      <wp:posOffset>124764</wp:posOffset>
                    </wp:positionV>
                    <wp:extent cx="7593495" cy="1293386"/>
                    <wp:effectExtent l="38100" t="95250" r="83820" b="21590"/>
                    <wp:wrapNone/>
                    <wp:docPr id="21" name="Text Box 21"/>
                    <wp:cNvGraphicFramePr/>
                    <a:graphic xmlns:a="http://schemas.openxmlformats.org/drawingml/2006/main">
                      <a:graphicData uri="http://schemas.microsoft.com/office/word/2010/wordprocessingShape">
                        <wps:wsp>
                          <wps:cNvSpPr txBox="1"/>
                          <wps:spPr>
                            <a:xfrm>
                              <a:off x="0" y="0"/>
                              <a:ext cx="7593495" cy="1293386"/>
                            </a:xfrm>
                            <a:prstGeom prst="rect">
                              <a:avLst/>
                            </a:prstGeom>
                            <a:solidFill>
                              <a:schemeClr val="accent5">
                                <a:lumMod val="50000"/>
                              </a:schemeClr>
                            </a:solidFill>
                            <a:ln w="6350">
                              <a:noFill/>
                            </a:ln>
                            <a:effectLst>
                              <a:outerShdw blurRad="50800" dist="38100" dir="17400000" rotWithShape="0">
                                <a:prstClr val="black">
                                  <a:alpha val="40000"/>
                                </a:prstClr>
                              </a:outerShdw>
                            </a:effectLst>
                          </wps:spPr>
                          <wps:style>
                            <a:lnRef idx="0">
                              <a:schemeClr val="accent1"/>
                            </a:lnRef>
                            <a:fillRef idx="1003">
                              <a:schemeClr val="lt2"/>
                            </a:fillRef>
                            <a:effectRef idx="0">
                              <a:schemeClr val="accent1"/>
                            </a:effectRef>
                            <a:fontRef idx="minor">
                              <a:schemeClr val="dk1"/>
                            </a:fontRef>
                          </wps:style>
                          <wps:txbx>
                            <w:txbxContent>
                              <w:p w14:paraId="38EF4C0B" w14:textId="77777777" w:rsidR="00292BCA" w:rsidRPr="00D77DC5" w:rsidRDefault="00292BCA" w:rsidP="00E12B5B">
                                <w:pPr>
                                  <w:tabs>
                                    <w:tab w:val="left" w:pos="10206"/>
                                  </w:tabs>
                                  <w:spacing w:before="0" w:after="0" w:line="240" w:lineRule="auto"/>
                                  <w:ind w:left="3119" w:right="417" w:firstLine="283"/>
                                  <w:jc w:val="right"/>
                                  <w:rPr>
                                    <w:color w:val="FFFFFF" w:themeColor="background1"/>
                                  </w:rPr>
                                </w:pPr>
                                <w:r w:rsidRPr="00D77DC5">
                                  <w:rPr>
                                    <w:b/>
                                    <w:bCs/>
                                    <w:color w:val="FFFFFF" w:themeColor="background1"/>
                                    <w:sz w:val="32"/>
                                  </w:rPr>
                                  <w:t>ΕΝΔΙΑΜΕΣΗ ΑΞΙΟΛΟΓΗΣΗ ΤΟΥ</w:t>
                                </w:r>
                                <w:r>
                                  <w:rPr>
                                    <w:b/>
                                    <w:bCs/>
                                    <w:color w:val="FFFFFF" w:themeColor="background1"/>
                                    <w:sz w:val="32"/>
                                  </w:rPr>
                                  <w:t xml:space="preserve"> </w:t>
                                </w:r>
                                <w:r w:rsidRPr="00D77DC5">
                                  <w:rPr>
                                    <w:b/>
                                    <w:bCs/>
                                    <w:color w:val="FFFFFF" w:themeColor="background1"/>
                                    <w:sz w:val="32"/>
                                  </w:rPr>
                                  <w:t>ΕΠΙΧΕΙΡΗΣΙΑΚΟΥ ΠΡΟΓΡΑΜΜΑΤΟΣ «ΜΕΤΑΡΡΥΘΜΙΣΗ ΔΗΜΟΣΙΟΥ ΤΟΜΕΑ» ΚΑΤΑ ΤΟ ΕΤΟΣ</w:t>
                                </w:r>
                                <w:r>
                                  <w:rPr>
                                    <w:b/>
                                    <w:bCs/>
                                    <w:color w:val="FFFFFF" w:themeColor="background1"/>
                                    <w:sz w:val="32"/>
                                  </w:rPr>
                                  <w:t xml:space="preserve"> </w:t>
                                </w:r>
                                <w:r w:rsidRPr="00D77DC5">
                                  <w:rPr>
                                    <w:b/>
                                    <w:bCs/>
                                    <w:color w:val="FFFFFF" w:themeColor="background1"/>
                                    <w:sz w:val="32"/>
                                  </w:rPr>
                                  <w:t>2018</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987FB" id="_x0000_t202" coordsize="21600,21600" o:spt="202" path="m,l,21600r21600,l21600,xe">
                    <v:stroke joinstyle="miter"/>
                    <v:path gradientshapeok="t" o:connecttype="rect"/>
                  </v:shapetype>
                  <v:shape id="Text Box 21" o:spid="_x0000_s1026" type="#_x0000_t202" style="position:absolute;left:0;text-align:left;margin-left:-75.9pt;margin-top:9.8pt;width:597.9pt;height:101.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" fillcolor="#205867 [1608]" stroked="f" strokeweight=".5pt">
                    <v:shadow on="t" color="black" opacity="26214f" origin=",.5" offset=".36197mm,-.9945mm"/>
                    <v:textbox inset="0,,0">
                      <w:txbxContent>
                        <w:p w14:paraId="38EF4C0B" w14:textId="77777777" w:rsidR="00292BCA" w:rsidRPr="00D77DC5" w:rsidRDefault="00292BCA" w:rsidP="00E12B5B">
                          <w:pPr>
                            <w:tabs>
                              <w:tab w:val="left" w:pos="10206"/>
                            </w:tabs>
                            <w:spacing w:before="0" w:after="0" w:line="240" w:lineRule="auto"/>
                            <w:ind w:left="3119" w:right="417" w:firstLine="283"/>
                            <w:jc w:val="right"/>
                            <w:rPr>
                              <w:color w:val="FFFFFF" w:themeColor="background1"/>
                            </w:rPr>
                          </w:pPr>
                          <w:r w:rsidRPr="00D77DC5">
                            <w:rPr>
                              <w:b/>
                              <w:bCs/>
                              <w:color w:val="FFFFFF" w:themeColor="background1"/>
                              <w:sz w:val="32"/>
                            </w:rPr>
                            <w:t>ΕΝΔΙΑΜΕΣΗ ΑΞΙΟΛΟΓΗΣΗ ΤΟΥ</w:t>
                          </w:r>
                          <w:r>
                            <w:rPr>
                              <w:b/>
                              <w:bCs/>
                              <w:color w:val="FFFFFF" w:themeColor="background1"/>
                              <w:sz w:val="32"/>
                            </w:rPr>
                            <w:t xml:space="preserve"> </w:t>
                          </w:r>
                          <w:r w:rsidRPr="00D77DC5">
                            <w:rPr>
                              <w:b/>
                              <w:bCs/>
                              <w:color w:val="FFFFFF" w:themeColor="background1"/>
                              <w:sz w:val="32"/>
                            </w:rPr>
                            <w:t>ΕΠΙΧΕΙΡΗΣΙΑΚΟΥ ΠΡΟΓΡΑΜΜΑΤΟΣ «ΜΕΤΑΡΡΥΘΜΙΣΗ ΔΗΜΟΣΙΟΥ ΤΟΜΕΑ» ΚΑΤΑ ΤΟ ΕΤΟΣ</w:t>
                          </w:r>
                          <w:r>
                            <w:rPr>
                              <w:b/>
                              <w:bCs/>
                              <w:color w:val="FFFFFF" w:themeColor="background1"/>
                              <w:sz w:val="32"/>
                            </w:rPr>
                            <w:t xml:space="preserve"> </w:t>
                          </w:r>
                          <w:r w:rsidRPr="00D77DC5">
                            <w:rPr>
                              <w:b/>
                              <w:bCs/>
                              <w:color w:val="FFFFFF" w:themeColor="background1"/>
                              <w:sz w:val="32"/>
                            </w:rPr>
                            <w:t>2018</w:t>
                          </w:r>
                        </w:p>
                      </w:txbxContent>
                    </v:textbox>
                  </v:shape>
                </w:pict>
              </mc:Fallback>
            </mc:AlternateContent>
          </w:r>
          <w:r w:rsidRPr="0029055C">
            <w:rPr>
              <w:noProof/>
            </w:rPr>
            <mc:AlternateContent>
              <mc:Choice Requires="wpg">
                <w:drawing>
                  <wp:anchor distT="0" distB="0" distL="114300" distR="114300" simplePos="0" relativeHeight="251661824" behindDoc="0" locked="0" layoutInCell="1" allowOverlap="1" wp14:anchorId="342C9060" wp14:editId="2CAB7364">
                    <wp:simplePos x="0" y="0"/>
                    <wp:positionH relativeFrom="column">
                      <wp:posOffset>234950</wp:posOffset>
                    </wp:positionH>
                    <wp:positionV relativeFrom="paragraph">
                      <wp:posOffset>148895</wp:posOffset>
                    </wp:positionV>
                    <wp:extent cx="529648" cy="529157"/>
                    <wp:effectExtent l="133350" t="95250" r="80010" b="99695"/>
                    <wp:wrapNone/>
                    <wp:docPr id="303" name="群組 39"/>
                    <wp:cNvGraphicFramePr/>
                    <a:graphic xmlns:a="http://schemas.openxmlformats.org/drawingml/2006/main">
                      <a:graphicData uri="http://schemas.microsoft.com/office/word/2010/wordprocessingGroup">
                        <wpg:wgp>
                          <wpg:cNvGrpSpPr/>
                          <wpg:grpSpPr bwMode="auto">
                            <a:xfrm rot="870263">
                              <a:off x="0" y="0"/>
                              <a:ext cx="529648" cy="529157"/>
                              <a:chOff x="6639981" y="0"/>
                              <a:chExt cx="4914293" cy="4911795"/>
                            </a:xfrm>
                            <a:effectLst>
                              <a:outerShdw blurRad="50800" dist="38100" dir="5400000" algn="t" rotWithShape="0">
                                <a:prstClr val="black">
                                  <a:alpha val="40000"/>
                                </a:prstClr>
                              </a:outerShdw>
                            </a:effectLst>
                          </wpg:grpSpPr>
                          <wps:wsp>
                            <wps:cNvPr id="304" name="橢圓 1"/>
                            <wps:cNvSpPr/>
                            <wps:spPr>
                              <a:xfrm>
                                <a:off x="6639981" y="0"/>
                                <a:ext cx="4914293" cy="4911795"/>
                              </a:xfrm>
                              <a:custGeom>
                                <a:avLst/>
                                <a:gdLst/>
                                <a:ahLst/>
                                <a:cxnLst/>
                                <a:rect l="l" t="t" r="r" b="b"/>
                                <a:pathLst>
                                  <a:path w="4914293" h="4911795">
                                    <a:moveTo>
                                      <a:pt x="2456688" y="1167235"/>
                                    </a:moveTo>
                                    <a:cubicBezTo>
                                      <a:pt x="1745648" y="1167235"/>
                                      <a:pt x="1169236" y="1743647"/>
                                      <a:pt x="1169236" y="2454687"/>
                                    </a:cubicBezTo>
                                    <a:cubicBezTo>
                                      <a:pt x="1169236" y="3165727"/>
                                      <a:pt x="1745648" y="3742139"/>
                                      <a:pt x="2456688" y="3742139"/>
                                    </a:cubicBezTo>
                                    <a:cubicBezTo>
                                      <a:pt x="3167728" y="3742139"/>
                                      <a:pt x="3744140" y="3165727"/>
                                      <a:pt x="3744140" y="2454687"/>
                                    </a:cubicBezTo>
                                    <a:cubicBezTo>
                                      <a:pt x="3744140" y="1743647"/>
                                      <a:pt x="3167728" y="1167235"/>
                                      <a:pt x="2456688" y="1167235"/>
                                    </a:cubicBezTo>
                                    <a:close/>
                                    <a:moveTo>
                                      <a:pt x="3167628" y="0"/>
                                    </a:moveTo>
                                    <a:cubicBezTo>
                                      <a:pt x="3353049" y="52479"/>
                                      <a:pt x="3529431" y="126594"/>
                                      <a:pt x="3694486" y="218670"/>
                                    </a:cubicBezTo>
                                    <a:cubicBezTo>
                                      <a:pt x="3615112" y="672656"/>
                                      <a:pt x="3456037" y="1104460"/>
                                      <a:pt x="3632630" y="1285594"/>
                                    </a:cubicBezTo>
                                    <a:cubicBezTo>
                                      <a:pt x="3813438" y="1461869"/>
                                      <a:pt x="4244015" y="1303683"/>
                                      <a:pt x="4697096" y="1224116"/>
                                    </a:cubicBezTo>
                                    <a:cubicBezTo>
                                      <a:pt x="4788754" y="1390027"/>
                                      <a:pt x="4862375" y="1567255"/>
                                      <a:pt x="4914293" y="1753483"/>
                                    </a:cubicBezTo>
                                    <a:cubicBezTo>
                                      <a:pt x="4538055" y="2016980"/>
                                      <a:pt x="4122921" y="2209400"/>
                                      <a:pt x="4119720" y="2461535"/>
                                    </a:cubicBezTo>
                                    <a:cubicBezTo>
                                      <a:pt x="4122910" y="2712791"/>
                                      <a:pt x="4535164" y="2904747"/>
                                      <a:pt x="4910418" y="3166743"/>
                                    </a:cubicBezTo>
                                    <a:cubicBezTo>
                                      <a:pt x="4856648" y="3353612"/>
                                      <a:pt x="4782088" y="3531656"/>
                                      <a:pt x="4688286" y="3697601"/>
                                    </a:cubicBezTo>
                                    <a:cubicBezTo>
                                      <a:pt x="4238463" y="3617356"/>
                                      <a:pt x="3812270" y="3462338"/>
                                      <a:pt x="3632629" y="3637474"/>
                                    </a:cubicBezTo>
                                    <a:cubicBezTo>
                                      <a:pt x="3457694" y="3816908"/>
                                      <a:pt x="3612155" y="4242328"/>
                                      <a:pt x="3692516" y="4691572"/>
                                    </a:cubicBezTo>
                                    <a:cubicBezTo>
                                      <a:pt x="3525599" y="4784614"/>
                                      <a:pt x="3347072" y="4859251"/>
                                      <a:pt x="3159353" y="4911795"/>
                                    </a:cubicBezTo>
                                    <a:cubicBezTo>
                                      <a:pt x="2898698" y="4537429"/>
                                      <a:pt x="2707158" y="4127744"/>
                                      <a:pt x="2456689" y="4124564"/>
                                    </a:cubicBezTo>
                                    <a:cubicBezTo>
                                      <a:pt x="2206405" y="4127742"/>
                                      <a:pt x="2014962" y="4536827"/>
                                      <a:pt x="1754621" y="4910984"/>
                                    </a:cubicBezTo>
                                    <a:cubicBezTo>
                                      <a:pt x="1566839" y="4857829"/>
                                      <a:pt x="1387892" y="4783697"/>
                                      <a:pt x="1221080" y="4690153"/>
                                    </a:cubicBezTo>
                                    <a:cubicBezTo>
                                      <a:pt x="1301548" y="4241436"/>
                                      <a:pt x="1455501" y="3816720"/>
                                      <a:pt x="1280749" y="3637474"/>
                                    </a:cubicBezTo>
                                    <a:cubicBezTo>
                                      <a:pt x="1100963" y="3462196"/>
                                      <a:pt x="674224" y="3617607"/>
                                      <a:pt x="223995" y="3697769"/>
                                    </a:cubicBezTo>
                                    <a:cubicBezTo>
                                      <a:pt x="130633" y="3531685"/>
                                      <a:pt x="55555" y="3354002"/>
                                      <a:pt x="2479" y="3167098"/>
                                    </a:cubicBezTo>
                                    <a:cubicBezTo>
                                      <a:pt x="377856" y="2904914"/>
                                      <a:pt x="790469" y="2712900"/>
                                      <a:pt x="793660" y="2461534"/>
                                    </a:cubicBezTo>
                                    <a:cubicBezTo>
                                      <a:pt x="790462" y="2209606"/>
                                      <a:pt x="376008" y="2017296"/>
                                      <a:pt x="0" y="1754152"/>
                                    </a:cubicBezTo>
                                    <a:cubicBezTo>
                                      <a:pt x="52619" y="1567796"/>
                                      <a:pt x="125894" y="1390131"/>
                                      <a:pt x="218426" y="1224445"/>
                                    </a:cubicBezTo>
                                    <a:cubicBezTo>
                                      <a:pt x="670716" y="1304180"/>
                                      <a:pt x="1100226" y="1461593"/>
                                      <a:pt x="1280750" y="1285594"/>
                                    </a:cubicBezTo>
                                    <a:cubicBezTo>
                                      <a:pt x="1457322" y="1104482"/>
                                      <a:pt x="1298306" y="672760"/>
                                      <a:pt x="1218919" y="218833"/>
                                    </a:cubicBezTo>
                                    <a:cubicBezTo>
                                      <a:pt x="1383938" y="126685"/>
                                      <a:pt x="1560322" y="52524"/>
                                      <a:pt x="1745766" y="19"/>
                                    </a:cubicBezTo>
                                    <a:cubicBezTo>
                                      <a:pt x="2010781" y="377241"/>
                                      <a:pt x="2203667" y="795292"/>
                                      <a:pt x="2456690" y="798504"/>
                                    </a:cubicBezTo>
                                    <a:cubicBezTo>
                                      <a:pt x="2709718" y="795292"/>
                                      <a:pt x="2902606" y="377227"/>
                                      <a:pt x="3167628" y="0"/>
                                    </a:cubicBezTo>
                                    <a:close/>
                                  </a:path>
                                </a:pathLst>
                              </a:custGeom>
                              <a:solidFill>
                                <a:schemeClr val="bg1">
                                  <a:lumMod val="85000"/>
                                </a:schemeClr>
                              </a:solidFill>
                              <a:ln>
                                <a:noFill/>
                              </a:ln>
                              <a:effectLst>
                                <a:outerShdw blurRad="50800" dist="38100" dir="10800000" algn="r" rotWithShape="0">
                                  <a:prstClr val="black">
                                    <a:alpha val="40000"/>
                                  </a:prstClr>
                                </a:outerShdw>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05" name="橢圓 17"/>
                            <wps:cNvSpPr/>
                            <wps:spPr>
                              <a:xfrm>
                                <a:off x="7809675" y="1168445"/>
                                <a:ext cx="2574904" cy="2574904"/>
                              </a:xfrm>
                              <a:custGeom>
                                <a:avLst/>
                                <a:gdLst/>
                                <a:ahLst/>
                                <a:cxnLst/>
                                <a:rect l="l" t="t" r="r" b="b"/>
                                <a:pathLst>
                                  <a:path w="2574904" h="2574904">
                                    <a:moveTo>
                                      <a:pt x="1286994" y="431147"/>
                                    </a:moveTo>
                                    <a:cubicBezTo>
                                      <a:pt x="814738" y="431147"/>
                                      <a:pt x="431899" y="813986"/>
                                      <a:pt x="431899" y="1286242"/>
                                    </a:cubicBezTo>
                                    <a:cubicBezTo>
                                      <a:pt x="431899" y="1758498"/>
                                      <a:pt x="814738" y="2141337"/>
                                      <a:pt x="1286994" y="2141337"/>
                                    </a:cubicBezTo>
                                    <a:cubicBezTo>
                                      <a:pt x="1759250" y="2141337"/>
                                      <a:pt x="2142089" y="1758498"/>
                                      <a:pt x="2142089" y="1286242"/>
                                    </a:cubicBezTo>
                                    <a:cubicBezTo>
                                      <a:pt x="2142089" y="813986"/>
                                      <a:pt x="1759250" y="431147"/>
                                      <a:pt x="1286994" y="431147"/>
                                    </a:cubicBezTo>
                                    <a:close/>
                                    <a:moveTo>
                                      <a:pt x="1287452" y="0"/>
                                    </a:moveTo>
                                    <a:cubicBezTo>
                                      <a:pt x="1998492" y="0"/>
                                      <a:pt x="2574904" y="576412"/>
                                      <a:pt x="2574904" y="1287452"/>
                                    </a:cubicBezTo>
                                    <a:cubicBezTo>
                                      <a:pt x="2574904" y="1998492"/>
                                      <a:pt x="1998492" y="2574904"/>
                                      <a:pt x="1287452" y="2574904"/>
                                    </a:cubicBezTo>
                                    <a:cubicBezTo>
                                      <a:pt x="576412" y="2574904"/>
                                      <a:pt x="0" y="1998492"/>
                                      <a:pt x="0" y="1287452"/>
                                    </a:cubicBezTo>
                                    <a:cubicBezTo>
                                      <a:pt x="0" y="576412"/>
                                      <a:pt x="576412" y="0"/>
                                      <a:pt x="1287452" y="0"/>
                                    </a:cubicBezTo>
                                    <a:close/>
                                  </a:path>
                                </a:pathLst>
                              </a:custGeom>
                              <a:solidFill>
                                <a:schemeClr val="bg1">
                                  <a:lumMod val="50000"/>
                                </a:schemeClr>
                              </a:solidFill>
                              <a:ln>
                                <a:noFill/>
                              </a:ln>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2037F6B" id="群組 39" o:spid="_x0000_s1026" style="position:absolute;margin-left:18.5pt;margin-top:11.7pt;width:41.7pt;height:41.65pt;rotation:950559fd;z-index:251661824" coordorigin="66399" coordsize="49142,49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">
                    <v:shape id="橢圓 1" o:spid="_x0000_s1027" style="position:absolute;left:66399;width:49143;height:49117;visibility:visible;mso-wrap-style:square;v-text-anchor:middle" coordsize="4914293,491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s0sUA&#10;AADcAAAADwAAAGRycy9kb3ducmV2LnhtbESPzWoCQRCE74G8w9CB3OKMRkRWRxFNwEMI+HPw2O60&#10;u6s7PctOR9e3zwQCHouq+oqazjtfqyu1sQpsod8zoIjz4CouLOx3n29jUFGQHdaBycKdIsxnz09T&#10;zFy48YauWylUgnDM0EIp0mRax7wkj7EXGuLknULrUZJsC+1avCW4r/XAmJH2WHFaKLGhZUn5Zfvj&#10;LRzXcvgang/3Ja36tRzl4xv3xtrXl24xASXUySP83147C+9mCH9n0hH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yzSxQAAANwAAAAPAAAAAAAAAAAAAAAAAJgCAABkcnMv&#10;ZG93bnJldi54bWxQSwUGAAAAAAQABAD1AAAAigMAAAAA&#10;" path="m2456688,1167235v-711040,,-1287452,576412,-1287452,1287452c1169236,3165727,1745648,3742139,2456688,3742139v711040,,1287452,-576412,1287452,-1287452c3744140,1743647,3167728,1167235,2456688,1167235xm3167628,v185421,52479,361803,126594,526858,218670c3615112,672656,3456037,1104460,3632630,1285594v180808,176275,611385,18089,1064466,-61478c4788754,1390027,4862375,1567255,4914293,1753483v-376238,263497,-791372,455917,-794573,708052c4122910,2712791,4535164,2904747,4910418,3166743v-53770,186869,-128330,364913,-222132,530858c4238463,3617356,3812270,3462338,3632629,3637474v-174935,179434,-20474,604854,59887,1054098c3525599,4784614,3347072,4859251,3159353,4911795,2898698,4537429,2707158,4127744,2456689,4124564v-250284,3178,-441727,412263,-702068,786420c1566839,4857829,1387892,4783697,1221080,4690153v80468,-448717,234421,-873433,59669,-1052679c1100963,3462196,674224,3617607,223995,3697769,130633,3531685,55555,3354002,2479,3167098,377856,2904914,790469,2712900,793660,2461534,790462,2209606,376008,2017296,,1754152,52619,1567796,125894,1390131,218426,1224445v452290,79735,881800,237148,1062324,61149c1457322,1104482,1298306,672760,1218919,218833,1383938,126685,1560322,52524,1745766,19v265015,377222,457901,795273,710924,798485c2709718,795292,2902606,377227,3167628,xe" fillcolor="#d8d8d8 [2732]" stroked="f" strokeweight="2pt">
                      <v:shadow on="t" color="black" opacity="26214f" origin=".5" offset="-3pt,0"/>
                      <v:path arrowok="t"/>
                    </v:shape>
                    <v:shape id="橢圓 17" o:spid="_x0000_s1028" style="position:absolute;left:78096;top:11684;width:25749;height:25749;visibility:visible;mso-wrap-style:square;v-text-anchor:middle" coordsize="2574904,2574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CF8UA&#10;AADcAAAADwAAAGRycy9kb3ducmV2LnhtbESPQWvCQBSE7wX/w/IEL6VutCghukopSEvppWo9P7PP&#10;JJh9G3ZfNfbXdwuFHoeZ+YZZrnvXqguF2Hg2MBlnoIhLbxuuDOx3m4ccVBRki61nMnCjCOvV4G6J&#10;hfVX/qDLViqVIBwLNFCLdIXWsazJYRz7jjh5Jx8cSpKh0jbgNcFdq6dZNtcOG04LNXb0XFN53n45&#10;A7Pj573c3vb5ef4dw3ubH1524owZDfunBSihXv7Df+1Xa+Axm8HvmXQE9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sIXxQAAANwAAAAPAAAAAAAAAAAAAAAAAJgCAABkcnMv&#10;ZG93bnJldi54bWxQSwUGAAAAAAQABAD1AAAAigMAAAAA&#10;" path="m1286994,431147v-472256,,-855095,382839,-855095,855095c431899,1758498,814738,2141337,1286994,2141337v472256,,855095,-382839,855095,-855095c2142089,813986,1759250,431147,1286994,431147xm1287452,v711040,,1287452,576412,1287452,1287452c2574904,1998492,1998492,2574904,1287452,2574904,576412,2574904,,1998492,,1287452,,576412,576412,,1287452,xe" fillcolor="#7f7f7f [1612]" stroked="f" strokeweight="2pt">
                      <v:path arrowok="t"/>
                    </v:shape>
                  </v:group>
                </w:pict>
              </mc:Fallback>
            </mc:AlternateContent>
          </w:r>
        </w:p>
        <w:p w14:paraId="14407715" w14:textId="77777777" w:rsidR="00182E18" w:rsidRPr="0029055C" w:rsidRDefault="00E12B5B" w:rsidP="00182E18">
          <w:r w:rsidRPr="0029055C">
            <w:rPr>
              <w:noProof/>
            </w:rPr>
            <mc:AlternateContent>
              <mc:Choice Requires="wpg">
                <w:drawing>
                  <wp:anchor distT="0" distB="0" distL="114300" distR="114300" simplePos="0" relativeHeight="251662848" behindDoc="0" locked="0" layoutInCell="1" allowOverlap="1" wp14:anchorId="487685DD" wp14:editId="05FA5484">
                    <wp:simplePos x="0" y="0"/>
                    <wp:positionH relativeFrom="column">
                      <wp:posOffset>-222250</wp:posOffset>
                    </wp:positionH>
                    <wp:positionV relativeFrom="paragraph">
                      <wp:posOffset>143510</wp:posOffset>
                    </wp:positionV>
                    <wp:extent cx="529590" cy="528955"/>
                    <wp:effectExtent l="114300" t="76200" r="60960" b="99695"/>
                    <wp:wrapNone/>
                    <wp:docPr id="294" name="群組 19"/>
                    <wp:cNvGraphicFramePr/>
                    <a:graphic xmlns:a="http://schemas.openxmlformats.org/drawingml/2006/main">
                      <a:graphicData uri="http://schemas.microsoft.com/office/word/2010/wordprocessingGroup">
                        <wpg:wgp>
                          <wpg:cNvGrpSpPr/>
                          <wpg:grpSpPr bwMode="auto">
                            <a:xfrm rot="214271">
                              <a:off x="0" y="0"/>
                              <a:ext cx="529590" cy="528955"/>
                              <a:chOff x="1801363" y="328783"/>
                              <a:chExt cx="4914293" cy="4911795"/>
                            </a:xfrm>
                            <a:effectLst>
                              <a:outerShdw blurRad="50800" dist="38100" dir="5400000" algn="t" rotWithShape="0">
                                <a:prstClr val="black">
                                  <a:alpha val="40000"/>
                                </a:prstClr>
                              </a:outerShdw>
                            </a:effectLst>
                          </wpg:grpSpPr>
                          <wps:wsp>
                            <wps:cNvPr id="295" name="橢圓 1"/>
                            <wps:cNvSpPr/>
                            <wps:spPr>
                              <a:xfrm>
                                <a:off x="1801363" y="328783"/>
                                <a:ext cx="4914293" cy="4911795"/>
                              </a:xfrm>
                              <a:custGeom>
                                <a:avLst/>
                                <a:gdLst/>
                                <a:ahLst/>
                                <a:cxnLst/>
                                <a:rect l="l" t="t" r="r" b="b"/>
                                <a:pathLst>
                                  <a:path w="4914293" h="4911795">
                                    <a:moveTo>
                                      <a:pt x="2456688" y="1167235"/>
                                    </a:moveTo>
                                    <a:cubicBezTo>
                                      <a:pt x="1745648" y="1167235"/>
                                      <a:pt x="1169236" y="1743647"/>
                                      <a:pt x="1169236" y="2454687"/>
                                    </a:cubicBezTo>
                                    <a:cubicBezTo>
                                      <a:pt x="1169236" y="3165727"/>
                                      <a:pt x="1745648" y="3742139"/>
                                      <a:pt x="2456688" y="3742139"/>
                                    </a:cubicBezTo>
                                    <a:cubicBezTo>
                                      <a:pt x="3167728" y="3742139"/>
                                      <a:pt x="3744140" y="3165727"/>
                                      <a:pt x="3744140" y="2454687"/>
                                    </a:cubicBezTo>
                                    <a:cubicBezTo>
                                      <a:pt x="3744140" y="1743647"/>
                                      <a:pt x="3167728" y="1167235"/>
                                      <a:pt x="2456688" y="1167235"/>
                                    </a:cubicBezTo>
                                    <a:close/>
                                    <a:moveTo>
                                      <a:pt x="3167628" y="0"/>
                                    </a:moveTo>
                                    <a:cubicBezTo>
                                      <a:pt x="3353049" y="52479"/>
                                      <a:pt x="3529431" y="126594"/>
                                      <a:pt x="3694486" y="218670"/>
                                    </a:cubicBezTo>
                                    <a:cubicBezTo>
                                      <a:pt x="3615112" y="672656"/>
                                      <a:pt x="3456037" y="1104460"/>
                                      <a:pt x="3632630" y="1285594"/>
                                    </a:cubicBezTo>
                                    <a:cubicBezTo>
                                      <a:pt x="3813438" y="1461869"/>
                                      <a:pt x="4244015" y="1303683"/>
                                      <a:pt x="4697096" y="1224116"/>
                                    </a:cubicBezTo>
                                    <a:cubicBezTo>
                                      <a:pt x="4788754" y="1390027"/>
                                      <a:pt x="4862375" y="1567255"/>
                                      <a:pt x="4914293" y="1753483"/>
                                    </a:cubicBezTo>
                                    <a:cubicBezTo>
                                      <a:pt x="4538055" y="2016980"/>
                                      <a:pt x="4122921" y="2209400"/>
                                      <a:pt x="4119720" y="2461535"/>
                                    </a:cubicBezTo>
                                    <a:cubicBezTo>
                                      <a:pt x="4122910" y="2712791"/>
                                      <a:pt x="4535164" y="2904747"/>
                                      <a:pt x="4910418" y="3166743"/>
                                    </a:cubicBezTo>
                                    <a:cubicBezTo>
                                      <a:pt x="4856648" y="3353612"/>
                                      <a:pt x="4782088" y="3531656"/>
                                      <a:pt x="4688286" y="3697601"/>
                                    </a:cubicBezTo>
                                    <a:cubicBezTo>
                                      <a:pt x="4238463" y="3617356"/>
                                      <a:pt x="3812270" y="3462338"/>
                                      <a:pt x="3632629" y="3637474"/>
                                    </a:cubicBezTo>
                                    <a:cubicBezTo>
                                      <a:pt x="3457694" y="3816908"/>
                                      <a:pt x="3612155" y="4242328"/>
                                      <a:pt x="3692516" y="4691572"/>
                                    </a:cubicBezTo>
                                    <a:cubicBezTo>
                                      <a:pt x="3525599" y="4784614"/>
                                      <a:pt x="3347072" y="4859251"/>
                                      <a:pt x="3159353" y="4911795"/>
                                    </a:cubicBezTo>
                                    <a:cubicBezTo>
                                      <a:pt x="2898698" y="4537429"/>
                                      <a:pt x="2707158" y="4127744"/>
                                      <a:pt x="2456689" y="4124564"/>
                                    </a:cubicBezTo>
                                    <a:cubicBezTo>
                                      <a:pt x="2206405" y="4127742"/>
                                      <a:pt x="2014962" y="4536827"/>
                                      <a:pt x="1754621" y="4910984"/>
                                    </a:cubicBezTo>
                                    <a:cubicBezTo>
                                      <a:pt x="1566839" y="4857829"/>
                                      <a:pt x="1387892" y="4783697"/>
                                      <a:pt x="1221080" y="4690153"/>
                                    </a:cubicBezTo>
                                    <a:cubicBezTo>
                                      <a:pt x="1301548" y="4241436"/>
                                      <a:pt x="1455501" y="3816720"/>
                                      <a:pt x="1280749" y="3637474"/>
                                    </a:cubicBezTo>
                                    <a:cubicBezTo>
                                      <a:pt x="1100963" y="3462196"/>
                                      <a:pt x="674224" y="3617607"/>
                                      <a:pt x="223995" y="3697769"/>
                                    </a:cubicBezTo>
                                    <a:cubicBezTo>
                                      <a:pt x="130633" y="3531685"/>
                                      <a:pt x="55555" y="3354002"/>
                                      <a:pt x="2479" y="3167098"/>
                                    </a:cubicBezTo>
                                    <a:cubicBezTo>
                                      <a:pt x="377856" y="2904914"/>
                                      <a:pt x="790469" y="2712900"/>
                                      <a:pt x="793660" y="2461534"/>
                                    </a:cubicBezTo>
                                    <a:cubicBezTo>
                                      <a:pt x="790462" y="2209606"/>
                                      <a:pt x="376008" y="2017296"/>
                                      <a:pt x="0" y="1754152"/>
                                    </a:cubicBezTo>
                                    <a:cubicBezTo>
                                      <a:pt x="52619" y="1567796"/>
                                      <a:pt x="125894" y="1390131"/>
                                      <a:pt x="218426" y="1224445"/>
                                    </a:cubicBezTo>
                                    <a:cubicBezTo>
                                      <a:pt x="670716" y="1304180"/>
                                      <a:pt x="1100226" y="1461593"/>
                                      <a:pt x="1280750" y="1285594"/>
                                    </a:cubicBezTo>
                                    <a:cubicBezTo>
                                      <a:pt x="1457322" y="1104482"/>
                                      <a:pt x="1298306" y="672760"/>
                                      <a:pt x="1218919" y="218833"/>
                                    </a:cubicBezTo>
                                    <a:cubicBezTo>
                                      <a:pt x="1383938" y="126685"/>
                                      <a:pt x="1560322" y="52524"/>
                                      <a:pt x="1745766" y="19"/>
                                    </a:cubicBezTo>
                                    <a:cubicBezTo>
                                      <a:pt x="2010781" y="377241"/>
                                      <a:pt x="2203667" y="795292"/>
                                      <a:pt x="2456690" y="798504"/>
                                    </a:cubicBezTo>
                                    <a:cubicBezTo>
                                      <a:pt x="2709718" y="795292"/>
                                      <a:pt x="2902606" y="377227"/>
                                      <a:pt x="3167628" y="0"/>
                                    </a:cubicBezTo>
                                    <a:close/>
                                  </a:path>
                                </a:pathLst>
                              </a:custGeom>
                              <a:solidFill>
                                <a:schemeClr val="bg1">
                                  <a:lumMod val="85000"/>
                                </a:schemeClr>
                              </a:solidFill>
                              <a:ln>
                                <a:noFill/>
                              </a:ln>
                              <a:effectLst>
                                <a:outerShdw blurRad="50800" dist="38100" dir="10800000" algn="r" rotWithShape="0">
                                  <a:prstClr val="black">
                                    <a:alpha val="40000"/>
                                  </a:prstClr>
                                </a:outerShdw>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96" name="橢圓 17"/>
                            <wps:cNvSpPr/>
                            <wps:spPr>
                              <a:xfrm>
                                <a:off x="2971057" y="1497228"/>
                                <a:ext cx="2574904" cy="2574904"/>
                              </a:xfrm>
                              <a:custGeom>
                                <a:avLst/>
                                <a:gdLst/>
                                <a:ahLst/>
                                <a:cxnLst/>
                                <a:rect l="l" t="t" r="r" b="b"/>
                                <a:pathLst>
                                  <a:path w="2574904" h="2574904">
                                    <a:moveTo>
                                      <a:pt x="1286994" y="431147"/>
                                    </a:moveTo>
                                    <a:cubicBezTo>
                                      <a:pt x="814738" y="431147"/>
                                      <a:pt x="431899" y="813986"/>
                                      <a:pt x="431899" y="1286242"/>
                                    </a:cubicBezTo>
                                    <a:cubicBezTo>
                                      <a:pt x="431899" y="1758498"/>
                                      <a:pt x="814738" y="2141337"/>
                                      <a:pt x="1286994" y="2141337"/>
                                    </a:cubicBezTo>
                                    <a:cubicBezTo>
                                      <a:pt x="1759250" y="2141337"/>
                                      <a:pt x="2142089" y="1758498"/>
                                      <a:pt x="2142089" y="1286242"/>
                                    </a:cubicBezTo>
                                    <a:cubicBezTo>
                                      <a:pt x="2142089" y="813986"/>
                                      <a:pt x="1759250" y="431147"/>
                                      <a:pt x="1286994" y="431147"/>
                                    </a:cubicBezTo>
                                    <a:close/>
                                    <a:moveTo>
                                      <a:pt x="1287452" y="0"/>
                                    </a:moveTo>
                                    <a:cubicBezTo>
                                      <a:pt x="1998492" y="0"/>
                                      <a:pt x="2574904" y="576412"/>
                                      <a:pt x="2574904" y="1287452"/>
                                    </a:cubicBezTo>
                                    <a:cubicBezTo>
                                      <a:pt x="2574904" y="1998492"/>
                                      <a:pt x="1998492" y="2574904"/>
                                      <a:pt x="1287452" y="2574904"/>
                                    </a:cubicBezTo>
                                    <a:cubicBezTo>
                                      <a:pt x="576412" y="2574904"/>
                                      <a:pt x="0" y="1998492"/>
                                      <a:pt x="0" y="1287452"/>
                                    </a:cubicBezTo>
                                    <a:cubicBezTo>
                                      <a:pt x="0" y="576412"/>
                                      <a:pt x="576412" y="0"/>
                                      <a:pt x="1287452" y="0"/>
                                    </a:cubicBezTo>
                                    <a:close/>
                                  </a:path>
                                </a:pathLst>
                              </a:custGeom>
                              <a:solidFill>
                                <a:schemeClr val="bg1">
                                  <a:lumMod val="50000"/>
                                </a:schemeClr>
                              </a:solidFill>
                              <a:ln>
                                <a:noFill/>
                              </a:ln>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BDA2E73" id="群組 19" o:spid="_x0000_s1026" style="position:absolute;margin-left:-17.5pt;margin-top:11.3pt;width:41.7pt;height:41.65pt;rotation:234041fd;z-index:251662848" coordorigin="18013,3287" coordsize="49142,49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">
                    <v:shape id="橢圓 1" o:spid="_x0000_s1027" style="position:absolute;left:18013;top:3287;width:49143;height:49118;visibility:visible;mso-wrap-style:square;v-text-anchor:middle" coordsize="4914293,491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U8UA&#10;AADcAAAADwAAAGRycy9kb3ducmV2LnhtbESPQWvCQBSE74L/YXmF3upGqaVNs4rYFjxIQevB40v2&#10;mcRm34bsq8Z/7woFj8PMfMNk89416kRdqD0bGI8SUMSFtzWXBnY/X0+voIIgW2w8k4ELBZjPhoMM&#10;U+vPvKHTVkoVIRxSNFCJtKnWoajIYRj5ljh6B985lCi7UtsOzxHuGj1JkhftsOa4UGFLy4qK3+2f&#10;M5CvZL9+Pu4vS/oYN5LL5zfuEmMeH/rFOyihXu7h//bKGpi8TeF2Jh4B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NTxQAAANwAAAAPAAAAAAAAAAAAAAAAAJgCAABkcnMv&#10;ZG93bnJldi54bWxQSwUGAAAAAAQABAD1AAAAigMAAAAA&#10;" path="m2456688,1167235v-711040,,-1287452,576412,-1287452,1287452c1169236,3165727,1745648,3742139,2456688,3742139v711040,,1287452,-576412,1287452,-1287452c3744140,1743647,3167728,1167235,2456688,1167235xm3167628,v185421,52479,361803,126594,526858,218670c3615112,672656,3456037,1104460,3632630,1285594v180808,176275,611385,18089,1064466,-61478c4788754,1390027,4862375,1567255,4914293,1753483v-376238,263497,-791372,455917,-794573,708052c4122910,2712791,4535164,2904747,4910418,3166743v-53770,186869,-128330,364913,-222132,530858c4238463,3617356,3812270,3462338,3632629,3637474v-174935,179434,-20474,604854,59887,1054098c3525599,4784614,3347072,4859251,3159353,4911795,2898698,4537429,2707158,4127744,2456689,4124564v-250284,3178,-441727,412263,-702068,786420c1566839,4857829,1387892,4783697,1221080,4690153v80468,-448717,234421,-873433,59669,-1052679c1100963,3462196,674224,3617607,223995,3697769,130633,3531685,55555,3354002,2479,3167098,377856,2904914,790469,2712900,793660,2461534,790462,2209606,376008,2017296,,1754152,52619,1567796,125894,1390131,218426,1224445v452290,79735,881800,237148,1062324,61149c1457322,1104482,1298306,672760,1218919,218833,1383938,126685,1560322,52524,1745766,19v265015,377222,457901,795273,710924,798485c2709718,795292,2902606,377227,3167628,xe" fillcolor="#d8d8d8 [2732]" stroked="f" strokeweight="2pt">
                      <v:shadow on="t" color="black" opacity="26214f" origin=".5" offset="-3pt,0"/>
                      <v:path arrowok="t"/>
                    </v:shape>
                    <v:shape id="橢圓 17" o:spid="_x0000_s1028" style="position:absolute;left:29710;top:14972;width:25749;height:25749;visibility:visible;mso-wrap-style:square;v-text-anchor:middle" coordsize="2574904,2574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esYA&#10;AADcAAAADwAAAGRycy9kb3ducmV2LnhtbESPQUvDQBSE74X+h+UJvRS7sWCIsdtSBKmIF9vq+Zl9&#10;JqHZt2H32ab+elco9DjMzDfMYjW4Th0pxNazgbtZBoq48rbl2sB+93xbgIqCbLHzTAbOFGG1HI8W&#10;WFp/4nc6bqVWCcKxRAONSF9qHauGHMaZ74mT9+2DQ0ky1NoGPCW46/Q8y3LtsOW00GBPTw1Vh+2P&#10;M3D/9TGV8+u+OOS/Mbx1xedmJ86Yyc2wfgQlNMg1fGm/WAPzhxz+z6Qj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GesYAAADcAAAADwAAAAAAAAAAAAAAAACYAgAAZHJz&#10;L2Rvd25yZXYueG1sUEsFBgAAAAAEAAQA9QAAAIsDAAAAAA==&#10;" path="m1286994,431147v-472256,,-855095,382839,-855095,855095c431899,1758498,814738,2141337,1286994,2141337v472256,,855095,-382839,855095,-855095c2142089,813986,1759250,431147,1286994,431147xm1287452,v711040,,1287452,576412,1287452,1287452c2574904,1998492,1998492,2574904,1287452,2574904,576412,2574904,,1998492,,1287452,,576412,576412,,1287452,xe" fillcolor="#7f7f7f [1612]" stroked="f" strokeweight="2pt">
                      <v:path arrowok="t"/>
                    </v:shape>
                  </v:group>
                </w:pict>
              </mc:Fallback>
            </mc:AlternateContent>
          </w:r>
          <w:r w:rsidRPr="0029055C">
            <w:rPr>
              <w:noProof/>
            </w:rPr>
            <mc:AlternateContent>
              <mc:Choice Requires="wpg">
                <w:drawing>
                  <wp:anchor distT="0" distB="0" distL="114300" distR="114300" simplePos="0" relativeHeight="251658752" behindDoc="0" locked="0" layoutInCell="1" allowOverlap="1" wp14:anchorId="6F890EA3" wp14:editId="78037660">
                    <wp:simplePos x="0" y="0"/>
                    <wp:positionH relativeFrom="column">
                      <wp:posOffset>-717550</wp:posOffset>
                    </wp:positionH>
                    <wp:positionV relativeFrom="paragraph">
                      <wp:posOffset>243205</wp:posOffset>
                    </wp:positionV>
                    <wp:extent cx="529590" cy="528955"/>
                    <wp:effectExtent l="114300" t="76200" r="22860" b="99695"/>
                    <wp:wrapNone/>
                    <wp:docPr id="291" name="群組 2"/>
                    <wp:cNvGraphicFramePr/>
                    <a:graphic xmlns:a="http://schemas.openxmlformats.org/drawingml/2006/main">
                      <a:graphicData uri="http://schemas.microsoft.com/office/word/2010/wordprocessingGroup">
                        <wpg:wgp>
                          <wpg:cNvGrpSpPr/>
                          <wpg:grpSpPr bwMode="auto">
                            <a:xfrm rot="21315493">
                              <a:off x="0" y="0"/>
                              <a:ext cx="529590" cy="528955"/>
                              <a:chOff x="0" y="692446"/>
                              <a:chExt cx="4914293" cy="4911795"/>
                            </a:xfrm>
                            <a:effectLst>
                              <a:outerShdw blurRad="50800" dist="38100" dir="5400000" algn="t" rotWithShape="0">
                                <a:prstClr val="black">
                                  <a:alpha val="40000"/>
                                </a:prstClr>
                              </a:outerShdw>
                            </a:effectLst>
                          </wpg:grpSpPr>
                          <wps:wsp>
                            <wps:cNvPr id="292" name="橢圓 1"/>
                            <wps:cNvSpPr/>
                            <wps:spPr>
                              <a:xfrm>
                                <a:off x="0" y="692446"/>
                                <a:ext cx="4914293" cy="4911795"/>
                              </a:xfrm>
                              <a:custGeom>
                                <a:avLst/>
                                <a:gdLst/>
                                <a:ahLst/>
                                <a:cxnLst/>
                                <a:rect l="l" t="t" r="r" b="b"/>
                                <a:pathLst>
                                  <a:path w="4914293" h="4911795">
                                    <a:moveTo>
                                      <a:pt x="2456688" y="1167235"/>
                                    </a:moveTo>
                                    <a:cubicBezTo>
                                      <a:pt x="1745648" y="1167235"/>
                                      <a:pt x="1169236" y="1743647"/>
                                      <a:pt x="1169236" y="2454687"/>
                                    </a:cubicBezTo>
                                    <a:cubicBezTo>
                                      <a:pt x="1169236" y="3165727"/>
                                      <a:pt x="1745648" y="3742139"/>
                                      <a:pt x="2456688" y="3742139"/>
                                    </a:cubicBezTo>
                                    <a:cubicBezTo>
                                      <a:pt x="3167728" y="3742139"/>
                                      <a:pt x="3744140" y="3165727"/>
                                      <a:pt x="3744140" y="2454687"/>
                                    </a:cubicBezTo>
                                    <a:cubicBezTo>
                                      <a:pt x="3744140" y="1743647"/>
                                      <a:pt x="3167728" y="1167235"/>
                                      <a:pt x="2456688" y="1167235"/>
                                    </a:cubicBezTo>
                                    <a:close/>
                                    <a:moveTo>
                                      <a:pt x="3167628" y="0"/>
                                    </a:moveTo>
                                    <a:cubicBezTo>
                                      <a:pt x="3353049" y="52479"/>
                                      <a:pt x="3529431" y="126594"/>
                                      <a:pt x="3694486" y="218670"/>
                                    </a:cubicBezTo>
                                    <a:cubicBezTo>
                                      <a:pt x="3615112" y="672656"/>
                                      <a:pt x="3456037" y="1104460"/>
                                      <a:pt x="3632630" y="1285594"/>
                                    </a:cubicBezTo>
                                    <a:cubicBezTo>
                                      <a:pt x="3813438" y="1461869"/>
                                      <a:pt x="4244015" y="1303683"/>
                                      <a:pt x="4697096" y="1224116"/>
                                    </a:cubicBezTo>
                                    <a:cubicBezTo>
                                      <a:pt x="4788754" y="1390027"/>
                                      <a:pt x="4862375" y="1567255"/>
                                      <a:pt x="4914293" y="1753483"/>
                                    </a:cubicBezTo>
                                    <a:cubicBezTo>
                                      <a:pt x="4538055" y="2016980"/>
                                      <a:pt x="4122921" y="2209400"/>
                                      <a:pt x="4119720" y="2461535"/>
                                    </a:cubicBezTo>
                                    <a:cubicBezTo>
                                      <a:pt x="4122910" y="2712791"/>
                                      <a:pt x="4535164" y="2904747"/>
                                      <a:pt x="4910418" y="3166743"/>
                                    </a:cubicBezTo>
                                    <a:cubicBezTo>
                                      <a:pt x="4856648" y="3353612"/>
                                      <a:pt x="4782088" y="3531656"/>
                                      <a:pt x="4688286" y="3697601"/>
                                    </a:cubicBezTo>
                                    <a:cubicBezTo>
                                      <a:pt x="4238463" y="3617356"/>
                                      <a:pt x="3812270" y="3462338"/>
                                      <a:pt x="3632629" y="3637474"/>
                                    </a:cubicBezTo>
                                    <a:cubicBezTo>
                                      <a:pt x="3457694" y="3816908"/>
                                      <a:pt x="3612155" y="4242328"/>
                                      <a:pt x="3692516" y="4691572"/>
                                    </a:cubicBezTo>
                                    <a:cubicBezTo>
                                      <a:pt x="3525599" y="4784614"/>
                                      <a:pt x="3347072" y="4859251"/>
                                      <a:pt x="3159353" y="4911795"/>
                                    </a:cubicBezTo>
                                    <a:cubicBezTo>
                                      <a:pt x="2898698" y="4537429"/>
                                      <a:pt x="2707158" y="4127744"/>
                                      <a:pt x="2456689" y="4124564"/>
                                    </a:cubicBezTo>
                                    <a:cubicBezTo>
                                      <a:pt x="2206405" y="4127742"/>
                                      <a:pt x="2014962" y="4536827"/>
                                      <a:pt x="1754621" y="4910984"/>
                                    </a:cubicBezTo>
                                    <a:cubicBezTo>
                                      <a:pt x="1566839" y="4857829"/>
                                      <a:pt x="1387892" y="4783697"/>
                                      <a:pt x="1221080" y="4690153"/>
                                    </a:cubicBezTo>
                                    <a:cubicBezTo>
                                      <a:pt x="1301548" y="4241436"/>
                                      <a:pt x="1455501" y="3816720"/>
                                      <a:pt x="1280749" y="3637474"/>
                                    </a:cubicBezTo>
                                    <a:cubicBezTo>
                                      <a:pt x="1100963" y="3462196"/>
                                      <a:pt x="674224" y="3617607"/>
                                      <a:pt x="223995" y="3697769"/>
                                    </a:cubicBezTo>
                                    <a:cubicBezTo>
                                      <a:pt x="130633" y="3531685"/>
                                      <a:pt x="55555" y="3354002"/>
                                      <a:pt x="2479" y="3167098"/>
                                    </a:cubicBezTo>
                                    <a:cubicBezTo>
                                      <a:pt x="377856" y="2904914"/>
                                      <a:pt x="790469" y="2712900"/>
                                      <a:pt x="793660" y="2461534"/>
                                    </a:cubicBezTo>
                                    <a:cubicBezTo>
                                      <a:pt x="790462" y="2209606"/>
                                      <a:pt x="376008" y="2017296"/>
                                      <a:pt x="0" y="1754152"/>
                                    </a:cubicBezTo>
                                    <a:cubicBezTo>
                                      <a:pt x="52619" y="1567796"/>
                                      <a:pt x="125894" y="1390131"/>
                                      <a:pt x="218426" y="1224445"/>
                                    </a:cubicBezTo>
                                    <a:cubicBezTo>
                                      <a:pt x="670716" y="1304180"/>
                                      <a:pt x="1100226" y="1461593"/>
                                      <a:pt x="1280750" y="1285594"/>
                                    </a:cubicBezTo>
                                    <a:cubicBezTo>
                                      <a:pt x="1457322" y="1104482"/>
                                      <a:pt x="1298306" y="672760"/>
                                      <a:pt x="1218919" y="218833"/>
                                    </a:cubicBezTo>
                                    <a:cubicBezTo>
                                      <a:pt x="1383938" y="126685"/>
                                      <a:pt x="1560322" y="52524"/>
                                      <a:pt x="1745766" y="19"/>
                                    </a:cubicBezTo>
                                    <a:cubicBezTo>
                                      <a:pt x="2010781" y="377241"/>
                                      <a:pt x="2203667" y="795292"/>
                                      <a:pt x="2456690" y="798504"/>
                                    </a:cubicBezTo>
                                    <a:cubicBezTo>
                                      <a:pt x="2709718" y="795292"/>
                                      <a:pt x="2902606" y="377227"/>
                                      <a:pt x="3167628" y="0"/>
                                    </a:cubicBezTo>
                                    <a:close/>
                                  </a:path>
                                </a:pathLst>
                              </a:custGeom>
                              <a:solidFill>
                                <a:schemeClr val="bg1">
                                  <a:lumMod val="85000"/>
                                </a:schemeClr>
                              </a:solidFill>
                              <a:ln>
                                <a:noFill/>
                              </a:ln>
                              <a:effectLst>
                                <a:outerShdw blurRad="50800" dist="38100" dir="10800000" algn="r" rotWithShape="0">
                                  <a:prstClr val="black">
                                    <a:alpha val="40000"/>
                                  </a:prstClr>
                                </a:outerShdw>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93" name="橢圓 17"/>
                            <wps:cNvSpPr/>
                            <wps:spPr>
                              <a:xfrm>
                                <a:off x="1169694" y="1860891"/>
                                <a:ext cx="2574904" cy="2574904"/>
                              </a:xfrm>
                              <a:custGeom>
                                <a:avLst/>
                                <a:gdLst/>
                                <a:ahLst/>
                                <a:cxnLst/>
                                <a:rect l="l" t="t" r="r" b="b"/>
                                <a:pathLst>
                                  <a:path w="2574904" h="2574904">
                                    <a:moveTo>
                                      <a:pt x="1286994" y="431147"/>
                                    </a:moveTo>
                                    <a:cubicBezTo>
                                      <a:pt x="814738" y="431147"/>
                                      <a:pt x="431899" y="813986"/>
                                      <a:pt x="431899" y="1286242"/>
                                    </a:cubicBezTo>
                                    <a:cubicBezTo>
                                      <a:pt x="431899" y="1758498"/>
                                      <a:pt x="814738" y="2141337"/>
                                      <a:pt x="1286994" y="2141337"/>
                                    </a:cubicBezTo>
                                    <a:cubicBezTo>
                                      <a:pt x="1759250" y="2141337"/>
                                      <a:pt x="2142089" y="1758498"/>
                                      <a:pt x="2142089" y="1286242"/>
                                    </a:cubicBezTo>
                                    <a:cubicBezTo>
                                      <a:pt x="2142089" y="813986"/>
                                      <a:pt x="1759250" y="431147"/>
                                      <a:pt x="1286994" y="431147"/>
                                    </a:cubicBezTo>
                                    <a:close/>
                                    <a:moveTo>
                                      <a:pt x="1287452" y="0"/>
                                    </a:moveTo>
                                    <a:cubicBezTo>
                                      <a:pt x="1998492" y="0"/>
                                      <a:pt x="2574904" y="576412"/>
                                      <a:pt x="2574904" y="1287452"/>
                                    </a:cubicBezTo>
                                    <a:cubicBezTo>
                                      <a:pt x="2574904" y="1998492"/>
                                      <a:pt x="1998492" y="2574904"/>
                                      <a:pt x="1287452" y="2574904"/>
                                    </a:cubicBezTo>
                                    <a:cubicBezTo>
                                      <a:pt x="576412" y="2574904"/>
                                      <a:pt x="0" y="1998492"/>
                                      <a:pt x="0" y="1287452"/>
                                    </a:cubicBezTo>
                                    <a:cubicBezTo>
                                      <a:pt x="0" y="576412"/>
                                      <a:pt x="576412" y="0"/>
                                      <a:pt x="1287452" y="0"/>
                                    </a:cubicBezTo>
                                    <a:close/>
                                  </a:path>
                                </a:pathLst>
                              </a:custGeom>
                              <a:solidFill>
                                <a:schemeClr val="bg1">
                                  <a:lumMod val="50000"/>
                                </a:schemeClr>
                              </a:solidFill>
                              <a:ln>
                                <a:noFill/>
                              </a:ln>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06AC62F" id="群組 2" o:spid="_x0000_s1026" style="position:absolute;margin-left:-56.5pt;margin-top:19.15pt;width:41.7pt;height:41.65pt;rotation:-310758fd;z-index:251658752" coordorigin=",6924" coordsize="49142,49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">
                    <v:shape id="橢圓 1" o:spid="_x0000_s1027" style="position:absolute;top:6924;width:49142;height:49118;visibility:visible;mso-wrap-style:square;v-text-anchor:middle" coordsize="4914293,491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LJ8UA&#10;AADcAAAADwAAAGRycy9kb3ducmV2LnhtbESPT2vCQBTE7wW/w/KE3urGUKRGVxH/gAcp1Hrw+Mw+&#10;k2j2bcg+NX77bqHQ4zAzv2Gm887V6k5tqDwbGA4SUMS5txUXBg7fm7cPUEGQLdaeycCTAsxnvZcp&#10;ZtY/+IvueylUhHDI0EAp0mRah7wkh2HgG+LonX3rUKJsC21bfES4q3WaJCPtsOK4UGJDy5Ly6/7m&#10;DJy2cty9X47PJa2GtZxk/YmHxJjXfreYgBLq5D/8195aA+k4hd8z8Qjo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6YsnxQAAANwAAAAPAAAAAAAAAAAAAAAAAJgCAABkcnMv&#10;ZG93bnJldi54bWxQSwUGAAAAAAQABAD1AAAAigMAAAAA&#10;" path="m2456688,1167235v-711040,,-1287452,576412,-1287452,1287452c1169236,3165727,1745648,3742139,2456688,3742139v711040,,1287452,-576412,1287452,-1287452c3744140,1743647,3167728,1167235,2456688,1167235xm3167628,v185421,52479,361803,126594,526858,218670c3615112,672656,3456037,1104460,3632630,1285594v180808,176275,611385,18089,1064466,-61478c4788754,1390027,4862375,1567255,4914293,1753483v-376238,263497,-791372,455917,-794573,708052c4122910,2712791,4535164,2904747,4910418,3166743v-53770,186869,-128330,364913,-222132,530858c4238463,3617356,3812270,3462338,3632629,3637474v-174935,179434,-20474,604854,59887,1054098c3525599,4784614,3347072,4859251,3159353,4911795,2898698,4537429,2707158,4127744,2456689,4124564v-250284,3178,-441727,412263,-702068,786420c1566839,4857829,1387892,4783697,1221080,4690153v80468,-448717,234421,-873433,59669,-1052679c1100963,3462196,674224,3617607,223995,3697769,130633,3531685,55555,3354002,2479,3167098,377856,2904914,790469,2712900,793660,2461534,790462,2209606,376008,2017296,,1754152,52619,1567796,125894,1390131,218426,1224445v452290,79735,881800,237148,1062324,61149c1457322,1104482,1298306,672760,1218919,218833,1383938,126685,1560322,52524,1745766,19v265015,377222,457901,795273,710924,798485c2709718,795292,2902606,377227,3167628,xe" fillcolor="#d8d8d8 [2732]" stroked="f" strokeweight="2pt">
                      <v:shadow on="t" color="black" opacity="26214f" origin=".5" offset="-3pt,0"/>
                      <v:path arrowok="t"/>
                    </v:shape>
                    <v:shape id="橢圓 17" o:spid="_x0000_s1028" style="position:absolute;left:11696;top:18608;width:25749;height:25749;visibility:visible;mso-wrap-style:square;v-text-anchor:middle" coordsize="2574904,2574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xl4sYA&#10;AADcAAAADwAAAGRycy9kb3ducmV2LnhtbESPX0vDQBDE3wW/w7FCX6S92GKJsdcihaKIL/2jz2tu&#10;TUJze+Fu26b99J4g9HGYmd8ws0XvWnWkEBvPBh5GGSji0tuGKwO77WqYg4qCbLH1TAbOFGExv72Z&#10;YWH9idd03EilEoRjgQZqka7QOpY1OYwj3xEn78cHh5JkqLQNeEpw1+pxlk21w4bTQo0dLWsq95uD&#10;M/D4/Xkv5/ddvp9eYvho86/XrThjBnf9yzMooV6u4f/2mzUwfprA35l0BP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xl4sYAAADcAAAADwAAAAAAAAAAAAAAAACYAgAAZHJz&#10;L2Rvd25yZXYueG1sUEsFBgAAAAAEAAQA9QAAAIsDAAAAAA==&#10;" path="m1286994,431147v-472256,,-855095,382839,-855095,855095c431899,1758498,814738,2141337,1286994,2141337v472256,,855095,-382839,855095,-855095c2142089,813986,1759250,431147,1286994,431147xm1287452,v711040,,1287452,576412,1287452,1287452c2574904,1998492,1998492,2574904,1287452,2574904,576412,2574904,,1998492,,1287452,,576412,576412,,1287452,xe" fillcolor="#7f7f7f [1612]" stroked="f" strokeweight="2pt">
                      <v:path arrowok="t"/>
                    </v:shape>
                  </v:group>
                </w:pict>
              </mc:Fallback>
            </mc:AlternateContent>
          </w:r>
          <w:r w:rsidR="00182E18" w:rsidRPr="0029055C">
            <w:t xml:space="preserve"> </w:t>
          </w:r>
        </w:p>
        <w:p w14:paraId="08252006" w14:textId="77777777" w:rsidR="004120C8" w:rsidRPr="0029055C" w:rsidRDefault="004120C8" w:rsidP="004120C8"/>
        <w:p w14:paraId="134A2CEC" w14:textId="77777777" w:rsidR="004120C8" w:rsidRPr="0029055C" w:rsidRDefault="004F7255" w:rsidP="004120C8">
          <w:r w:rsidRPr="0029055C">
            <w:rPr>
              <w:noProof/>
            </w:rPr>
            <mc:AlternateContent>
              <mc:Choice Requires="wpg">
                <w:drawing>
                  <wp:anchor distT="0" distB="0" distL="114300" distR="114300" simplePos="0" relativeHeight="251659776" behindDoc="0" locked="0" layoutInCell="1" allowOverlap="1" wp14:anchorId="37E1481F" wp14:editId="5898A1DB">
                    <wp:simplePos x="0" y="0"/>
                    <wp:positionH relativeFrom="column">
                      <wp:posOffset>542513</wp:posOffset>
                    </wp:positionH>
                    <wp:positionV relativeFrom="paragraph">
                      <wp:posOffset>133350</wp:posOffset>
                    </wp:positionV>
                    <wp:extent cx="529590" cy="528955"/>
                    <wp:effectExtent l="133350" t="95250" r="60960" b="118745"/>
                    <wp:wrapNone/>
                    <wp:docPr id="300" name="群組 25"/>
                    <wp:cNvGraphicFramePr/>
                    <a:graphic xmlns:a="http://schemas.openxmlformats.org/drawingml/2006/main">
                      <a:graphicData uri="http://schemas.microsoft.com/office/word/2010/wordprocessingGroup">
                        <wpg:wgp>
                          <wpg:cNvGrpSpPr/>
                          <wpg:grpSpPr bwMode="auto">
                            <a:xfrm rot="1784464">
                              <a:off x="0" y="0"/>
                              <a:ext cx="529590" cy="528955"/>
                              <a:chOff x="5113731" y="1008112"/>
                              <a:chExt cx="4914293" cy="4911795"/>
                            </a:xfrm>
                            <a:effectLst>
                              <a:outerShdw blurRad="50800" dist="38100" dir="5400000" algn="t" rotWithShape="0">
                                <a:prstClr val="black">
                                  <a:alpha val="40000"/>
                                </a:prstClr>
                              </a:outerShdw>
                            </a:effectLst>
                          </wpg:grpSpPr>
                          <wps:wsp>
                            <wps:cNvPr id="301" name="橢圓 1"/>
                            <wps:cNvSpPr/>
                            <wps:spPr>
                              <a:xfrm>
                                <a:off x="5113731" y="1008112"/>
                                <a:ext cx="4914293" cy="4911795"/>
                              </a:xfrm>
                              <a:custGeom>
                                <a:avLst/>
                                <a:gdLst/>
                                <a:ahLst/>
                                <a:cxnLst/>
                                <a:rect l="l" t="t" r="r" b="b"/>
                                <a:pathLst>
                                  <a:path w="4914293" h="4911795">
                                    <a:moveTo>
                                      <a:pt x="2456688" y="1167235"/>
                                    </a:moveTo>
                                    <a:cubicBezTo>
                                      <a:pt x="1745648" y="1167235"/>
                                      <a:pt x="1169236" y="1743647"/>
                                      <a:pt x="1169236" y="2454687"/>
                                    </a:cubicBezTo>
                                    <a:cubicBezTo>
                                      <a:pt x="1169236" y="3165727"/>
                                      <a:pt x="1745648" y="3742139"/>
                                      <a:pt x="2456688" y="3742139"/>
                                    </a:cubicBezTo>
                                    <a:cubicBezTo>
                                      <a:pt x="3167728" y="3742139"/>
                                      <a:pt x="3744140" y="3165727"/>
                                      <a:pt x="3744140" y="2454687"/>
                                    </a:cubicBezTo>
                                    <a:cubicBezTo>
                                      <a:pt x="3744140" y="1743647"/>
                                      <a:pt x="3167728" y="1167235"/>
                                      <a:pt x="2456688" y="1167235"/>
                                    </a:cubicBezTo>
                                    <a:close/>
                                    <a:moveTo>
                                      <a:pt x="3167628" y="0"/>
                                    </a:moveTo>
                                    <a:cubicBezTo>
                                      <a:pt x="3353049" y="52479"/>
                                      <a:pt x="3529431" y="126594"/>
                                      <a:pt x="3694486" y="218670"/>
                                    </a:cubicBezTo>
                                    <a:cubicBezTo>
                                      <a:pt x="3615112" y="672656"/>
                                      <a:pt x="3456037" y="1104460"/>
                                      <a:pt x="3632630" y="1285594"/>
                                    </a:cubicBezTo>
                                    <a:cubicBezTo>
                                      <a:pt x="3813438" y="1461869"/>
                                      <a:pt x="4244015" y="1303683"/>
                                      <a:pt x="4697096" y="1224116"/>
                                    </a:cubicBezTo>
                                    <a:cubicBezTo>
                                      <a:pt x="4788754" y="1390027"/>
                                      <a:pt x="4862375" y="1567255"/>
                                      <a:pt x="4914293" y="1753483"/>
                                    </a:cubicBezTo>
                                    <a:cubicBezTo>
                                      <a:pt x="4538055" y="2016980"/>
                                      <a:pt x="4122921" y="2209400"/>
                                      <a:pt x="4119720" y="2461535"/>
                                    </a:cubicBezTo>
                                    <a:cubicBezTo>
                                      <a:pt x="4122910" y="2712791"/>
                                      <a:pt x="4535164" y="2904747"/>
                                      <a:pt x="4910418" y="3166743"/>
                                    </a:cubicBezTo>
                                    <a:cubicBezTo>
                                      <a:pt x="4856648" y="3353612"/>
                                      <a:pt x="4782088" y="3531656"/>
                                      <a:pt x="4688286" y="3697601"/>
                                    </a:cubicBezTo>
                                    <a:cubicBezTo>
                                      <a:pt x="4238463" y="3617356"/>
                                      <a:pt x="3812270" y="3462338"/>
                                      <a:pt x="3632629" y="3637474"/>
                                    </a:cubicBezTo>
                                    <a:cubicBezTo>
                                      <a:pt x="3457694" y="3816908"/>
                                      <a:pt x="3612155" y="4242328"/>
                                      <a:pt x="3692516" y="4691572"/>
                                    </a:cubicBezTo>
                                    <a:cubicBezTo>
                                      <a:pt x="3525599" y="4784614"/>
                                      <a:pt x="3347072" y="4859251"/>
                                      <a:pt x="3159353" y="4911795"/>
                                    </a:cubicBezTo>
                                    <a:cubicBezTo>
                                      <a:pt x="2898698" y="4537429"/>
                                      <a:pt x="2707158" y="4127744"/>
                                      <a:pt x="2456689" y="4124564"/>
                                    </a:cubicBezTo>
                                    <a:cubicBezTo>
                                      <a:pt x="2206405" y="4127742"/>
                                      <a:pt x="2014962" y="4536827"/>
                                      <a:pt x="1754621" y="4910984"/>
                                    </a:cubicBezTo>
                                    <a:cubicBezTo>
                                      <a:pt x="1566839" y="4857829"/>
                                      <a:pt x="1387892" y="4783697"/>
                                      <a:pt x="1221080" y="4690153"/>
                                    </a:cubicBezTo>
                                    <a:cubicBezTo>
                                      <a:pt x="1301548" y="4241436"/>
                                      <a:pt x="1455501" y="3816720"/>
                                      <a:pt x="1280749" y="3637474"/>
                                    </a:cubicBezTo>
                                    <a:cubicBezTo>
                                      <a:pt x="1100963" y="3462196"/>
                                      <a:pt x="674224" y="3617607"/>
                                      <a:pt x="223995" y="3697769"/>
                                    </a:cubicBezTo>
                                    <a:cubicBezTo>
                                      <a:pt x="130633" y="3531685"/>
                                      <a:pt x="55555" y="3354002"/>
                                      <a:pt x="2479" y="3167098"/>
                                    </a:cubicBezTo>
                                    <a:cubicBezTo>
                                      <a:pt x="377856" y="2904914"/>
                                      <a:pt x="790469" y="2712900"/>
                                      <a:pt x="793660" y="2461534"/>
                                    </a:cubicBezTo>
                                    <a:cubicBezTo>
                                      <a:pt x="790462" y="2209606"/>
                                      <a:pt x="376008" y="2017296"/>
                                      <a:pt x="0" y="1754152"/>
                                    </a:cubicBezTo>
                                    <a:cubicBezTo>
                                      <a:pt x="52619" y="1567796"/>
                                      <a:pt x="125894" y="1390131"/>
                                      <a:pt x="218426" y="1224445"/>
                                    </a:cubicBezTo>
                                    <a:cubicBezTo>
                                      <a:pt x="670716" y="1304180"/>
                                      <a:pt x="1100226" y="1461593"/>
                                      <a:pt x="1280750" y="1285594"/>
                                    </a:cubicBezTo>
                                    <a:cubicBezTo>
                                      <a:pt x="1457322" y="1104482"/>
                                      <a:pt x="1298306" y="672760"/>
                                      <a:pt x="1218919" y="218833"/>
                                    </a:cubicBezTo>
                                    <a:cubicBezTo>
                                      <a:pt x="1383938" y="126685"/>
                                      <a:pt x="1560322" y="52524"/>
                                      <a:pt x="1745766" y="19"/>
                                    </a:cubicBezTo>
                                    <a:cubicBezTo>
                                      <a:pt x="2010781" y="377241"/>
                                      <a:pt x="2203667" y="795292"/>
                                      <a:pt x="2456690" y="798504"/>
                                    </a:cubicBezTo>
                                    <a:cubicBezTo>
                                      <a:pt x="2709718" y="795292"/>
                                      <a:pt x="2902606" y="377227"/>
                                      <a:pt x="3167628" y="0"/>
                                    </a:cubicBezTo>
                                    <a:close/>
                                  </a:path>
                                </a:pathLst>
                              </a:custGeom>
                              <a:solidFill>
                                <a:schemeClr val="bg1">
                                  <a:lumMod val="85000"/>
                                </a:schemeClr>
                              </a:solidFill>
                              <a:ln>
                                <a:noFill/>
                              </a:ln>
                              <a:effectLst>
                                <a:outerShdw blurRad="50800" dist="38100" dir="10800000" algn="r" rotWithShape="0">
                                  <a:prstClr val="black">
                                    <a:alpha val="40000"/>
                                  </a:prstClr>
                                </a:outerShdw>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02" name="橢圓 17"/>
                            <wps:cNvSpPr/>
                            <wps:spPr>
                              <a:xfrm>
                                <a:off x="6283425" y="2176557"/>
                                <a:ext cx="2574904" cy="2574904"/>
                              </a:xfrm>
                              <a:custGeom>
                                <a:avLst/>
                                <a:gdLst/>
                                <a:ahLst/>
                                <a:cxnLst/>
                                <a:rect l="l" t="t" r="r" b="b"/>
                                <a:pathLst>
                                  <a:path w="2574904" h="2574904">
                                    <a:moveTo>
                                      <a:pt x="1286994" y="431147"/>
                                    </a:moveTo>
                                    <a:cubicBezTo>
                                      <a:pt x="814738" y="431147"/>
                                      <a:pt x="431899" y="813986"/>
                                      <a:pt x="431899" y="1286242"/>
                                    </a:cubicBezTo>
                                    <a:cubicBezTo>
                                      <a:pt x="431899" y="1758498"/>
                                      <a:pt x="814738" y="2141337"/>
                                      <a:pt x="1286994" y="2141337"/>
                                    </a:cubicBezTo>
                                    <a:cubicBezTo>
                                      <a:pt x="1759250" y="2141337"/>
                                      <a:pt x="2142089" y="1758498"/>
                                      <a:pt x="2142089" y="1286242"/>
                                    </a:cubicBezTo>
                                    <a:cubicBezTo>
                                      <a:pt x="2142089" y="813986"/>
                                      <a:pt x="1759250" y="431147"/>
                                      <a:pt x="1286994" y="431147"/>
                                    </a:cubicBezTo>
                                    <a:close/>
                                    <a:moveTo>
                                      <a:pt x="1287452" y="0"/>
                                    </a:moveTo>
                                    <a:cubicBezTo>
                                      <a:pt x="1998492" y="0"/>
                                      <a:pt x="2574904" y="576412"/>
                                      <a:pt x="2574904" y="1287452"/>
                                    </a:cubicBezTo>
                                    <a:cubicBezTo>
                                      <a:pt x="2574904" y="1998492"/>
                                      <a:pt x="1998492" y="2574904"/>
                                      <a:pt x="1287452" y="2574904"/>
                                    </a:cubicBezTo>
                                    <a:cubicBezTo>
                                      <a:pt x="576412" y="2574904"/>
                                      <a:pt x="0" y="1998492"/>
                                      <a:pt x="0" y="1287452"/>
                                    </a:cubicBezTo>
                                    <a:cubicBezTo>
                                      <a:pt x="0" y="576412"/>
                                      <a:pt x="576412" y="0"/>
                                      <a:pt x="1287452" y="0"/>
                                    </a:cubicBezTo>
                                    <a:close/>
                                  </a:path>
                                </a:pathLst>
                              </a:custGeom>
                              <a:solidFill>
                                <a:schemeClr val="bg1">
                                  <a:lumMod val="50000"/>
                                </a:schemeClr>
                              </a:solidFill>
                              <a:ln>
                                <a:noFill/>
                              </a:ln>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59A9941" id="群組 25" o:spid="_x0000_s1026" style="position:absolute;margin-left:42.7pt;margin-top:10.5pt;width:41.7pt;height:41.65pt;rotation:1949111fd;z-index:251659776" coordorigin="51137,10081" coordsize="49142,49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">
                    <v:shape id="橢圓 1" o:spid="_x0000_s1027" style="position:absolute;left:51137;top:10081;width:49143;height:49118;visibility:visible;mso-wrap-style:square;v-text-anchor:middle" coordsize="4914293,491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PSsQA&#10;AADcAAAADwAAAGRycy9kb3ducmV2LnhtbESPQWvCQBSE74X+h+UJvdXdtEVKdBWxLXgoBa0Hj8/s&#10;M4lm34bsq8Z/3xUEj8PMfMNMZr1v1Im6WAe2kA0NKOIiuJpLC5vfr+d3UFGQHTaBycKFIsymjw8T&#10;zF0484pOaylVgnDM0UIl0uZax6Iij3EYWuLk7UPnUZLsSu06PCe4b/SLMSPtsea0UGFLi4qK4/rP&#10;W9gtZfv9dtheFvSRNbKTzx/cGGufBv18DEqol3v41l46C68mg+uZdAT0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Qj0rEAAAA3AAAAA8AAAAAAAAAAAAAAAAAmAIAAGRycy9k&#10;b3ducmV2LnhtbFBLBQYAAAAABAAEAPUAAACJAwAAAAA=&#10;" path="m2456688,1167235v-711040,,-1287452,576412,-1287452,1287452c1169236,3165727,1745648,3742139,2456688,3742139v711040,,1287452,-576412,1287452,-1287452c3744140,1743647,3167728,1167235,2456688,1167235xm3167628,v185421,52479,361803,126594,526858,218670c3615112,672656,3456037,1104460,3632630,1285594v180808,176275,611385,18089,1064466,-61478c4788754,1390027,4862375,1567255,4914293,1753483v-376238,263497,-791372,455917,-794573,708052c4122910,2712791,4535164,2904747,4910418,3166743v-53770,186869,-128330,364913,-222132,530858c4238463,3617356,3812270,3462338,3632629,3637474v-174935,179434,-20474,604854,59887,1054098c3525599,4784614,3347072,4859251,3159353,4911795,2898698,4537429,2707158,4127744,2456689,4124564v-250284,3178,-441727,412263,-702068,786420c1566839,4857829,1387892,4783697,1221080,4690153v80468,-448717,234421,-873433,59669,-1052679c1100963,3462196,674224,3617607,223995,3697769,130633,3531685,55555,3354002,2479,3167098,377856,2904914,790469,2712900,793660,2461534,790462,2209606,376008,2017296,,1754152,52619,1567796,125894,1390131,218426,1224445v452290,79735,881800,237148,1062324,61149c1457322,1104482,1298306,672760,1218919,218833,1383938,126685,1560322,52524,1745766,19v265015,377222,457901,795273,710924,798485c2709718,795292,2902606,377227,3167628,xe" fillcolor="#d8d8d8 [2732]" stroked="f" strokeweight="2pt">
                      <v:shadow on="t" color="black" opacity="26214f" origin=".5" offset="-3pt,0"/>
                      <v:path arrowok="t"/>
                    </v:shape>
                    <v:shape id="橢圓 17" o:spid="_x0000_s1028" style="position:absolute;left:62834;top:21765;width:25749;height:25749;visibility:visible;mso-wrap-style:square;v-text-anchor:middle" coordsize="2574904,2574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aY8UA&#10;AADcAAAADwAAAGRycy9kb3ducmV2LnhtbESPQWvCQBSE7wX/w/IEL6VutFRCdJVSkErppWo9P7PP&#10;JJh9G3ZfNfbXdwuFHoeZ+YZZrHrXqguF2Hg2MBlnoIhLbxuuDOx364ccVBRki61nMnCjCKvl4G6B&#10;hfVX/qDLViqVIBwLNFCLdIXWsazJYRz7jjh5Jx8cSpKh0jbgNcFdq6dZNtMOG04LNXb0UlN53n45&#10;A0/Hz3u5ve3z8+w7hvc2P7zuxBkzGvbPc1BCvfyH/9oba+Axm8LvmXQ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1pjxQAAANwAAAAPAAAAAAAAAAAAAAAAAJgCAABkcnMv&#10;ZG93bnJldi54bWxQSwUGAAAAAAQABAD1AAAAigMAAAAA&#10;" path="m1286994,431147v-472256,,-855095,382839,-855095,855095c431899,1758498,814738,2141337,1286994,2141337v472256,,855095,-382839,855095,-855095c2142089,813986,1759250,431147,1286994,431147xm1287452,v711040,,1287452,576412,1287452,1287452c2574904,1998492,1998492,2574904,1287452,2574904,576412,2574904,,1998492,,1287452,,576412,576412,,1287452,xe" fillcolor="#7f7f7f [1612]" stroked="f" strokeweight="2pt">
                      <v:path arrowok="t"/>
                    </v:shape>
                  </v:group>
                </w:pict>
              </mc:Fallback>
            </mc:AlternateContent>
          </w:r>
          <w:r w:rsidR="00E12B5B" w:rsidRPr="0029055C">
            <w:rPr>
              <w:noProof/>
            </w:rPr>
            <mc:AlternateContent>
              <mc:Choice Requires="wpg">
                <w:drawing>
                  <wp:anchor distT="0" distB="0" distL="114300" distR="114300" simplePos="0" relativeHeight="251660800" behindDoc="0" locked="0" layoutInCell="1" allowOverlap="1" wp14:anchorId="72862B2B" wp14:editId="2032FDF2">
                    <wp:simplePos x="0" y="0"/>
                    <wp:positionH relativeFrom="column">
                      <wp:posOffset>38735</wp:posOffset>
                    </wp:positionH>
                    <wp:positionV relativeFrom="paragraph">
                      <wp:posOffset>97155</wp:posOffset>
                    </wp:positionV>
                    <wp:extent cx="529590" cy="528955"/>
                    <wp:effectExtent l="114300" t="76200" r="41910" b="99695"/>
                    <wp:wrapNone/>
                    <wp:docPr id="297" name="群組 22"/>
                    <wp:cNvGraphicFramePr/>
                    <a:graphic xmlns:a="http://schemas.openxmlformats.org/drawingml/2006/main">
                      <a:graphicData uri="http://schemas.microsoft.com/office/word/2010/wordprocessingGroup">
                        <wpg:wgp>
                          <wpg:cNvGrpSpPr/>
                          <wpg:grpSpPr bwMode="auto">
                            <a:xfrm>
                              <a:off x="0" y="0"/>
                              <a:ext cx="529590" cy="528955"/>
                              <a:chOff x="3285407" y="1350065"/>
                              <a:chExt cx="4914293" cy="4911795"/>
                            </a:xfrm>
                            <a:effectLst>
                              <a:outerShdw blurRad="50800" dist="38100" dir="5400000" algn="t" rotWithShape="0">
                                <a:prstClr val="black">
                                  <a:alpha val="40000"/>
                                </a:prstClr>
                              </a:outerShdw>
                            </a:effectLst>
                          </wpg:grpSpPr>
                          <wps:wsp>
                            <wps:cNvPr id="298" name="橢圓 1"/>
                            <wps:cNvSpPr/>
                            <wps:spPr>
                              <a:xfrm>
                                <a:off x="3285407" y="1350065"/>
                                <a:ext cx="4914293" cy="4911795"/>
                              </a:xfrm>
                              <a:custGeom>
                                <a:avLst/>
                                <a:gdLst/>
                                <a:ahLst/>
                                <a:cxnLst/>
                                <a:rect l="l" t="t" r="r" b="b"/>
                                <a:pathLst>
                                  <a:path w="4914293" h="4911795">
                                    <a:moveTo>
                                      <a:pt x="2456688" y="1167235"/>
                                    </a:moveTo>
                                    <a:cubicBezTo>
                                      <a:pt x="1745648" y="1167235"/>
                                      <a:pt x="1169236" y="1743647"/>
                                      <a:pt x="1169236" y="2454687"/>
                                    </a:cubicBezTo>
                                    <a:cubicBezTo>
                                      <a:pt x="1169236" y="3165727"/>
                                      <a:pt x="1745648" y="3742139"/>
                                      <a:pt x="2456688" y="3742139"/>
                                    </a:cubicBezTo>
                                    <a:cubicBezTo>
                                      <a:pt x="3167728" y="3742139"/>
                                      <a:pt x="3744140" y="3165727"/>
                                      <a:pt x="3744140" y="2454687"/>
                                    </a:cubicBezTo>
                                    <a:cubicBezTo>
                                      <a:pt x="3744140" y="1743647"/>
                                      <a:pt x="3167728" y="1167235"/>
                                      <a:pt x="2456688" y="1167235"/>
                                    </a:cubicBezTo>
                                    <a:close/>
                                    <a:moveTo>
                                      <a:pt x="3167628" y="0"/>
                                    </a:moveTo>
                                    <a:cubicBezTo>
                                      <a:pt x="3353049" y="52479"/>
                                      <a:pt x="3529431" y="126594"/>
                                      <a:pt x="3694486" y="218670"/>
                                    </a:cubicBezTo>
                                    <a:cubicBezTo>
                                      <a:pt x="3615112" y="672656"/>
                                      <a:pt x="3456037" y="1104460"/>
                                      <a:pt x="3632630" y="1285594"/>
                                    </a:cubicBezTo>
                                    <a:cubicBezTo>
                                      <a:pt x="3813438" y="1461869"/>
                                      <a:pt x="4244015" y="1303683"/>
                                      <a:pt x="4697096" y="1224116"/>
                                    </a:cubicBezTo>
                                    <a:cubicBezTo>
                                      <a:pt x="4788754" y="1390027"/>
                                      <a:pt x="4862375" y="1567255"/>
                                      <a:pt x="4914293" y="1753483"/>
                                    </a:cubicBezTo>
                                    <a:cubicBezTo>
                                      <a:pt x="4538055" y="2016980"/>
                                      <a:pt x="4122921" y="2209400"/>
                                      <a:pt x="4119720" y="2461535"/>
                                    </a:cubicBezTo>
                                    <a:cubicBezTo>
                                      <a:pt x="4122910" y="2712791"/>
                                      <a:pt x="4535164" y="2904747"/>
                                      <a:pt x="4910418" y="3166743"/>
                                    </a:cubicBezTo>
                                    <a:cubicBezTo>
                                      <a:pt x="4856648" y="3353612"/>
                                      <a:pt x="4782088" y="3531656"/>
                                      <a:pt x="4688286" y="3697601"/>
                                    </a:cubicBezTo>
                                    <a:cubicBezTo>
                                      <a:pt x="4238463" y="3617356"/>
                                      <a:pt x="3812270" y="3462338"/>
                                      <a:pt x="3632629" y="3637474"/>
                                    </a:cubicBezTo>
                                    <a:cubicBezTo>
                                      <a:pt x="3457694" y="3816908"/>
                                      <a:pt x="3612155" y="4242328"/>
                                      <a:pt x="3692516" y="4691572"/>
                                    </a:cubicBezTo>
                                    <a:cubicBezTo>
                                      <a:pt x="3525599" y="4784614"/>
                                      <a:pt x="3347072" y="4859251"/>
                                      <a:pt x="3159353" y="4911795"/>
                                    </a:cubicBezTo>
                                    <a:cubicBezTo>
                                      <a:pt x="2898698" y="4537429"/>
                                      <a:pt x="2707158" y="4127744"/>
                                      <a:pt x="2456689" y="4124564"/>
                                    </a:cubicBezTo>
                                    <a:cubicBezTo>
                                      <a:pt x="2206405" y="4127742"/>
                                      <a:pt x="2014962" y="4536827"/>
                                      <a:pt x="1754621" y="4910984"/>
                                    </a:cubicBezTo>
                                    <a:cubicBezTo>
                                      <a:pt x="1566839" y="4857829"/>
                                      <a:pt x="1387892" y="4783697"/>
                                      <a:pt x="1221080" y="4690153"/>
                                    </a:cubicBezTo>
                                    <a:cubicBezTo>
                                      <a:pt x="1301548" y="4241436"/>
                                      <a:pt x="1455501" y="3816720"/>
                                      <a:pt x="1280749" y="3637474"/>
                                    </a:cubicBezTo>
                                    <a:cubicBezTo>
                                      <a:pt x="1100963" y="3462196"/>
                                      <a:pt x="674224" y="3617607"/>
                                      <a:pt x="223995" y="3697769"/>
                                    </a:cubicBezTo>
                                    <a:cubicBezTo>
                                      <a:pt x="130633" y="3531685"/>
                                      <a:pt x="55555" y="3354002"/>
                                      <a:pt x="2479" y="3167098"/>
                                    </a:cubicBezTo>
                                    <a:cubicBezTo>
                                      <a:pt x="377856" y="2904914"/>
                                      <a:pt x="790469" y="2712900"/>
                                      <a:pt x="793660" y="2461534"/>
                                    </a:cubicBezTo>
                                    <a:cubicBezTo>
                                      <a:pt x="790462" y="2209606"/>
                                      <a:pt x="376008" y="2017296"/>
                                      <a:pt x="0" y="1754152"/>
                                    </a:cubicBezTo>
                                    <a:cubicBezTo>
                                      <a:pt x="52619" y="1567796"/>
                                      <a:pt x="125894" y="1390131"/>
                                      <a:pt x="218426" y="1224445"/>
                                    </a:cubicBezTo>
                                    <a:cubicBezTo>
                                      <a:pt x="670716" y="1304180"/>
                                      <a:pt x="1100226" y="1461593"/>
                                      <a:pt x="1280750" y="1285594"/>
                                    </a:cubicBezTo>
                                    <a:cubicBezTo>
                                      <a:pt x="1457322" y="1104482"/>
                                      <a:pt x="1298306" y="672760"/>
                                      <a:pt x="1218919" y="218833"/>
                                    </a:cubicBezTo>
                                    <a:cubicBezTo>
                                      <a:pt x="1383938" y="126685"/>
                                      <a:pt x="1560322" y="52524"/>
                                      <a:pt x="1745766" y="19"/>
                                    </a:cubicBezTo>
                                    <a:cubicBezTo>
                                      <a:pt x="2010781" y="377241"/>
                                      <a:pt x="2203667" y="795292"/>
                                      <a:pt x="2456690" y="798504"/>
                                    </a:cubicBezTo>
                                    <a:cubicBezTo>
                                      <a:pt x="2709718" y="795292"/>
                                      <a:pt x="2902606" y="377227"/>
                                      <a:pt x="3167628" y="0"/>
                                    </a:cubicBezTo>
                                    <a:close/>
                                  </a:path>
                                </a:pathLst>
                              </a:custGeom>
                              <a:solidFill>
                                <a:schemeClr val="bg1">
                                  <a:lumMod val="85000"/>
                                </a:schemeClr>
                              </a:solidFill>
                              <a:ln>
                                <a:noFill/>
                              </a:ln>
                              <a:effectLst>
                                <a:outerShdw blurRad="50800" dist="38100" dir="10800000" algn="r" rotWithShape="0">
                                  <a:prstClr val="black">
                                    <a:alpha val="40000"/>
                                  </a:prstClr>
                                </a:outerShdw>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99" name="橢圓 17"/>
                            <wps:cNvSpPr/>
                            <wps:spPr>
                              <a:xfrm>
                                <a:off x="4455101" y="2518510"/>
                                <a:ext cx="2574904" cy="2574904"/>
                              </a:xfrm>
                              <a:custGeom>
                                <a:avLst/>
                                <a:gdLst/>
                                <a:ahLst/>
                                <a:cxnLst/>
                                <a:rect l="l" t="t" r="r" b="b"/>
                                <a:pathLst>
                                  <a:path w="2574904" h="2574904">
                                    <a:moveTo>
                                      <a:pt x="1286994" y="431147"/>
                                    </a:moveTo>
                                    <a:cubicBezTo>
                                      <a:pt x="814738" y="431147"/>
                                      <a:pt x="431899" y="813986"/>
                                      <a:pt x="431899" y="1286242"/>
                                    </a:cubicBezTo>
                                    <a:cubicBezTo>
                                      <a:pt x="431899" y="1758498"/>
                                      <a:pt x="814738" y="2141337"/>
                                      <a:pt x="1286994" y="2141337"/>
                                    </a:cubicBezTo>
                                    <a:cubicBezTo>
                                      <a:pt x="1759250" y="2141337"/>
                                      <a:pt x="2142089" y="1758498"/>
                                      <a:pt x="2142089" y="1286242"/>
                                    </a:cubicBezTo>
                                    <a:cubicBezTo>
                                      <a:pt x="2142089" y="813986"/>
                                      <a:pt x="1759250" y="431147"/>
                                      <a:pt x="1286994" y="431147"/>
                                    </a:cubicBezTo>
                                    <a:close/>
                                    <a:moveTo>
                                      <a:pt x="1287452" y="0"/>
                                    </a:moveTo>
                                    <a:cubicBezTo>
                                      <a:pt x="1998492" y="0"/>
                                      <a:pt x="2574904" y="576412"/>
                                      <a:pt x="2574904" y="1287452"/>
                                    </a:cubicBezTo>
                                    <a:cubicBezTo>
                                      <a:pt x="2574904" y="1998492"/>
                                      <a:pt x="1998492" y="2574904"/>
                                      <a:pt x="1287452" y="2574904"/>
                                    </a:cubicBezTo>
                                    <a:cubicBezTo>
                                      <a:pt x="576412" y="2574904"/>
                                      <a:pt x="0" y="1998492"/>
                                      <a:pt x="0" y="1287452"/>
                                    </a:cubicBezTo>
                                    <a:cubicBezTo>
                                      <a:pt x="0" y="576412"/>
                                      <a:pt x="576412" y="0"/>
                                      <a:pt x="1287452" y="0"/>
                                    </a:cubicBezTo>
                                    <a:close/>
                                  </a:path>
                                </a:pathLst>
                              </a:custGeom>
                              <a:solidFill>
                                <a:schemeClr val="bg1">
                                  <a:lumMod val="50000"/>
                                </a:schemeClr>
                              </a:solidFill>
                              <a:ln>
                                <a:noFill/>
                              </a:ln>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6044534" id="群組 22" o:spid="_x0000_s1026" style="position:absolute;margin-left:3.05pt;margin-top:7.65pt;width:41.7pt;height:41.65pt;z-index:251660800" coordorigin="32854,13500" coordsize="49142,49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">
                    <v:shape id="橢圓 1" o:spid="_x0000_s1027" style="position:absolute;left:32854;top:13500;width:49143;height:49118;visibility:visible;mso-wrap-style:square;v-text-anchor:middle" coordsize="4914293,491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8zcIA&#10;AADcAAAADwAAAGRycy9kb3ducmV2LnhtbERPS2vCQBC+F/wPywi9NRullBpdpfiAHEqh0YPHMTtN&#10;0mZnQ3bU5N93D4UeP773ajO4Vt2oD41nA7MkBUVcettwZeB0PDy9ggqCbLH1TAZGCrBZTx5WmFl/&#10;50+6FVKpGMIhQwO1SJdpHcqaHIbEd8SR+/K9Q4mwr7Tt8R7DXavnafqiHTYcG2rsaFtT+VNcnYFL&#10;Luf35+/zuKXdrJWL7D/wlBrzOB3elqCEBvkX/7lza2C+iGvjmXgE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AbzNwgAAANwAAAAPAAAAAAAAAAAAAAAAAJgCAABkcnMvZG93&#10;bnJldi54bWxQSwUGAAAAAAQABAD1AAAAhwMAAAAA&#10;" path="m2456688,1167235v-711040,,-1287452,576412,-1287452,1287452c1169236,3165727,1745648,3742139,2456688,3742139v711040,,1287452,-576412,1287452,-1287452c3744140,1743647,3167728,1167235,2456688,1167235xm3167628,v185421,52479,361803,126594,526858,218670c3615112,672656,3456037,1104460,3632630,1285594v180808,176275,611385,18089,1064466,-61478c4788754,1390027,4862375,1567255,4914293,1753483v-376238,263497,-791372,455917,-794573,708052c4122910,2712791,4535164,2904747,4910418,3166743v-53770,186869,-128330,364913,-222132,530858c4238463,3617356,3812270,3462338,3632629,3637474v-174935,179434,-20474,604854,59887,1054098c3525599,4784614,3347072,4859251,3159353,4911795,2898698,4537429,2707158,4127744,2456689,4124564v-250284,3178,-441727,412263,-702068,786420c1566839,4857829,1387892,4783697,1221080,4690153v80468,-448717,234421,-873433,59669,-1052679c1100963,3462196,674224,3617607,223995,3697769,130633,3531685,55555,3354002,2479,3167098,377856,2904914,790469,2712900,793660,2461534,790462,2209606,376008,2017296,,1754152,52619,1567796,125894,1390131,218426,1224445v452290,79735,881800,237148,1062324,61149c1457322,1104482,1298306,672760,1218919,218833,1383938,126685,1560322,52524,1745766,19v265015,377222,457901,795273,710924,798485c2709718,795292,2902606,377227,3167628,xe" fillcolor="#d8d8d8 [2732]" stroked="f" strokeweight="2pt">
                      <v:shadow on="t" color="black" opacity="26214f" origin=".5" offset="-3pt,0"/>
                      <v:path arrowok="t"/>
                    </v:shape>
                    <v:shape id="橢圓 17" o:spid="_x0000_s1028" style="position:absolute;left:44551;top:25185;width:25749;height:25749;visibility:visible;mso-wrap-style:square;v-text-anchor:middle" coordsize="2574904,2574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SCMYA&#10;AADcAAAADwAAAGRycy9kb3ducmV2LnhtbESPX2vCQBDE3wv9DscWfCn1UkGJqaeUglhKX/zTPm9z&#10;2ySY2wt3q0Y/fU8Q+jjMzG+Y2aJ3rTpSiI1nA8/DDBRx6W3DlYHddvmUg4qCbLH1TAbOFGExv7+b&#10;YWH9idd03EilEoRjgQZqka7QOpY1OYxD3xEn79cHh5JkqLQNeEpw1+pRlk20w4bTQo0dvdVU7jcH&#10;Z2D88/Uo549dvp9cYvhs8+/VVpwxg4f+9QWUUC//4Vv73RoYTadwPZOOgJ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RSCMYAAADcAAAADwAAAAAAAAAAAAAAAACYAgAAZHJz&#10;L2Rvd25yZXYueG1sUEsFBgAAAAAEAAQA9QAAAIsDAAAAAA==&#10;" path="m1286994,431147v-472256,,-855095,382839,-855095,855095c431899,1758498,814738,2141337,1286994,2141337v472256,,855095,-382839,855095,-855095c2142089,813986,1759250,431147,1286994,431147xm1287452,v711040,,1287452,576412,1287452,1287452c2574904,1998492,1998492,2574904,1287452,2574904,576412,2574904,,1998492,,1287452,,576412,576412,,1287452,xe" fillcolor="#7f7f7f [1612]" stroked="f" strokeweight="2pt">
                      <v:path arrowok="t"/>
                    </v:shape>
                  </v:group>
                </w:pict>
              </mc:Fallback>
            </mc:AlternateContent>
          </w:r>
        </w:p>
        <w:p w14:paraId="1FAA09B1" w14:textId="77777777" w:rsidR="004120C8" w:rsidRPr="0029055C" w:rsidRDefault="003B04F0" w:rsidP="003B04F0">
          <w:pPr>
            <w:tabs>
              <w:tab w:val="left" w:pos="4065"/>
            </w:tabs>
          </w:pPr>
          <w:r w:rsidRPr="0029055C">
            <w:tab/>
          </w:r>
        </w:p>
        <w:p w14:paraId="5942885E" w14:textId="77777777" w:rsidR="004120C8" w:rsidRPr="0029055C" w:rsidRDefault="004120C8" w:rsidP="004120C8"/>
        <w:p w14:paraId="68765969" w14:textId="77777777" w:rsidR="004F7255" w:rsidRPr="0029055C" w:rsidRDefault="004F7255" w:rsidP="004120C8"/>
        <w:p w14:paraId="1F50F421" w14:textId="77777777" w:rsidR="004120C8" w:rsidRPr="0029055C" w:rsidRDefault="006578FB" w:rsidP="004120C8">
          <w:r w:rsidRPr="0029055C">
            <w:rPr>
              <w:noProof/>
            </w:rPr>
            <mc:AlternateContent>
              <mc:Choice Requires="wps">
                <w:drawing>
                  <wp:anchor distT="0" distB="0" distL="114300" distR="114300" simplePos="0" relativeHeight="251655680" behindDoc="0" locked="0" layoutInCell="1" allowOverlap="1" wp14:anchorId="5F44E0FD" wp14:editId="70782CF6">
                    <wp:simplePos x="0" y="0"/>
                    <wp:positionH relativeFrom="column">
                      <wp:posOffset>175895</wp:posOffset>
                    </wp:positionH>
                    <wp:positionV relativeFrom="paragraph">
                      <wp:posOffset>12065</wp:posOffset>
                    </wp:positionV>
                    <wp:extent cx="5429250" cy="683895"/>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5429250" cy="683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FAE39" w14:textId="77777777" w:rsidR="00292BCA" w:rsidRPr="001F7FEB" w:rsidRDefault="00292BCA" w:rsidP="006578FB">
                                <w:pPr>
                                  <w:jc w:val="center"/>
                                  <w:rPr>
                                    <w:b/>
                                    <w:caps/>
                                    <w:color w:val="E36C0A" w:themeColor="accent6" w:themeShade="BF"/>
                                    <w:sz w:val="28"/>
                                    <w:szCs w:val="26"/>
                                  </w:rPr>
                                </w:pPr>
                                <w:r w:rsidRPr="004F7255">
                                  <w:rPr>
                                    <w:b/>
                                    <w:caps/>
                                    <w:color w:val="E36C0A" w:themeColor="accent6" w:themeShade="BF"/>
                                    <w:sz w:val="28"/>
                                    <w:szCs w:val="26"/>
                                  </w:rPr>
                                  <w:t xml:space="preserve">ΠΑΡΑΔΟΤΕΟ </w:t>
                                </w:r>
                                <w:r>
                                  <w:rPr>
                                    <w:b/>
                                    <w:caps/>
                                    <w:color w:val="E36C0A" w:themeColor="accent6" w:themeShade="BF"/>
                                    <w:sz w:val="28"/>
                                    <w:szCs w:val="26"/>
                                  </w:rPr>
                                  <w:t>2</w:t>
                                </w:r>
                                <w:r w:rsidRPr="004F7255">
                                  <w:rPr>
                                    <w:b/>
                                    <w:caps/>
                                    <w:color w:val="E36C0A" w:themeColor="accent6" w:themeShade="BF"/>
                                    <w:sz w:val="28"/>
                                    <w:szCs w:val="26"/>
                                  </w:rPr>
                                  <w:t xml:space="preserve">: </w:t>
                                </w:r>
                                <w:r>
                                  <w:rPr>
                                    <w:b/>
                                    <w:caps/>
                                    <w:color w:val="E36C0A" w:themeColor="accent6" w:themeShade="BF"/>
                                    <w:sz w:val="28"/>
                                    <w:szCs w:val="26"/>
                                  </w:rPr>
                                  <w:t>Τεκμηρίωση αναθεωρησησ / τροποποιησησ</w:t>
                                </w:r>
                                <w:r>
                                  <w:rPr>
                                    <w:b/>
                                    <w:caps/>
                                    <w:color w:val="E36C0A" w:themeColor="accent6" w:themeShade="BF"/>
                                    <w:sz w:val="28"/>
                                    <w:szCs w:val="26"/>
                                  </w:rPr>
                                  <w:br/>
                                  <w:t>του επ μδτ</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44E0FD" id="Text Box 4" o:spid="_x0000_s1027" type="#_x0000_t202" style="position:absolute;left:0;text-align:left;margin-left:13.85pt;margin-top:.95pt;width:427.5pt;height:53.8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" filled="f" stroked="f" strokeweight=".5pt">
                    <v:textbox style="mso-fit-shape-to-text:t" inset=",7.2pt,,0">
                      <w:txbxContent>
                        <w:p w14:paraId="26DFAE39" w14:textId="77777777" w:rsidR="00292BCA" w:rsidRPr="001F7FEB" w:rsidRDefault="00292BCA" w:rsidP="006578FB">
                          <w:pPr>
                            <w:jc w:val="center"/>
                            <w:rPr>
                              <w:b/>
                              <w:caps/>
                              <w:color w:val="E36C0A" w:themeColor="accent6" w:themeShade="BF"/>
                              <w:sz w:val="28"/>
                              <w:szCs w:val="26"/>
                            </w:rPr>
                          </w:pPr>
                          <w:r w:rsidRPr="004F7255">
                            <w:rPr>
                              <w:b/>
                              <w:caps/>
                              <w:color w:val="E36C0A" w:themeColor="accent6" w:themeShade="BF"/>
                              <w:sz w:val="28"/>
                              <w:szCs w:val="26"/>
                            </w:rPr>
                            <w:t xml:space="preserve">ΠΑΡΑΔΟΤΕΟ </w:t>
                          </w:r>
                          <w:r>
                            <w:rPr>
                              <w:b/>
                              <w:caps/>
                              <w:color w:val="E36C0A" w:themeColor="accent6" w:themeShade="BF"/>
                              <w:sz w:val="28"/>
                              <w:szCs w:val="26"/>
                            </w:rPr>
                            <w:t>2</w:t>
                          </w:r>
                          <w:r w:rsidRPr="004F7255">
                            <w:rPr>
                              <w:b/>
                              <w:caps/>
                              <w:color w:val="E36C0A" w:themeColor="accent6" w:themeShade="BF"/>
                              <w:sz w:val="28"/>
                              <w:szCs w:val="26"/>
                            </w:rPr>
                            <w:t xml:space="preserve">: </w:t>
                          </w:r>
                          <w:r>
                            <w:rPr>
                              <w:b/>
                              <w:caps/>
                              <w:color w:val="E36C0A" w:themeColor="accent6" w:themeShade="BF"/>
                              <w:sz w:val="28"/>
                              <w:szCs w:val="26"/>
                            </w:rPr>
                            <w:t>Τεκμηρίωση αναθεωρησησ / τροποποιησησ</w:t>
                          </w:r>
                          <w:r>
                            <w:rPr>
                              <w:b/>
                              <w:caps/>
                              <w:color w:val="E36C0A" w:themeColor="accent6" w:themeShade="BF"/>
                              <w:sz w:val="28"/>
                              <w:szCs w:val="26"/>
                            </w:rPr>
                            <w:br/>
                            <w:t>του επ μδτ</w:t>
                          </w:r>
                        </w:p>
                      </w:txbxContent>
                    </v:textbox>
                  </v:shape>
                </w:pict>
              </mc:Fallback>
            </mc:AlternateContent>
          </w:r>
        </w:p>
        <w:p w14:paraId="7FB24770" w14:textId="77777777" w:rsidR="004120C8" w:rsidRPr="0029055C" w:rsidRDefault="00357FA8" w:rsidP="0013693A">
          <w:pPr>
            <w:ind w:firstLine="720"/>
          </w:pPr>
          <w:r w:rsidRPr="0029055C">
            <w:t xml:space="preserve"> </w:t>
          </w:r>
          <w:r w:rsidR="00390CE8" w:rsidRPr="0029055C">
            <w:t xml:space="preserve"> </w:t>
          </w:r>
        </w:p>
        <w:p w14:paraId="756B8F64" w14:textId="77777777" w:rsidR="004120C8" w:rsidRPr="0029055C" w:rsidRDefault="004120C8" w:rsidP="004120C8">
          <w:pPr>
            <w:ind w:firstLine="720"/>
          </w:pPr>
        </w:p>
        <w:p w14:paraId="3A68EB56" w14:textId="77777777" w:rsidR="008C6396" w:rsidRPr="0029055C" w:rsidRDefault="008C6396" w:rsidP="004120C8">
          <w:pPr>
            <w:ind w:firstLine="720"/>
          </w:pPr>
        </w:p>
        <w:p w14:paraId="66190D65" w14:textId="77777777" w:rsidR="008C6396" w:rsidRPr="0029055C" w:rsidRDefault="008C6396" w:rsidP="004120C8">
          <w:pPr>
            <w:ind w:firstLine="720"/>
          </w:pPr>
        </w:p>
        <w:p w14:paraId="6A23BCA5" w14:textId="77777777" w:rsidR="00182E18" w:rsidRPr="0029055C" w:rsidRDefault="003B04F0" w:rsidP="001F7FEB">
          <w:pPr>
            <w:tabs>
              <w:tab w:val="left" w:pos="5280"/>
            </w:tabs>
          </w:pPr>
          <w:r w:rsidRPr="0029055C">
            <w:tab/>
          </w:r>
          <w:r w:rsidR="00135B3C" w:rsidRPr="0029055C">
            <w:t xml:space="preserve">  </w:t>
          </w:r>
        </w:p>
        <w:p w14:paraId="780907CA" w14:textId="77777777" w:rsidR="00182E18" w:rsidRPr="0029055C" w:rsidRDefault="00182E18" w:rsidP="00C06F81">
          <w:pPr>
            <w:tabs>
              <w:tab w:val="left" w:pos="6946"/>
            </w:tabs>
            <w:ind w:right="2124"/>
            <w:jc w:val="right"/>
          </w:pPr>
        </w:p>
        <w:p w14:paraId="0D7CC846" w14:textId="77777777" w:rsidR="00182E18" w:rsidRPr="0029055C" w:rsidRDefault="00C06F81" w:rsidP="00C06F81">
          <w:pPr>
            <w:ind w:firstLine="5954"/>
          </w:pPr>
          <w:r w:rsidRPr="0029055C">
            <w:rPr>
              <w:sz w:val="28"/>
              <w:u w:val="single"/>
            </w:rPr>
            <w:t>Ανάδοχος</w:t>
          </w:r>
        </w:p>
        <w:p w14:paraId="071BCA86" w14:textId="77777777" w:rsidR="00437B19" w:rsidRPr="0029055C" w:rsidRDefault="00C06F81" w:rsidP="00437B19">
          <w:pPr>
            <w:tabs>
              <w:tab w:val="left" w:pos="0"/>
            </w:tabs>
            <w:jc w:val="center"/>
          </w:pPr>
          <w:r w:rsidRPr="0029055C">
            <w:rPr>
              <w:noProof/>
            </w:rPr>
            <w:drawing>
              <wp:anchor distT="0" distB="0" distL="114300" distR="114300" simplePos="0" relativeHeight="251654656" behindDoc="0" locked="0" layoutInCell="1" allowOverlap="1" wp14:anchorId="4D61DE84" wp14:editId="3EA23F40">
                <wp:simplePos x="0" y="0"/>
                <wp:positionH relativeFrom="column">
                  <wp:posOffset>3785966</wp:posOffset>
                </wp:positionH>
                <wp:positionV relativeFrom="paragraph">
                  <wp:posOffset>88505</wp:posOffset>
                </wp:positionV>
                <wp:extent cx="2305050" cy="339090"/>
                <wp:effectExtent l="0" t="0" r="0" b="3810"/>
                <wp:wrapNone/>
                <wp:docPr id="9" name="Εικόνα 9" descr="C:\Users\rkrassaki\AppData\Local\Microsoft\Windows\INetCache\Content.Word\LOGo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krassaki\AppData\Local\Microsoft\Windows\INetCache\Content.Word\LOGog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33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526C8" w14:textId="77777777" w:rsidR="00437B19" w:rsidRPr="0029055C" w:rsidRDefault="00437B19" w:rsidP="00437B19">
          <w:pPr>
            <w:tabs>
              <w:tab w:val="left" w:pos="0"/>
            </w:tabs>
            <w:jc w:val="center"/>
          </w:pPr>
        </w:p>
        <w:p w14:paraId="221DB806" w14:textId="77777777" w:rsidR="00437B19" w:rsidRPr="0029055C" w:rsidRDefault="00437B19" w:rsidP="00437B19">
          <w:pPr>
            <w:tabs>
              <w:tab w:val="left" w:pos="0"/>
            </w:tabs>
            <w:jc w:val="center"/>
          </w:pPr>
        </w:p>
        <w:p w14:paraId="69299133" w14:textId="77777777" w:rsidR="001F7FEB" w:rsidRPr="0029055C" w:rsidRDefault="001F7FEB" w:rsidP="00437B19">
          <w:pPr>
            <w:tabs>
              <w:tab w:val="left" w:pos="0"/>
            </w:tabs>
            <w:jc w:val="center"/>
          </w:pPr>
        </w:p>
        <w:p w14:paraId="7AB43541" w14:textId="77777777" w:rsidR="001F7FEB" w:rsidRPr="0029055C" w:rsidRDefault="001F7FEB" w:rsidP="00437B19">
          <w:pPr>
            <w:tabs>
              <w:tab w:val="left" w:pos="0"/>
            </w:tabs>
            <w:jc w:val="center"/>
          </w:pPr>
        </w:p>
        <w:p w14:paraId="6E6BF5BF" w14:textId="77777777" w:rsidR="00437B19" w:rsidRPr="0029055C" w:rsidRDefault="001F7FEB" w:rsidP="00437B19">
          <w:pPr>
            <w:tabs>
              <w:tab w:val="left" w:pos="0"/>
            </w:tabs>
            <w:jc w:val="center"/>
          </w:pPr>
          <w:r w:rsidRPr="0029055C">
            <w:rPr>
              <w:noProof/>
            </w:rPr>
            <mc:AlternateContent>
              <mc:Choice Requires="wps">
                <w:drawing>
                  <wp:anchor distT="0" distB="0" distL="114300" distR="114300" simplePos="0" relativeHeight="251653632" behindDoc="0" locked="0" layoutInCell="1" allowOverlap="1" wp14:anchorId="71615729" wp14:editId="3E59A2BA">
                    <wp:simplePos x="0" y="0"/>
                    <wp:positionH relativeFrom="column">
                      <wp:posOffset>1478432</wp:posOffset>
                    </wp:positionH>
                    <wp:positionV relativeFrom="paragraph">
                      <wp:posOffset>185013</wp:posOffset>
                    </wp:positionV>
                    <wp:extent cx="2616835" cy="329184"/>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616835"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09B30" w14:textId="77777777" w:rsidR="00292BCA" w:rsidRPr="004120C8" w:rsidRDefault="00292BCA" w:rsidP="00437B19">
                                <w:pPr>
                                  <w:spacing w:before="0" w:after="0" w:line="240" w:lineRule="auto"/>
                                  <w:jc w:val="center"/>
                                  <w:rPr>
                                    <w:b/>
                                    <w:color w:val="262626" w:themeColor="text1" w:themeTint="D9"/>
                                    <w:sz w:val="32"/>
                                  </w:rPr>
                                </w:pPr>
                                <w:r>
                                  <w:rPr>
                                    <w:b/>
                                    <w:color w:val="262626" w:themeColor="text1" w:themeTint="D9"/>
                                    <w:sz w:val="32"/>
                                  </w:rPr>
                                  <w:t>Ιούλιος</w:t>
                                </w:r>
                                <w:r w:rsidRPr="004120C8">
                                  <w:rPr>
                                    <w:b/>
                                    <w:color w:val="262626" w:themeColor="text1" w:themeTint="D9"/>
                                    <w:sz w:val="32"/>
                                  </w:rPr>
                                  <w:t xml:space="preserve"> 201</w:t>
                                </w:r>
                                <w:r>
                                  <w:rPr>
                                    <w:b/>
                                    <w:color w:val="262626" w:themeColor="text1" w:themeTint="D9"/>
                                    <w:sz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615729" id="Text Box 22" o:spid="_x0000_s1028" type="#_x0000_t202" style="position:absolute;left:0;text-align:left;margin-left:116.4pt;margin-top:14.55pt;width:206.05pt;height:25.9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" filled="f" stroked="f" strokeweight=".5pt">
                    <v:textbox>
                      <w:txbxContent>
                        <w:p w14:paraId="14909B30" w14:textId="77777777" w:rsidR="00292BCA" w:rsidRPr="004120C8" w:rsidRDefault="00292BCA" w:rsidP="00437B19">
                          <w:pPr>
                            <w:spacing w:before="0" w:after="0" w:line="240" w:lineRule="auto"/>
                            <w:jc w:val="center"/>
                            <w:rPr>
                              <w:b/>
                              <w:color w:val="262626" w:themeColor="text1" w:themeTint="D9"/>
                              <w:sz w:val="32"/>
                            </w:rPr>
                          </w:pPr>
                          <w:r>
                            <w:rPr>
                              <w:b/>
                              <w:color w:val="262626" w:themeColor="text1" w:themeTint="D9"/>
                              <w:sz w:val="32"/>
                            </w:rPr>
                            <w:t>Ιούλιος</w:t>
                          </w:r>
                          <w:r w:rsidRPr="004120C8">
                            <w:rPr>
                              <w:b/>
                              <w:color w:val="262626" w:themeColor="text1" w:themeTint="D9"/>
                              <w:sz w:val="32"/>
                            </w:rPr>
                            <w:t xml:space="preserve"> 201</w:t>
                          </w:r>
                          <w:r>
                            <w:rPr>
                              <w:b/>
                              <w:color w:val="262626" w:themeColor="text1" w:themeTint="D9"/>
                              <w:sz w:val="32"/>
                            </w:rPr>
                            <w:t>8</w:t>
                          </w:r>
                        </w:p>
                      </w:txbxContent>
                    </v:textbox>
                  </v:shape>
                </w:pict>
              </mc:Fallback>
            </mc:AlternateContent>
          </w:r>
        </w:p>
        <w:p w14:paraId="3EBF9965" w14:textId="77777777" w:rsidR="00437B19" w:rsidRPr="0029055C" w:rsidRDefault="00437B19" w:rsidP="00437B19">
          <w:pPr>
            <w:tabs>
              <w:tab w:val="left" w:pos="0"/>
            </w:tabs>
            <w:jc w:val="center"/>
          </w:pPr>
        </w:p>
        <w:p w14:paraId="576C9F04" w14:textId="77777777" w:rsidR="00437B19" w:rsidRPr="0029055C" w:rsidRDefault="00437B19" w:rsidP="00437B19">
          <w:pPr>
            <w:tabs>
              <w:tab w:val="left" w:pos="0"/>
            </w:tabs>
            <w:jc w:val="center"/>
          </w:pPr>
        </w:p>
        <w:p w14:paraId="7D1D48CC" w14:textId="77777777" w:rsidR="00B36E39" w:rsidRPr="0029055C" w:rsidRDefault="00437B19" w:rsidP="00437B19">
          <w:pPr>
            <w:tabs>
              <w:tab w:val="left" w:pos="0"/>
            </w:tabs>
            <w:jc w:val="center"/>
            <w:sectPr w:rsidR="00B36E39" w:rsidRPr="0029055C" w:rsidSect="00C06F81">
              <w:footerReference w:type="default" r:id="rId11"/>
              <w:pgSz w:w="11906" w:h="16838" w:code="9"/>
              <w:pgMar w:top="567" w:right="1418" w:bottom="295" w:left="1418" w:header="709" w:footer="340" w:gutter="0"/>
              <w:pgNumType w:start="0"/>
              <w:cols w:space="708"/>
              <w:docGrid w:linePitch="360"/>
            </w:sectPr>
          </w:pPr>
          <w:r w:rsidRPr="0029055C">
            <w:rPr>
              <w:noProof/>
            </w:rPr>
            <w:drawing>
              <wp:inline distT="0" distB="0" distL="0" distR="0" wp14:anchorId="0FC48387" wp14:editId="00F6903D">
                <wp:extent cx="2802808" cy="731520"/>
                <wp:effectExtent l="0" t="0" r="0" b="0"/>
                <wp:docPr id="2" name="Picture 2"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035" t="7481" r="4279" b="6427"/>
                        <a:stretch/>
                      </pic:blipFill>
                      <pic:spPr bwMode="auto">
                        <a:xfrm>
                          <a:off x="0" y="0"/>
                          <a:ext cx="2806773" cy="732555"/>
                        </a:xfrm>
                        <a:prstGeom prst="rect">
                          <a:avLst/>
                        </a:prstGeom>
                        <a:noFill/>
                        <a:ln>
                          <a:noFill/>
                        </a:ln>
                        <a:extLst>
                          <a:ext uri="{53640926-AAD7-44D8-BBD7-CCE9431645EC}">
                            <a14:shadowObscured xmlns:a14="http://schemas.microsoft.com/office/drawing/2010/main"/>
                          </a:ext>
                        </a:extLst>
                      </pic:spPr>
                    </pic:pic>
                  </a:graphicData>
                </a:graphic>
              </wp:inline>
            </w:drawing>
          </w:r>
        </w:p>
        <w:p w14:paraId="677EACF9" w14:textId="77777777" w:rsidR="00D0008C" w:rsidRPr="0029055C" w:rsidRDefault="00292BCA" w:rsidP="003978B3">
          <w:pPr>
            <w:spacing w:before="0" w:after="0" w:line="240" w:lineRule="auto"/>
            <w:rPr>
              <w:sz w:val="12"/>
            </w:rPr>
          </w:pPr>
        </w:p>
      </w:sdtContent>
    </w:sdt>
    <w:sdt>
      <w:sdtPr>
        <w:rPr>
          <w:rFonts w:ascii="Calibri" w:hAnsi="Calibri"/>
          <w:b w:val="0"/>
          <w:bCs w:val="0"/>
          <w:caps w:val="0"/>
          <w:color w:val="FFFFFF" w:themeColor="background1"/>
          <w:sz w:val="20"/>
          <w:szCs w:val="24"/>
          <w:lang w:eastAsia="el-GR"/>
        </w:rPr>
        <w:id w:val="1940264150"/>
        <w:docPartObj>
          <w:docPartGallery w:val="Table of Contents"/>
          <w:docPartUnique/>
        </w:docPartObj>
      </w:sdtPr>
      <w:sdtEndPr>
        <w:rPr>
          <w:color w:val="auto"/>
        </w:rPr>
      </w:sdtEndPr>
      <w:sdtContent>
        <w:p w14:paraId="01BEB7D5" w14:textId="77777777" w:rsidR="00D5167E" w:rsidRPr="0029055C" w:rsidRDefault="00D5167E" w:rsidP="00D35235">
          <w:pPr>
            <w:pStyle w:val="TOCHeading"/>
            <w:pageBreakBefore w:val="0"/>
            <w:rPr>
              <w:color w:val="FFFFFF" w:themeColor="background1"/>
            </w:rPr>
          </w:pPr>
          <w:r w:rsidRPr="0029055C">
            <w:rPr>
              <w:color w:val="FFFFFF" w:themeColor="background1"/>
            </w:rPr>
            <w:t>Πίνακας περιεχομένων</w:t>
          </w:r>
        </w:p>
        <w:p w14:paraId="032C60DD" w14:textId="77777777" w:rsidR="00292BCA" w:rsidRDefault="00D5167E">
          <w:pPr>
            <w:pStyle w:val="TOC1"/>
            <w:rPr>
              <w:rFonts w:asciiTheme="minorHAnsi" w:eastAsiaTheme="minorEastAsia" w:hAnsiTheme="minorHAnsi" w:cstheme="minorBidi"/>
              <w:b w:val="0"/>
              <w:color w:val="auto"/>
              <w:sz w:val="22"/>
              <w:szCs w:val="22"/>
            </w:rPr>
          </w:pPr>
          <w:r w:rsidRPr="0029055C">
            <w:rPr>
              <w:noProof w:val="0"/>
            </w:rPr>
            <w:fldChar w:fldCharType="begin"/>
          </w:r>
          <w:r w:rsidRPr="0029055C">
            <w:rPr>
              <w:noProof w:val="0"/>
            </w:rPr>
            <w:instrText xml:space="preserve"> TOC \o "1-3" \h \z \u </w:instrText>
          </w:r>
          <w:r w:rsidRPr="0029055C">
            <w:rPr>
              <w:noProof w:val="0"/>
            </w:rPr>
            <w:fldChar w:fldCharType="separate"/>
          </w:r>
          <w:hyperlink w:anchor="_Toc519758752" w:history="1">
            <w:r w:rsidR="00292BCA" w:rsidRPr="00942FC4">
              <w:rPr>
                <w:rStyle w:val="Hyperlink"/>
              </w:rPr>
              <w:t>Εισαγωγή</w:t>
            </w:r>
            <w:r w:rsidR="00292BCA">
              <w:rPr>
                <w:webHidden/>
              </w:rPr>
              <w:tab/>
            </w:r>
            <w:r w:rsidR="00292BCA">
              <w:rPr>
                <w:webHidden/>
              </w:rPr>
              <w:fldChar w:fldCharType="begin"/>
            </w:r>
            <w:r w:rsidR="00292BCA">
              <w:rPr>
                <w:webHidden/>
              </w:rPr>
              <w:instrText xml:space="preserve"> PAGEREF _Toc519758752 \h </w:instrText>
            </w:r>
            <w:r w:rsidR="00292BCA">
              <w:rPr>
                <w:webHidden/>
              </w:rPr>
            </w:r>
            <w:r w:rsidR="00292BCA">
              <w:rPr>
                <w:webHidden/>
              </w:rPr>
              <w:fldChar w:fldCharType="separate"/>
            </w:r>
            <w:r w:rsidR="00292BCA">
              <w:rPr>
                <w:webHidden/>
              </w:rPr>
              <w:t>1</w:t>
            </w:r>
            <w:r w:rsidR="00292BCA">
              <w:rPr>
                <w:webHidden/>
              </w:rPr>
              <w:fldChar w:fldCharType="end"/>
            </w:r>
          </w:hyperlink>
        </w:p>
        <w:p w14:paraId="588CA1BA" w14:textId="77777777" w:rsidR="00292BCA" w:rsidRDefault="00292BCA">
          <w:pPr>
            <w:pStyle w:val="TOC1"/>
            <w:rPr>
              <w:rFonts w:asciiTheme="minorHAnsi" w:eastAsiaTheme="minorEastAsia" w:hAnsiTheme="minorHAnsi" w:cstheme="minorBidi"/>
              <w:b w:val="0"/>
              <w:color w:val="auto"/>
              <w:sz w:val="22"/>
              <w:szCs w:val="22"/>
            </w:rPr>
          </w:pPr>
          <w:hyperlink w:anchor="_Toc519758753" w:history="1">
            <w:r w:rsidRPr="00942FC4">
              <w:rPr>
                <w:rStyle w:val="Hyperlink"/>
              </w:rPr>
              <w:t>1.</w:t>
            </w:r>
            <w:r>
              <w:rPr>
                <w:rFonts w:asciiTheme="minorHAnsi" w:eastAsiaTheme="minorEastAsia" w:hAnsiTheme="minorHAnsi" w:cstheme="minorBidi"/>
                <w:b w:val="0"/>
                <w:color w:val="auto"/>
                <w:sz w:val="22"/>
                <w:szCs w:val="22"/>
              </w:rPr>
              <w:tab/>
            </w:r>
            <w:r w:rsidRPr="00942FC4">
              <w:rPr>
                <w:rStyle w:val="Hyperlink"/>
              </w:rPr>
              <w:t>Περιγραφή και τεκμηρίωση της προτεινόμενης Αναθεώρησης / Τροποποίησης του ΕΠ ΜΔΤ</w:t>
            </w:r>
            <w:r>
              <w:rPr>
                <w:webHidden/>
              </w:rPr>
              <w:tab/>
            </w:r>
            <w:r>
              <w:rPr>
                <w:webHidden/>
              </w:rPr>
              <w:fldChar w:fldCharType="begin"/>
            </w:r>
            <w:r>
              <w:rPr>
                <w:webHidden/>
              </w:rPr>
              <w:instrText xml:space="preserve"> PAGEREF _Toc519758753 \h </w:instrText>
            </w:r>
            <w:r>
              <w:rPr>
                <w:webHidden/>
              </w:rPr>
            </w:r>
            <w:r>
              <w:rPr>
                <w:webHidden/>
              </w:rPr>
              <w:fldChar w:fldCharType="separate"/>
            </w:r>
            <w:r>
              <w:rPr>
                <w:webHidden/>
              </w:rPr>
              <w:t>2</w:t>
            </w:r>
            <w:r>
              <w:rPr>
                <w:webHidden/>
              </w:rPr>
              <w:fldChar w:fldCharType="end"/>
            </w:r>
          </w:hyperlink>
        </w:p>
        <w:p w14:paraId="26253331" w14:textId="77777777" w:rsidR="00292BCA" w:rsidRDefault="00292BCA">
          <w:pPr>
            <w:pStyle w:val="TOC2"/>
            <w:rPr>
              <w:rFonts w:asciiTheme="minorHAnsi" w:eastAsiaTheme="minorEastAsia" w:hAnsiTheme="minorHAnsi" w:cstheme="minorBidi"/>
              <w:sz w:val="22"/>
              <w:szCs w:val="22"/>
            </w:rPr>
          </w:pPr>
          <w:hyperlink w:anchor="_Toc519758754" w:history="1">
            <w:r w:rsidRPr="00942FC4">
              <w:rPr>
                <w:rStyle w:val="Hyperlink"/>
              </w:rPr>
              <w:t>1.1.</w:t>
            </w:r>
            <w:r>
              <w:rPr>
                <w:rFonts w:asciiTheme="minorHAnsi" w:eastAsiaTheme="minorEastAsia" w:hAnsiTheme="minorHAnsi" w:cstheme="minorBidi"/>
                <w:sz w:val="22"/>
                <w:szCs w:val="22"/>
              </w:rPr>
              <w:tab/>
            </w:r>
            <w:r w:rsidRPr="00942FC4">
              <w:rPr>
                <w:rStyle w:val="Hyperlink"/>
              </w:rPr>
              <w:t>Βασικοί Άξονες Αναθεώρησης του ΕΠ ΜΔΤ</w:t>
            </w:r>
            <w:r>
              <w:rPr>
                <w:webHidden/>
              </w:rPr>
              <w:tab/>
            </w:r>
            <w:r>
              <w:rPr>
                <w:webHidden/>
              </w:rPr>
              <w:fldChar w:fldCharType="begin"/>
            </w:r>
            <w:r>
              <w:rPr>
                <w:webHidden/>
              </w:rPr>
              <w:instrText xml:space="preserve"> PAGEREF _Toc519758754 \h </w:instrText>
            </w:r>
            <w:r>
              <w:rPr>
                <w:webHidden/>
              </w:rPr>
            </w:r>
            <w:r>
              <w:rPr>
                <w:webHidden/>
              </w:rPr>
              <w:fldChar w:fldCharType="separate"/>
            </w:r>
            <w:r>
              <w:rPr>
                <w:webHidden/>
              </w:rPr>
              <w:t>2</w:t>
            </w:r>
            <w:r>
              <w:rPr>
                <w:webHidden/>
              </w:rPr>
              <w:fldChar w:fldCharType="end"/>
            </w:r>
          </w:hyperlink>
        </w:p>
        <w:p w14:paraId="7C29A861" w14:textId="77777777" w:rsidR="00292BCA" w:rsidRDefault="00292BCA">
          <w:pPr>
            <w:pStyle w:val="TOC2"/>
            <w:rPr>
              <w:rFonts w:asciiTheme="minorHAnsi" w:eastAsiaTheme="minorEastAsia" w:hAnsiTheme="minorHAnsi" w:cstheme="minorBidi"/>
              <w:sz w:val="22"/>
              <w:szCs w:val="22"/>
            </w:rPr>
          </w:pPr>
          <w:hyperlink w:anchor="_Toc519758755" w:history="1">
            <w:r w:rsidRPr="00942FC4">
              <w:rPr>
                <w:rStyle w:val="Hyperlink"/>
              </w:rPr>
              <w:t>1.2.</w:t>
            </w:r>
            <w:r>
              <w:rPr>
                <w:rFonts w:asciiTheme="minorHAnsi" w:eastAsiaTheme="minorEastAsia" w:hAnsiTheme="minorHAnsi" w:cstheme="minorBidi"/>
                <w:sz w:val="22"/>
                <w:szCs w:val="22"/>
              </w:rPr>
              <w:tab/>
            </w:r>
            <w:r w:rsidRPr="00942FC4">
              <w:rPr>
                <w:rStyle w:val="Hyperlink"/>
              </w:rPr>
              <w:t>Πρόταση Αναθεώρησης / Τροποποίησης του ΕΠ ΜΔΤ</w:t>
            </w:r>
            <w:r>
              <w:rPr>
                <w:webHidden/>
              </w:rPr>
              <w:tab/>
            </w:r>
            <w:r>
              <w:rPr>
                <w:webHidden/>
              </w:rPr>
              <w:fldChar w:fldCharType="begin"/>
            </w:r>
            <w:r>
              <w:rPr>
                <w:webHidden/>
              </w:rPr>
              <w:instrText xml:space="preserve"> PAGEREF _Toc519758755 \h </w:instrText>
            </w:r>
            <w:r>
              <w:rPr>
                <w:webHidden/>
              </w:rPr>
            </w:r>
            <w:r>
              <w:rPr>
                <w:webHidden/>
              </w:rPr>
              <w:fldChar w:fldCharType="separate"/>
            </w:r>
            <w:r>
              <w:rPr>
                <w:webHidden/>
              </w:rPr>
              <w:t>3</w:t>
            </w:r>
            <w:r>
              <w:rPr>
                <w:webHidden/>
              </w:rPr>
              <w:fldChar w:fldCharType="end"/>
            </w:r>
          </w:hyperlink>
        </w:p>
        <w:p w14:paraId="652D7950" w14:textId="77777777" w:rsidR="00292BCA" w:rsidRDefault="00292BCA">
          <w:pPr>
            <w:pStyle w:val="TOC3"/>
            <w:rPr>
              <w:rFonts w:asciiTheme="minorHAnsi" w:eastAsiaTheme="minorEastAsia" w:hAnsiTheme="minorHAnsi" w:cstheme="minorBidi"/>
              <w:i w:val="0"/>
              <w:sz w:val="22"/>
              <w:szCs w:val="22"/>
            </w:rPr>
          </w:pPr>
          <w:hyperlink w:anchor="_Toc519758756" w:history="1">
            <w:r w:rsidRPr="00942FC4">
              <w:rPr>
                <w:rStyle w:val="Hyperlink"/>
              </w:rPr>
              <w:t>1.2.1.</w:t>
            </w:r>
            <w:r>
              <w:rPr>
                <w:rFonts w:asciiTheme="minorHAnsi" w:eastAsiaTheme="minorEastAsia" w:hAnsiTheme="minorHAnsi" w:cstheme="minorBidi"/>
                <w:i w:val="0"/>
                <w:sz w:val="22"/>
                <w:szCs w:val="22"/>
              </w:rPr>
              <w:tab/>
            </w:r>
            <w:r w:rsidRPr="00942FC4">
              <w:rPr>
                <w:rStyle w:val="Hyperlink"/>
              </w:rPr>
              <w:t>Προτεινόμενες Τροποποιήσεις ανά Θεματικό Άξονα του Προγράμματος</w:t>
            </w:r>
            <w:r>
              <w:rPr>
                <w:webHidden/>
              </w:rPr>
              <w:tab/>
            </w:r>
            <w:r>
              <w:rPr>
                <w:webHidden/>
              </w:rPr>
              <w:fldChar w:fldCharType="begin"/>
            </w:r>
            <w:r>
              <w:rPr>
                <w:webHidden/>
              </w:rPr>
              <w:instrText xml:space="preserve"> PAGEREF _Toc519758756 \h </w:instrText>
            </w:r>
            <w:r>
              <w:rPr>
                <w:webHidden/>
              </w:rPr>
            </w:r>
            <w:r>
              <w:rPr>
                <w:webHidden/>
              </w:rPr>
              <w:fldChar w:fldCharType="separate"/>
            </w:r>
            <w:r>
              <w:rPr>
                <w:webHidden/>
              </w:rPr>
              <w:t>6</w:t>
            </w:r>
            <w:r>
              <w:rPr>
                <w:webHidden/>
              </w:rPr>
              <w:fldChar w:fldCharType="end"/>
            </w:r>
          </w:hyperlink>
        </w:p>
        <w:p w14:paraId="1C93D771" w14:textId="77777777" w:rsidR="00292BCA" w:rsidRDefault="00292BCA">
          <w:pPr>
            <w:pStyle w:val="TOC3"/>
            <w:rPr>
              <w:rFonts w:asciiTheme="minorHAnsi" w:eastAsiaTheme="minorEastAsia" w:hAnsiTheme="minorHAnsi" w:cstheme="minorBidi"/>
              <w:i w:val="0"/>
              <w:sz w:val="22"/>
              <w:szCs w:val="22"/>
            </w:rPr>
          </w:pPr>
          <w:hyperlink w:anchor="_Toc519758757" w:history="1">
            <w:r w:rsidRPr="00942FC4">
              <w:rPr>
                <w:rStyle w:val="Hyperlink"/>
              </w:rPr>
              <w:t>1.2.2.</w:t>
            </w:r>
            <w:r>
              <w:rPr>
                <w:rFonts w:asciiTheme="minorHAnsi" w:eastAsiaTheme="minorEastAsia" w:hAnsiTheme="minorHAnsi" w:cstheme="minorBidi"/>
                <w:i w:val="0"/>
                <w:sz w:val="22"/>
                <w:szCs w:val="22"/>
              </w:rPr>
              <w:tab/>
            </w:r>
            <w:r w:rsidRPr="00942FC4">
              <w:rPr>
                <w:rStyle w:val="Hyperlink"/>
              </w:rPr>
              <w:t>Χρηματοδοτικοί Πίνακες ΕΠ ΜΔΤ</w:t>
            </w:r>
            <w:r>
              <w:rPr>
                <w:webHidden/>
              </w:rPr>
              <w:tab/>
            </w:r>
            <w:r>
              <w:rPr>
                <w:webHidden/>
              </w:rPr>
              <w:fldChar w:fldCharType="begin"/>
            </w:r>
            <w:r>
              <w:rPr>
                <w:webHidden/>
              </w:rPr>
              <w:instrText xml:space="preserve"> PAGEREF _Toc519758757 \h </w:instrText>
            </w:r>
            <w:r>
              <w:rPr>
                <w:webHidden/>
              </w:rPr>
            </w:r>
            <w:r>
              <w:rPr>
                <w:webHidden/>
              </w:rPr>
              <w:fldChar w:fldCharType="separate"/>
            </w:r>
            <w:r>
              <w:rPr>
                <w:webHidden/>
              </w:rPr>
              <w:t>20</w:t>
            </w:r>
            <w:r>
              <w:rPr>
                <w:webHidden/>
              </w:rPr>
              <w:fldChar w:fldCharType="end"/>
            </w:r>
          </w:hyperlink>
        </w:p>
        <w:p w14:paraId="6EBCDAAC" w14:textId="77777777" w:rsidR="00292BCA" w:rsidRDefault="00292BCA">
          <w:pPr>
            <w:pStyle w:val="TOC3"/>
            <w:rPr>
              <w:rFonts w:asciiTheme="minorHAnsi" w:eastAsiaTheme="minorEastAsia" w:hAnsiTheme="minorHAnsi" w:cstheme="minorBidi"/>
              <w:i w:val="0"/>
              <w:sz w:val="22"/>
              <w:szCs w:val="22"/>
            </w:rPr>
          </w:pPr>
          <w:hyperlink w:anchor="_Toc519758758" w:history="1">
            <w:r w:rsidRPr="00942FC4">
              <w:rPr>
                <w:rStyle w:val="Hyperlink"/>
              </w:rPr>
              <w:t>1.2.3.</w:t>
            </w:r>
            <w:r>
              <w:rPr>
                <w:rFonts w:asciiTheme="minorHAnsi" w:eastAsiaTheme="minorEastAsia" w:hAnsiTheme="minorHAnsi" w:cstheme="minorBidi"/>
                <w:i w:val="0"/>
                <w:sz w:val="22"/>
                <w:szCs w:val="22"/>
              </w:rPr>
              <w:tab/>
            </w:r>
            <w:r w:rsidRPr="00942FC4">
              <w:rPr>
                <w:rStyle w:val="Hyperlink"/>
              </w:rPr>
              <w:t>Πλαίσιο Επιδόσεων του ΕΠ ΜΔΤ</w:t>
            </w:r>
            <w:r>
              <w:rPr>
                <w:webHidden/>
              </w:rPr>
              <w:tab/>
            </w:r>
            <w:r>
              <w:rPr>
                <w:webHidden/>
              </w:rPr>
              <w:fldChar w:fldCharType="begin"/>
            </w:r>
            <w:r>
              <w:rPr>
                <w:webHidden/>
              </w:rPr>
              <w:instrText xml:space="preserve"> PAGEREF _Toc519758758 \h </w:instrText>
            </w:r>
            <w:r>
              <w:rPr>
                <w:webHidden/>
              </w:rPr>
            </w:r>
            <w:r>
              <w:rPr>
                <w:webHidden/>
              </w:rPr>
              <w:fldChar w:fldCharType="separate"/>
            </w:r>
            <w:r>
              <w:rPr>
                <w:webHidden/>
              </w:rPr>
              <w:t>27</w:t>
            </w:r>
            <w:r>
              <w:rPr>
                <w:webHidden/>
              </w:rPr>
              <w:fldChar w:fldCharType="end"/>
            </w:r>
          </w:hyperlink>
        </w:p>
        <w:p w14:paraId="5E1DE368" w14:textId="77777777" w:rsidR="00292BCA" w:rsidRDefault="00292BCA">
          <w:pPr>
            <w:pStyle w:val="TOC1"/>
            <w:rPr>
              <w:rFonts w:asciiTheme="minorHAnsi" w:eastAsiaTheme="minorEastAsia" w:hAnsiTheme="minorHAnsi" w:cstheme="minorBidi"/>
              <w:b w:val="0"/>
              <w:color w:val="auto"/>
              <w:sz w:val="22"/>
              <w:szCs w:val="22"/>
            </w:rPr>
          </w:pPr>
          <w:hyperlink w:anchor="_Toc519758759" w:history="1">
            <w:r w:rsidRPr="00942FC4">
              <w:rPr>
                <w:rStyle w:val="Hyperlink"/>
              </w:rPr>
              <w:t>2.</w:t>
            </w:r>
            <w:r>
              <w:rPr>
                <w:rFonts w:asciiTheme="minorHAnsi" w:eastAsiaTheme="minorEastAsia" w:hAnsiTheme="minorHAnsi" w:cstheme="minorBidi"/>
                <w:b w:val="0"/>
                <w:color w:val="auto"/>
                <w:sz w:val="22"/>
                <w:szCs w:val="22"/>
              </w:rPr>
              <w:tab/>
            </w:r>
            <w:r w:rsidRPr="00942FC4">
              <w:rPr>
                <w:rStyle w:val="Hyperlink"/>
              </w:rPr>
              <w:t>Αποτύπωση των αναμενόμενων επιπτώσεων της τροποποίησης του ΕΠ ΜΔΤ</w:t>
            </w:r>
            <w:r>
              <w:rPr>
                <w:webHidden/>
              </w:rPr>
              <w:tab/>
            </w:r>
            <w:r>
              <w:rPr>
                <w:webHidden/>
              </w:rPr>
              <w:fldChar w:fldCharType="begin"/>
            </w:r>
            <w:r>
              <w:rPr>
                <w:webHidden/>
              </w:rPr>
              <w:instrText xml:space="preserve"> PAGEREF _Toc519758759 \h </w:instrText>
            </w:r>
            <w:r>
              <w:rPr>
                <w:webHidden/>
              </w:rPr>
            </w:r>
            <w:r>
              <w:rPr>
                <w:webHidden/>
              </w:rPr>
              <w:fldChar w:fldCharType="separate"/>
            </w:r>
            <w:r>
              <w:rPr>
                <w:webHidden/>
              </w:rPr>
              <w:t>31</w:t>
            </w:r>
            <w:r>
              <w:rPr>
                <w:webHidden/>
              </w:rPr>
              <w:fldChar w:fldCharType="end"/>
            </w:r>
          </w:hyperlink>
        </w:p>
        <w:p w14:paraId="3BA9EE6A" w14:textId="77777777" w:rsidR="00292BCA" w:rsidRDefault="00292BCA">
          <w:pPr>
            <w:pStyle w:val="TOC1"/>
            <w:rPr>
              <w:rFonts w:asciiTheme="minorHAnsi" w:eastAsiaTheme="minorEastAsia" w:hAnsiTheme="minorHAnsi" w:cstheme="minorBidi"/>
              <w:b w:val="0"/>
              <w:color w:val="auto"/>
              <w:sz w:val="22"/>
              <w:szCs w:val="22"/>
            </w:rPr>
          </w:pPr>
          <w:hyperlink w:anchor="_Toc519758760" w:history="1">
            <w:r w:rsidRPr="00942FC4">
              <w:rPr>
                <w:rStyle w:val="Hyperlink"/>
              </w:rPr>
              <w:t>3.</w:t>
            </w:r>
            <w:r>
              <w:rPr>
                <w:rFonts w:asciiTheme="minorHAnsi" w:eastAsiaTheme="minorEastAsia" w:hAnsiTheme="minorHAnsi" w:cstheme="minorBidi"/>
                <w:b w:val="0"/>
                <w:color w:val="auto"/>
                <w:sz w:val="22"/>
                <w:szCs w:val="22"/>
              </w:rPr>
              <w:tab/>
            </w:r>
            <w:r w:rsidRPr="00942FC4">
              <w:rPr>
                <w:rStyle w:val="Hyperlink"/>
              </w:rPr>
              <w:t>Συνοπτική Αποτύπωση των συμπερασμάτων της Αξιολόγησης του ΕΠ ΜΔΤ</w:t>
            </w:r>
            <w:r>
              <w:rPr>
                <w:webHidden/>
              </w:rPr>
              <w:tab/>
            </w:r>
            <w:r>
              <w:rPr>
                <w:webHidden/>
              </w:rPr>
              <w:fldChar w:fldCharType="begin"/>
            </w:r>
            <w:r>
              <w:rPr>
                <w:webHidden/>
              </w:rPr>
              <w:instrText xml:space="preserve"> PAGEREF _Toc519758760 \h </w:instrText>
            </w:r>
            <w:r>
              <w:rPr>
                <w:webHidden/>
              </w:rPr>
            </w:r>
            <w:r>
              <w:rPr>
                <w:webHidden/>
              </w:rPr>
              <w:fldChar w:fldCharType="separate"/>
            </w:r>
            <w:r>
              <w:rPr>
                <w:webHidden/>
              </w:rPr>
              <w:t>33</w:t>
            </w:r>
            <w:r>
              <w:rPr>
                <w:webHidden/>
              </w:rPr>
              <w:fldChar w:fldCharType="end"/>
            </w:r>
          </w:hyperlink>
        </w:p>
        <w:p w14:paraId="012C25FD" w14:textId="77777777" w:rsidR="00292BCA" w:rsidRDefault="00292BCA">
          <w:pPr>
            <w:pStyle w:val="TOC2"/>
            <w:rPr>
              <w:rFonts w:asciiTheme="minorHAnsi" w:eastAsiaTheme="minorEastAsia" w:hAnsiTheme="minorHAnsi" w:cstheme="minorBidi"/>
              <w:sz w:val="22"/>
              <w:szCs w:val="22"/>
            </w:rPr>
          </w:pPr>
          <w:hyperlink w:anchor="_Toc519758761" w:history="1">
            <w:r w:rsidRPr="00942FC4">
              <w:rPr>
                <w:rStyle w:val="Hyperlink"/>
              </w:rPr>
              <w:t>3.1.</w:t>
            </w:r>
            <w:r>
              <w:rPr>
                <w:rFonts w:asciiTheme="minorHAnsi" w:eastAsiaTheme="minorEastAsia" w:hAnsiTheme="minorHAnsi" w:cstheme="minorBidi"/>
                <w:sz w:val="22"/>
                <w:szCs w:val="22"/>
              </w:rPr>
              <w:tab/>
            </w:r>
            <w:r w:rsidRPr="00942FC4">
              <w:rPr>
                <w:rStyle w:val="Hyperlink"/>
              </w:rPr>
              <w:t>Πορεία Υλοποίησης του ΕΠ ΜΔΤ</w:t>
            </w:r>
            <w:r>
              <w:rPr>
                <w:webHidden/>
              </w:rPr>
              <w:tab/>
            </w:r>
            <w:r>
              <w:rPr>
                <w:webHidden/>
              </w:rPr>
              <w:fldChar w:fldCharType="begin"/>
            </w:r>
            <w:r>
              <w:rPr>
                <w:webHidden/>
              </w:rPr>
              <w:instrText xml:space="preserve"> PAGEREF _Toc519758761 \h </w:instrText>
            </w:r>
            <w:r>
              <w:rPr>
                <w:webHidden/>
              </w:rPr>
            </w:r>
            <w:r>
              <w:rPr>
                <w:webHidden/>
              </w:rPr>
              <w:fldChar w:fldCharType="separate"/>
            </w:r>
            <w:r>
              <w:rPr>
                <w:webHidden/>
              </w:rPr>
              <w:t>33</w:t>
            </w:r>
            <w:r>
              <w:rPr>
                <w:webHidden/>
              </w:rPr>
              <w:fldChar w:fldCharType="end"/>
            </w:r>
          </w:hyperlink>
        </w:p>
        <w:p w14:paraId="15BA0758" w14:textId="77777777" w:rsidR="00292BCA" w:rsidRDefault="00292BCA">
          <w:pPr>
            <w:pStyle w:val="TOC3"/>
            <w:rPr>
              <w:rFonts w:asciiTheme="minorHAnsi" w:eastAsiaTheme="minorEastAsia" w:hAnsiTheme="minorHAnsi" w:cstheme="minorBidi"/>
              <w:i w:val="0"/>
              <w:sz w:val="22"/>
              <w:szCs w:val="22"/>
            </w:rPr>
          </w:pPr>
          <w:hyperlink w:anchor="_Toc519758762" w:history="1">
            <w:r w:rsidRPr="00942FC4">
              <w:rPr>
                <w:rStyle w:val="Hyperlink"/>
              </w:rPr>
              <w:t>3.1.1.</w:t>
            </w:r>
            <w:r>
              <w:rPr>
                <w:rFonts w:asciiTheme="minorHAnsi" w:eastAsiaTheme="minorEastAsia" w:hAnsiTheme="minorHAnsi" w:cstheme="minorBidi"/>
                <w:i w:val="0"/>
                <w:sz w:val="22"/>
                <w:szCs w:val="22"/>
              </w:rPr>
              <w:tab/>
            </w:r>
            <w:r w:rsidRPr="00942FC4">
              <w:rPr>
                <w:rStyle w:val="Hyperlink"/>
              </w:rPr>
              <w:t>Θεματικός Άξονας Ι «Διοικητική και οργανωτική μεταρρύθμιση για την αύξηση της αποδοτικότητας και αποτελεσματικότητας του Δημοσίου Τομέα» - Ταμείο ΕΚΤ (Άξονες Προτεραιότητας 1, 2 &amp; 3)</w:t>
            </w:r>
            <w:r>
              <w:rPr>
                <w:webHidden/>
              </w:rPr>
              <w:tab/>
            </w:r>
            <w:r>
              <w:rPr>
                <w:webHidden/>
              </w:rPr>
              <w:fldChar w:fldCharType="begin"/>
            </w:r>
            <w:r>
              <w:rPr>
                <w:webHidden/>
              </w:rPr>
              <w:instrText xml:space="preserve"> PAGEREF _Toc519758762 \h </w:instrText>
            </w:r>
            <w:r>
              <w:rPr>
                <w:webHidden/>
              </w:rPr>
            </w:r>
            <w:r>
              <w:rPr>
                <w:webHidden/>
              </w:rPr>
              <w:fldChar w:fldCharType="separate"/>
            </w:r>
            <w:r>
              <w:rPr>
                <w:webHidden/>
              </w:rPr>
              <w:t>33</w:t>
            </w:r>
            <w:r>
              <w:rPr>
                <w:webHidden/>
              </w:rPr>
              <w:fldChar w:fldCharType="end"/>
            </w:r>
          </w:hyperlink>
        </w:p>
        <w:p w14:paraId="1CB889CC" w14:textId="77777777" w:rsidR="00292BCA" w:rsidRDefault="00292BCA">
          <w:pPr>
            <w:pStyle w:val="TOC3"/>
            <w:rPr>
              <w:rFonts w:asciiTheme="minorHAnsi" w:eastAsiaTheme="minorEastAsia" w:hAnsiTheme="minorHAnsi" w:cstheme="minorBidi"/>
              <w:i w:val="0"/>
              <w:sz w:val="22"/>
              <w:szCs w:val="22"/>
            </w:rPr>
          </w:pPr>
          <w:hyperlink w:anchor="_Toc519758763" w:history="1">
            <w:r w:rsidRPr="00942FC4">
              <w:rPr>
                <w:rStyle w:val="Hyperlink"/>
              </w:rPr>
              <w:t>3.1.2.</w:t>
            </w:r>
            <w:r>
              <w:rPr>
                <w:rFonts w:asciiTheme="minorHAnsi" w:eastAsiaTheme="minorEastAsia" w:hAnsiTheme="minorHAnsi" w:cstheme="minorBidi"/>
                <w:i w:val="0"/>
                <w:sz w:val="22"/>
                <w:szCs w:val="22"/>
              </w:rPr>
              <w:tab/>
            </w:r>
            <w:r w:rsidRPr="00942FC4">
              <w:rPr>
                <w:rStyle w:val="Hyperlink"/>
              </w:rPr>
              <w:t>Θεματικός Άξονας ΙΙ «Ενίσχυση της Ηλεκτρονικής Διακυβέρνησης» - Ταμείο ΕΤΠΑ (Άξονες Προτεραιότητας 4, 5 &amp; 6)</w:t>
            </w:r>
            <w:r>
              <w:rPr>
                <w:webHidden/>
              </w:rPr>
              <w:tab/>
            </w:r>
            <w:r>
              <w:rPr>
                <w:webHidden/>
              </w:rPr>
              <w:fldChar w:fldCharType="begin"/>
            </w:r>
            <w:r>
              <w:rPr>
                <w:webHidden/>
              </w:rPr>
              <w:instrText xml:space="preserve"> PAGEREF _Toc519758763 \h </w:instrText>
            </w:r>
            <w:r>
              <w:rPr>
                <w:webHidden/>
              </w:rPr>
            </w:r>
            <w:r>
              <w:rPr>
                <w:webHidden/>
              </w:rPr>
              <w:fldChar w:fldCharType="separate"/>
            </w:r>
            <w:r>
              <w:rPr>
                <w:webHidden/>
              </w:rPr>
              <w:t>42</w:t>
            </w:r>
            <w:r>
              <w:rPr>
                <w:webHidden/>
              </w:rPr>
              <w:fldChar w:fldCharType="end"/>
            </w:r>
          </w:hyperlink>
        </w:p>
        <w:p w14:paraId="6E8B1962" w14:textId="77777777" w:rsidR="00292BCA" w:rsidRDefault="00292BCA">
          <w:pPr>
            <w:pStyle w:val="TOC3"/>
            <w:rPr>
              <w:rFonts w:asciiTheme="minorHAnsi" w:eastAsiaTheme="minorEastAsia" w:hAnsiTheme="minorHAnsi" w:cstheme="minorBidi"/>
              <w:i w:val="0"/>
              <w:sz w:val="22"/>
              <w:szCs w:val="22"/>
            </w:rPr>
          </w:pPr>
          <w:hyperlink w:anchor="_Toc519758764" w:history="1">
            <w:r w:rsidRPr="00942FC4">
              <w:rPr>
                <w:rStyle w:val="Hyperlink"/>
              </w:rPr>
              <w:t>3.1.3.</w:t>
            </w:r>
            <w:r>
              <w:rPr>
                <w:rFonts w:asciiTheme="minorHAnsi" w:eastAsiaTheme="minorEastAsia" w:hAnsiTheme="minorHAnsi" w:cstheme="minorBidi"/>
                <w:i w:val="0"/>
                <w:sz w:val="22"/>
                <w:szCs w:val="22"/>
              </w:rPr>
              <w:tab/>
            </w:r>
            <w:r w:rsidRPr="00942FC4">
              <w:rPr>
                <w:rStyle w:val="Hyperlink"/>
              </w:rPr>
              <w:t>Θεματικός Άξονας ΙΙΙ «Βελτίωση της διαχείρισης και ανάπτυξη του ανθρώπινου δυναμικού του δημόσιου τομέα» - Ταμείο ΕΚΤ (Άξονες Προτεραιότητας 7, 8 &amp; 9)</w:t>
            </w:r>
            <w:r>
              <w:rPr>
                <w:webHidden/>
              </w:rPr>
              <w:tab/>
            </w:r>
            <w:r>
              <w:rPr>
                <w:webHidden/>
              </w:rPr>
              <w:fldChar w:fldCharType="begin"/>
            </w:r>
            <w:r>
              <w:rPr>
                <w:webHidden/>
              </w:rPr>
              <w:instrText xml:space="preserve"> PAGEREF _Toc519758764 \h </w:instrText>
            </w:r>
            <w:r>
              <w:rPr>
                <w:webHidden/>
              </w:rPr>
            </w:r>
            <w:r>
              <w:rPr>
                <w:webHidden/>
              </w:rPr>
              <w:fldChar w:fldCharType="separate"/>
            </w:r>
            <w:r>
              <w:rPr>
                <w:webHidden/>
              </w:rPr>
              <w:t>48</w:t>
            </w:r>
            <w:r>
              <w:rPr>
                <w:webHidden/>
              </w:rPr>
              <w:fldChar w:fldCharType="end"/>
            </w:r>
          </w:hyperlink>
        </w:p>
        <w:p w14:paraId="6959A49F" w14:textId="77777777" w:rsidR="00292BCA" w:rsidRDefault="00292BCA">
          <w:pPr>
            <w:pStyle w:val="TOC3"/>
            <w:rPr>
              <w:rFonts w:asciiTheme="minorHAnsi" w:eastAsiaTheme="minorEastAsia" w:hAnsiTheme="minorHAnsi" w:cstheme="minorBidi"/>
              <w:i w:val="0"/>
              <w:sz w:val="22"/>
              <w:szCs w:val="22"/>
            </w:rPr>
          </w:pPr>
          <w:hyperlink w:anchor="_Toc519758765" w:history="1">
            <w:r w:rsidRPr="00942FC4">
              <w:rPr>
                <w:rStyle w:val="Hyperlink"/>
              </w:rPr>
              <w:t>3.1.4.</w:t>
            </w:r>
            <w:r>
              <w:rPr>
                <w:rFonts w:asciiTheme="minorHAnsi" w:eastAsiaTheme="minorEastAsia" w:hAnsiTheme="minorHAnsi" w:cstheme="minorBidi"/>
                <w:i w:val="0"/>
                <w:sz w:val="22"/>
                <w:szCs w:val="22"/>
              </w:rPr>
              <w:tab/>
            </w:r>
            <w:r w:rsidRPr="00942FC4">
              <w:rPr>
                <w:rStyle w:val="Hyperlink"/>
              </w:rPr>
              <w:t>Θεματικός Άξονας IV «Τεχνική Υποστήριξη για την Εφαρμογή / Υλοποίηση των Δράσεων ΕΚΤ του Επιχειρησιακού Προγράμματος» (Άξονες Προτεραιότητας 10,11 &amp; 12)</w:t>
            </w:r>
            <w:r>
              <w:rPr>
                <w:webHidden/>
              </w:rPr>
              <w:tab/>
            </w:r>
            <w:r>
              <w:rPr>
                <w:webHidden/>
              </w:rPr>
              <w:fldChar w:fldCharType="begin"/>
            </w:r>
            <w:r>
              <w:rPr>
                <w:webHidden/>
              </w:rPr>
              <w:instrText xml:space="preserve"> PAGEREF _Toc519758765 \h </w:instrText>
            </w:r>
            <w:r>
              <w:rPr>
                <w:webHidden/>
              </w:rPr>
            </w:r>
            <w:r>
              <w:rPr>
                <w:webHidden/>
              </w:rPr>
              <w:fldChar w:fldCharType="separate"/>
            </w:r>
            <w:r>
              <w:rPr>
                <w:webHidden/>
              </w:rPr>
              <w:t>54</w:t>
            </w:r>
            <w:r>
              <w:rPr>
                <w:webHidden/>
              </w:rPr>
              <w:fldChar w:fldCharType="end"/>
            </w:r>
          </w:hyperlink>
        </w:p>
        <w:p w14:paraId="2F0D4C18" w14:textId="77777777" w:rsidR="00292BCA" w:rsidRDefault="00292BCA">
          <w:pPr>
            <w:pStyle w:val="TOC3"/>
            <w:rPr>
              <w:rFonts w:asciiTheme="minorHAnsi" w:eastAsiaTheme="minorEastAsia" w:hAnsiTheme="minorHAnsi" w:cstheme="minorBidi"/>
              <w:i w:val="0"/>
              <w:sz w:val="22"/>
              <w:szCs w:val="22"/>
            </w:rPr>
          </w:pPr>
          <w:hyperlink w:anchor="_Toc519758766" w:history="1">
            <w:r w:rsidRPr="00942FC4">
              <w:rPr>
                <w:rStyle w:val="Hyperlink"/>
              </w:rPr>
              <w:t>3.1.5.</w:t>
            </w:r>
            <w:r>
              <w:rPr>
                <w:rFonts w:asciiTheme="minorHAnsi" w:eastAsiaTheme="minorEastAsia" w:hAnsiTheme="minorHAnsi" w:cstheme="minorBidi"/>
                <w:i w:val="0"/>
                <w:sz w:val="22"/>
                <w:szCs w:val="22"/>
              </w:rPr>
              <w:tab/>
            </w:r>
            <w:r w:rsidRPr="00942FC4">
              <w:rPr>
                <w:rStyle w:val="Hyperlink"/>
              </w:rPr>
              <w:t>Θεματικός Άξονας V «Τεχνική Υποστήριξη για την Εφαρμογή / Υλοποίηση των Δράσεων ΕΤΠΑ του Επιχειρησιακού Προγράμματος» (Άξονες Προτεραιότητας 13,14 &amp; 15)</w:t>
            </w:r>
            <w:r>
              <w:rPr>
                <w:webHidden/>
              </w:rPr>
              <w:tab/>
            </w:r>
            <w:r>
              <w:rPr>
                <w:webHidden/>
              </w:rPr>
              <w:fldChar w:fldCharType="begin"/>
            </w:r>
            <w:r>
              <w:rPr>
                <w:webHidden/>
              </w:rPr>
              <w:instrText xml:space="preserve"> PAGEREF _Toc519758766 \h </w:instrText>
            </w:r>
            <w:r>
              <w:rPr>
                <w:webHidden/>
              </w:rPr>
            </w:r>
            <w:r>
              <w:rPr>
                <w:webHidden/>
              </w:rPr>
              <w:fldChar w:fldCharType="separate"/>
            </w:r>
            <w:r>
              <w:rPr>
                <w:webHidden/>
              </w:rPr>
              <w:t>58</w:t>
            </w:r>
            <w:r>
              <w:rPr>
                <w:webHidden/>
              </w:rPr>
              <w:fldChar w:fldCharType="end"/>
            </w:r>
          </w:hyperlink>
        </w:p>
        <w:p w14:paraId="2C2CF083" w14:textId="77777777" w:rsidR="00292BCA" w:rsidRDefault="00292BCA">
          <w:pPr>
            <w:pStyle w:val="TOC2"/>
            <w:rPr>
              <w:rFonts w:asciiTheme="minorHAnsi" w:eastAsiaTheme="minorEastAsia" w:hAnsiTheme="minorHAnsi" w:cstheme="minorBidi"/>
              <w:sz w:val="22"/>
              <w:szCs w:val="22"/>
            </w:rPr>
          </w:pPr>
          <w:hyperlink w:anchor="_Toc519758767" w:history="1">
            <w:r w:rsidRPr="00942FC4">
              <w:rPr>
                <w:rStyle w:val="Hyperlink"/>
              </w:rPr>
              <w:t>3.2.</w:t>
            </w:r>
            <w:r>
              <w:rPr>
                <w:rFonts w:asciiTheme="minorHAnsi" w:eastAsiaTheme="minorEastAsia" w:hAnsiTheme="minorHAnsi" w:cstheme="minorBidi"/>
                <w:sz w:val="22"/>
                <w:szCs w:val="22"/>
              </w:rPr>
              <w:tab/>
            </w:r>
            <w:r w:rsidRPr="00942FC4">
              <w:rPr>
                <w:rStyle w:val="Hyperlink"/>
              </w:rPr>
              <w:t>Βασικά Συμπεράσματα από την αξιολόγηση της μέχρι σήμερα πορείας υλοποίησης του Προγράμματος</w:t>
            </w:r>
            <w:r>
              <w:rPr>
                <w:webHidden/>
              </w:rPr>
              <w:tab/>
            </w:r>
            <w:r>
              <w:rPr>
                <w:webHidden/>
              </w:rPr>
              <w:fldChar w:fldCharType="begin"/>
            </w:r>
            <w:r>
              <w:rPr>
                <w:webHidden/>
              </w:rPr>
              <w:instrText xml:space="preserve"> PAGEREF _Toc519758767 \h </w:instrText>
            </w:r>
            <w:r>
              <w:rPr>
                <w:webHidden/>
              </w:rPr>
            </w:r>
            <w:r>
              <w:rPr>
                <w:webHidden/>
              </w:rPr>
              <w:fldChar w:fldCharType="separate"/>
            </w:r>
            <w:r>
              <w:rPr>
                <w:webHidden/>
              </w:rPr>
              <w:t>62</w:t>
            </w:r>
            <w:r>
              <w:rPr>
                <w:webHidden/>
              </w:rPr>
              <w:fldChar w:fldCharType="end"/>
            </w:r>
          </w:hyperlink>
        </w:p>
        <w:p w14:paraId="4FC192B2" w14:textId="71F7FB66" w:rsidR="00D5167E" w:rsidRPr="0029055C" w:rsidRDefault="00D5167E">
          <w:r w:rsidRPr="0029055C">
            <w:rPr>
              <w:b/>
              <w:bCs/>
            </w:rPr>
            <w:fldChar w:fldCharType="end"/>
          </w:r>
        </w:p>
      </w:sdtContent>
    </w:sdt>
    <w:p w14:paraId="502585CA" w14:textId="77777777" w:rsidR="00D5167E" w:rsidRPr="0029055C" w:rsidRDefault="00D5167E" w:rsidP="00857418">
      <w:pPr>
        <w:pStyle w:val="Heading1"/>
        <w:sectPr w:rsidR="00D5167E" w:rsidRPr="0029055C" w:rsidSect="00D5167E">
          <w:headerReference w:type="default" r:id="rId13"/>
          <w:footerReference w:type="default" r:id="rId14"/>
          <w:pgSz w:w="11906" w:h="16838"/>
          <w:pgMar w:top="1418" w:right="1416" w:bottom="851" w:left="1560" w:header="709" w:footer="386" w:gutter="0"/>
          <w:pgNumType w:fmt="lowerRoman" w:start="1"/>
          <w:cols w:space="708"/>
          <w:docGrid w:linePitch="360"/>
        </w:sectPr>
      </w:pPr>
      <w:bookmarkStart w:id="1" w:name="_GoBack"/>
      <w:bookmarkEnd w:id="1"/>
    </w:p>
    <w:p w14:paraId="4A8A6907" w14:textId="77777777" w:rsidR="00195A4F" w:rsidRPr="0029055C" w:rsidRDefault="000A688B" w:rsidP="004437C3">
      <w:pPr>
        <w:pStyle w:val="Heading1"/>
        <w:numPr>
          <w:ilvl w:val="0"/>
          <w:numId w:val="0"/>
        </w:numPr>
      </w:pPr>
      <w:bookmarkStart w:id="2" w:name="_Toc519758752"/>
      <w:r w:rsidRPr="0029055C">
        <w:lastRenderedPageBreak/>
        <w:t>Ε</w:t>
      </w:r>
      <w:r w:rsidR="006A710F" w:rsidRPr="0029055C">
        <w:t>ισαγωγή</w:t>
      </w:r>
      <w:bookmarkEnd w:id="2"/>
      <w:r w:rsidRPr="0029055C">
        <w:t xml:space="preserve"> </w:t>
      </w:r>
      <w:bookmarkEnd w:id="0"/>
    </w:p>
    <w:p w14:paraId="3AEC18CB" w14:textId="2D5082F0" w:rsidR="00315832" w:rsidRPr="0029055C" w:rsidRDefault="00315832" w:rsidP="00A301D7">
      <w:pPr>
        <w:spacing w:line="280" w:lineRule="atLeast"/>
        <w:rPr>
          <w:rFonts w:cstheme="minorHAnsi"/>
          <w:sz w:val="22"/>
          <w:szCs w:val="21"/>
        </w:rPr>
      </w:pPr>
      <w:r w:rsidRPr="0029055C">
        <w:rPr>
          <w:rFonts w:cstheme="minorHAnsi"/>
          <w:sz w:val="22"/>
          <w:szCs w:val="21"/>
        </w:rPr>
        <w:t xml:space="preserve">Η παρούσα Έκθεση αποτελεί το </w:t>
      </w:r>
      <w:r w:rsidRPr="0029055C">
        <w:rPr>
          <w:rFonts w:cstheme="minorHAnsi"/>
          <w:i/>
          <w:color w:val="31849B" w:themeColor="accent5" w:themeShade="BF"/>
          <w:sz w:val="22"/>
          <w:szCs w:val="21"/>
        </w:rPr>
        <w:t xml:space="preserve">Παραδοτέο </w:t>
      </w:r>
      <w:r w:rsidR="00D75F5E" w:rsidRPr="0029055C">
        <w:rPr>
          <w:rFonts w:cstheme="minorHAnsi"/>
          <w:i/>
          <w:color w:val="31849B" w:themeColor="accent5" w:themeShade="BF"/>
          <w:sz w:val="22"/>
          <w:szCs w:val="21"/>
        </w:rPr>
        <w:t>2</w:t>
      </w:r>
      <w:r w:rsidRPr="0029055C">
        <w:rPr>
          <w:rFonts w:cstheme="minorHAnsi"/>
          <w:i/>
          <w:color w:val="31849B" w:themeColor="accent5" w:themeShade="BF"/>
          <w:sz w:val="22"/>
          <w:szCs w:val="21"/>
        </w:rPr>
        <w:t xml:space="preserve"> «</w:t>
      </w:r>
      <w:r w:rsidR="00D75F5E" w:rsidRPr="0029055C">
        <w:rPr>
          <w:rFonts w:cstheme="minorHAnsi"/>
          <w:i/>
          <w:color w:val="31849B" w:themeColor="accent5" w:themeShade="BF"/>
          <w:sz w:val="22"/>
          <w:szCs w:val="21"/>
        </w:rPr>
        <w:t>Τεκμηρίωση Αναθεώρησης / Τροποποίησης ΕΠ ΜΔΤ</w:t>
      </w:r>
      <w:r w:rsidRPr="0029055C">
        <w:rPr>
          <w:rFonts w:cstheme="minorHAnsi"/>
          <w:i/>
          <w:color w:val="31849B" w:themeColor="accent5" w:themeShade="BF"/>
          <w:sz w:val="22"/>
          <w:szCs w:val="21"/>
        </w:rPr>
        <w:t>»</w:t>
      </w:r>
      <w:r w:rsidRPr="0029055C">
        <w:rPr>
          <w:rFonts w:cstheme="minorHAnsi"/>
          <w:color w:val="31849B" w:themeColor="accent5" w:themeShade="BF"/>
          <w:sz w:val="22"/>
          <w:szCs w:val="21"/>
        </w:rPr>
        <w:t xml:space="preserve"> </w:t>
      </w:r>
      <w:r w:rsidRPr="0029055C">
        <w:rPr>
          <w:rFonts w:cstheme="minorHAnsi"/>
          <w:sz w:val="22"/>
          <w:szCs w:val="21"/>
        </w:rPr>
        <w:t>του Έργου</w:t>
      </w:r>
      <w:r w:rsidR="00D75F5E" w:rsidRPr="0029055C">
        <w:rPr>
          <w:rFonts w:cstheme="minorHAnsi"/>
          <w:sz w:val="22"/>
        </w:rPr>
        <w:t xml:space="preserve"> “Ενδιάμεση αξιολόγηση του Επιχειρησιακού Προγράμματος «Μεταρρύθμιση Δημόσιου Τομέα» κατά το έτος 2018”, το οποίο εκπονείτ</w:t>
      </w:r>
      <w:r w:rsidR="00271CD1" w:rsidRPr="0029055C">
        <w:rPr>
          <w:rFonts w:cstheme="minorHAnsi"/>
          <w:sz w:val="22"/>
        </w:rPr>
        <w:t>αι</w:t>
      </w:r>
      <w:r w:rsidR="00D75F5E" w:rsidRPr="0029055C">
        <w:rPr>
          <w:rFonts w:cstheme="minorHAnsi"/>
          <w:sz w:val="22"/>
        </w:rPr>
        <w:t xml:space="preserve"> από τη REMACO A.E., με βάση την από 6 Ιουνίου 2018 σχετική σύμβαση που υπογράφθηκε με την </w:t>
      </w:r>
      <w:r w:rsidR="00D75F5E" w:rsidRPr="0029055C">
        <w:rPr>
          <w:rFonts w:cstheme="minorHAnsi"/>
          <w:i/>
          <w:sz w:val="22"/>
        </w:rPr>
        <w:t>Ειδική Υπηρεσία Διαχείρισης του Ε.Π. «Μεταρρύθμιση Δημόσιου Τομέα»</w:t>
      </w:r>
      <w:r w:rsidR="00D75F5E" w:rsidRPr="0029055C">
        <w:rPr>
          <w:rFonts w:cstheme="minorHAnsi"/>
          <w:sz w:val="22"/>
        </w:rPr>
        <w:t>.</w:t>
      </w:r>
    </w:p>
    <w:p w14:paraId="0E800921" w14:textId="77777777" w:rsidR="00315832" w:rsidRPr="0029055C" w:rsidRDefault="00315832" w:rsidP="00A301D7">
      <w:pPr>
        <w:spacing w:line="280" w:lineRule="atLeast"/>
        <w:rPr>
          <w:rFonts w:cstheme="minorHAnsi"/>
          <w:sz w:val="22"/>
          <w:szCs w:val="21"/>
        </w:rPr>
      </w:pPr>
      <w:r w:rsidRPr="0029055C">
        <w:rPr>
          <w:rFonts w:cstheme="minorHAnsi"/>
          <w:sz w:val="22"/>
          <w:szCs w:val="21"/>
        </w:rPr>
        <w:t>Το παρόν Παραδοτέο έχει δομηθεί</w:t>
      </w:r>
      <w:r w:rsidR="006E5B8F" w:rsidRPr="0029055C">
        <w:rPr>
          <w:rFonts w:cstheme="minorHAnsi"/>
          <w:sz w:val="22"/>
          <w:szCs w:val="21"/>
        </w:rPr>
        <w:t>,</w:t>
      </w:r>
      <w:r w:rsidRPr="0029055C">
        <w:rPr>
          <w:rFonts w:cstheme="minorHAnsi"/>
          <w:sz w:val="22"/>
          <w:szCs w:val="21"/>
        </w:rPr>
        <w:t xml:space="preserve"> </w:t>
      </w:r>
      <w:r w:rsidR="006E5B8F" w:rsidRPr="0029055C">
        <w:rPr>
          <w:rFonts w:cstheme="minorHAnsi"/>
          <w:sz w:val="22"/>
          <w:szCs w:val="21"/>
        </w:rPr>
        <w:t xml:space="preserve">με βάση και τις οδηγίες της ΕΥΣΣΑ για την αναθεώρηση των Επιχειρησιακών Προγραμμάτων του ΕΣΠΑ 2014-2020 για το έτος 2018, </w:t>
      </w:r>
      <w:r w:rsidRPr="0029055C">
        <w:rPr>
          <w:rFonts w:cstheme="minorHAnsi"/>
          <w:sz w:val="22"/>
          <w:szCs w:val="21"/>
        </w:rPr>
        <w:t>στις ακόλουθ</w:t>
      </w:r>
      <w:r w:rsidR="008858C0" w:rsidRPr="0029055C">
        <w:rPr>
          <w:rFonts w:cstheme="minorHAnsi"/>
          <w:sz w:val="22"/>
          <w:szCs w:val="21"/>
        </w:rPr>
        <w:t>ες</w:t>
      </w:r>
      <w:r w:rsidRPr="0029055C">
        <w:rPr>
          <w:rFonts w:cstheme="minorHAnsi"/>
          <w:sz w:val="22"/>
          <w:szCs w:val="21"/>
        </w:rPr>
        <w:t xml:space="preserve"> Ενότητες:</w:t>
      </w:r>
    </w:p>
    <w:p w14:paraId="60EAE13F" w14:textId="32511674" w:rsidR="006E5B8F" w:rsidRPr="0029055C" w:rsidRDefault="00D75F5E" w:rsidP="00A21165">
      <w:pPr>
        <w:pStyle w:val="ListParagraph"/>
        <w:numPr>
          <w:ilvl w:val="0"/>
          <w:numId w:val="9"/>
        </w:numPr>
        <w:spacing w:line="280" w:lineRule="atLeast"/>
        <w:ind w:left="714" w:hanging="357"/>
        <w:contextualSpacing w:val="0"/>
        <w:rPr>
          <w:rFonts w:cstheme="minorHAnsi"/>
          <w:sz w:val="22"/>
          <w:szCs w:val="21"/>
        </w:rPr>
      </w:pPr>
      <w:r w:rsidRPr="0029055C">
        <w:rPr>
          <w:rFonts w:cstheme="minorHAnsi"/>
          <w:sz w:val="22"/>
          <w:szCs w:val="21"/>
        </w:rPr>
        <w:t xml:space="preserve">Περιγραφή </w:t>
      </w:r>
      <w:r w:rsidR="006E5B8F" w:rsidRPr="0029055C">
        <w:rPr>
          <w:rFonts w:cstheme="minorHAnsi"/>
          <w:sz w:val="22"/>
          <w:szCs w:val="21"/>
        </w:rPr>
        <w:t>και τεκμηρίωση της προτεινόμενης Αναθεώρησης / Τροποποίησης</w:t>
      </w:r>
      <w:r w:rsidR="00A301D7" w:rsidRPr="0029055C">
        <w:rPr>
          <w:rFonts w:cstheme="minorHAnsi"/>
          <w:sz w:val="22"/>
          <w:szCs w:val="21"/>
        </w:rPr>
        <w:t xml:space="preserve"> </w:t>
      </w:r>
      <w:r w:rsidR="006E5B8F" w:rsidRPr="0029055C">
        <w:rPr>
          <w:rFonts w:cstheme="minorHAnsi"/>
          <w:sz w:val="22"/>
          <w:szCs w:val="21"/>
        </w:rPr>
        <w:t>του ΕΠ ΜΔΤ</w:t>
      </w:r>
      <w:r w:rsidR="0029055C" w:rsidRPr="0029055C">
        <w:rPr>
          <w:rFonts w:cstheme="minorHAnsi"/>
          <w:sz w:val="22"/>
          <w:szCs w:val="21"/>
        </w:rPr>
        <w:t>.</w:t>
      </w:r>
    </w:p>
    <w:p w14:paraId="2DD018D0" w14:textId="6BD73E2C" w:rsidR="006E5B8F" w:rsidRPr="0029055C" w:rsidRDefault="006E5B8F" w:rsidP="00A301D7">
      <w:pPr>
        <w:pStyle w:val="ListParagraph"/>
        <w:numPr>
          <w:ilvl w:val="0"/>
          <w:numId w:val="9"/>
        </w:numPr>
        <w:spacing w:line="280" w:lineRule="atLeast"/>
        <w:ind w:left="714" w:hanging="357"/>
        <w:contextualSpacing w:val="0"/>
        <w:rPr>
          <w:rFonts w:cstheme="minorHAnsi"/>
          <w:sz w:val="22"/>
          <w:szCs w:val="21"/>
        </w:rPr>
      </w:pPr>
      <w:r w:rsidRPr="0029055C">
        <w:rPr>
          <w:rFonts w:cstheme="minorHAnsi"/>
          <w:sz w:val="22"/>
          <w:szCs w:val="21"/>
        </w:rPr>
        <w:t>Αποτύπωση των αναμενόμενων επιπτώσεων της τροποποίησης του ΕΠ ΜΔΤ</w:t>
      </w:r>
      <w:r w:rsidR="0029055C" w:rsidRPr="0029055C">
        <w:rPr>
          <w:rFonts w:cstheme="minorHAnsi"/>
          <w:sz w:val="22"/>
          <w:szCs w:val="21"/>
        </w:rPr>
        <w:t>.</w:t>
      </w:r>
    </w:p>
    <w:p w14:paraId="23549EC2" w14:textId="304B8BFA" w:rsidR="006206A7" w:rsidRPr="0029055C" w:rsidRDefault="006E5B8F" w:rsidP="00A301D7">
      <w:pPr>
        <w:pStyle w:val="ListParagraph"/>
        <w:numPr>
          <w:ilvl w:val="0"/>
          <w:numId w:val="9"/>
        </w:numPr>
        <w:spacing w:line="280" w:lineRule="atLeast"/>
        <w:ind w:left="714" w:hanging="357"/>
        <w:contextualSpacing w:val="0"/>
        <w:rPr>
          <w:rFonts w:cstheme="minorHAnsi"/>
          <w:sz w:val="22"/>
          <w:szCs w:val="21"/>
        </w:rPr>
      </w:pPr>
      <w:r w:rsidRPr="0029055C">
        <w:rPr>
          <w:rFonts w:cstheme="minorHAnsi"/>
          <w:sz w:val="22"/>
          <w:szCs w:val="21"/>
        </w:rPr>
        <w:t>Συνοπτική παρουσίαση των συμπερασμάτων της αξιολόγησης του ΕΠ ΜΔΤ που συνδέονται με την αναθεώρηση</w:t>
      </w:r>
      <w:r w:rsidR="0029055C" w:rsidRPr="0029055C">
        <w:rPr>
          <w:rFonts w:cstheme="minorHAnsi"/>
          <w:sz w:val="22"/>
          <w:szCs w:val="21"/>
        </w:rPr>
        <w:t>.</w:t>
      </w:r>
    </w:p>
    <w:p w14:paraId="3B791C9D" w14:textId="77777777" w:rsidR="0029055C" w:rsidRPr="0029055C" w:rsidRDefault="0029055C" w:rsidP="0029055C">
      <w:pPr>
        <w:spacing w:line="280" w:lineRule="atLeast"/>
        <w:rPr>
          <w:rFonts w:cstheme="minorHAnsi"/>
          <w:sz w:val="22"/>
          <w:szCs w:val="21"/>
        </w:rPr>
      </w:pPr>
    </w:p>
    <w:p w14:paraId="4B47312E" w14:textId="77777777" w:rsidR="004437C3" w:rsidRPr="0029055C" w:rsidRDefault="004437C3" w:rsidP="00035E82">
      <w:pPr>
        <w:pStyle w:val="Heading1"/>
      </w:pPr>
      <w:bookmarkStart w:id="3" w:name="_Toc519758753"/>
      <w:r w:rsidRPr="0029055C">
        <w:lastRenderedPageBreak/>
        <w:t xml:space="preserve">Περιγραφή </w:t>
      </w:r>
      <w:r w:rsidR="00590E21" w:rsidRPr="0029055C">
        <w:t>και</w:t>
      </w:r>
      <w:r w:rsidRPr="0029055C">
        <w:t xml:space="preserve"> τεκμηρίωση της προτεινόμενης </w:t>
      </w:r>
      <w:r w:rsidR="00590E21" w:rsidRPr="0029055C">
        <w:t>Αναθεώρησης</w:t>
      </w:r>
      <w:r w:rsidR="00374E1C" w:rsidRPr="0029055C">
        <w:t xml:space="preserve"> </w:t>
      </w:r>
      <w:r w:rsidR="00590E21" w:rsidRPr="0029055C">
        <w:t>/</w:t>
      </w:r>
      <w:r w:rsidR="00374E1C" w:rsidRPr="0029055C">
        <w:t xml:space="preserve"> </w:t>
      </w:r>
      <w:r w:rsidR="00590E21" w:rsidRPr="0029055C">
        <w:t>Τ</w:t>
      </w:r>
      <w:r w:rsidRPr="0029055C">
        <w:t>ροποποίησης</w:t>
      </w:r>
      <w:r w:rsidR="00590E21" w:rsidRPr="0029055C">
        <w:br/>
      </w:r>
      <w:r w:rsidRPr="0029055C">
        <w:t>του ΕΠ ΜΔΤ</w:t>
      </w:r>
      <w:bookmarkEnd w:id="3"/>
    </w:p>
    <w:p w14:paraId="05368735" w14:textId="77777777" w:rsidR="00590E21" w:rsidRPr="0029055C" w:rsidRDefault="00590E21" w:rsidP="0029055C">
      <w:pPr>
        <w:spacing w:line="280" w:lineRule="atLeast"/>
        <w:rPr>
          <w:sz w:val="22"/>
          <w:szCs w:val="21"/>
        </w:rPr>
      </w:pPr>
      <w:r w:rsidRPr="0029055C">
        <w:rPr>
          <w:sz w:val="22"/>
          <w:szCs w:val="21"/>
        </w:rPr>
        <w:t>Στην παρούσα Ενότητα παρουσιάζονται συνοπτικά οι προτεινόμενες τροποποιήσεις του ΕΠ ΜΔΤ, ανά Θεματικό Άξονα</w:t>
      </w:r>
      <w:r w:rsidR="00EF0514" w:rsidRPr="0029055C">
        <w:rPr>
          <w:sz w:val="22"/>
          <w:szCs w:val="21"/>
        </w:rPr>
        <w:t xml:space="preserve"> του Προγράμματος,</w:t>
      </w:r>
      <w:r w:rsidRPr="0029055C">
        <w:rPr>
          <w:sz w:val="22"/>
          <w:szCs w:val="21"/>
        </w:rPr>
        <w:t xml:space="preserve"> </w:t>
      </w:r>
      <w:r w:rsidR="002759F4" w:rsidRPr="0029055C">
        <w:rPr>
          <w:sz w:val="22"/>
          <w:szCs w:val="21"/>
        </w:rPr>
        <w:t xml:space="preserve">Επενδυτική Προτεραιότητα, Ειδικό Στόχο και Κατηγορία Δράσης, </w:t>
      </w:r>
      <w:r w:rsidRPr="0029055C">
        <w:rPr>
          <w:sz w:val="22"/>
          <w:szCs w:val="21"/>
        </w:rPr>
        <w:t>με σαφή αναφορά στα νέα δεδομένα και τις ανάγκες που οδήγησ</w:t>
      </w:r>
      <w:r w:rsidR="00EF0514" w:rsidRPr="0029055C">
        <w:rPr>
          <w:sz w:val="22"/>
          <w:szCs w:val="21"/>
        </w:rPr>
        <w:t>αν</w:t>
      </w:r>
      <w:r w:rsidRPr="0029055C">
        <w:rPr>
          <w:sz w:val="22"/>
          <w:szCs w:val="21"/>
        </w:rPr>
        <w:t xml:space="preserve"> σε αυτές.</w:t>
      </w:r>
    </w:p>
    <w:p w14:paraId="17EDB966" w14:textId="77777777" w:rsidR="00200428" w:rsidRPr="0029055C" w:rsidRDefault="00200428" w:rsidP="0029055C">
      <w:pPr>
        <w:spacing w:line="280" w:lineRule="atLeast"/>
        <w:rPr>
          <w:sz w:val="22"/>
          <w:szCs w:val="21"/>
        </w:rPr>
      </w:pPr>
      <w:r w:rsidRPr="0029055C">
        <w:rPr>
          <w:sz w:val="22"/>
          <w:szCs w:val="21"/>
        </w:rPr>
        <w:t>Για τη διαμόρφωση της παρούσας πρότασης αναθεώρησης ελήφθησαν υπόψη</w:t>
      </w:r>
      <w:r w:rsidR="00CA4DE6" w:rsidRPr="0029055C">
        <w:rPr>
          <w:sz w:val="22"/>
          <w:szCs w:val="21"/>
        </w:rPr>
        <w:t xml:space="preserve"> οι ειδικοί κανόνες για κάθε Ταμείο</w:t>
      </w:r>
      <w:r w:rsidR="00DC5068" w:rsidRPr="0029055C">
        <w:rPr>
          <w:sz w:val="22"/>
          <w:szCs w:val="21"/>
        </w:rPr>
        <w:t>,</w:t>
      </w:r>
      <w:r w:rsidR="00CA4DE6" w:rsidRPr="0029055C">
        <w:rPr>
          <w:sz w:val="22"/>
          <w:szCs w:val="21"/>
        </w:rPr>
        <w:t xml:space="preserve"> καθώς και</w:t>
      </w:r>
      <w:r w:rsidRPr="0029055C">
        <w:rPr>
          <w:sz w:val="22"/>
          <w:szCs w:val="21"/>
        </w:rPr>
        <w:t>:</w:t>
      </w:r>
    </w:p>
    <w:p w14:paraId="15EE39ED" w14:textId="77777777" w:rsidR="00200428" w:rsidRPr="0029055C" w:rsidRDefault="00A301D7" w:rsidP="0029055C">
      <w:pPr>
        <w:pStyle w:val="ListParagraph"/>
        <w:numPr>
          <w:ilvl w:val="0"/>
          <w:numId w:val="23"/>
        </w:numPr>
        <w:spacing w:line="280" w:lineRule="atLeast"/>
        <w:ind w:left="714" w:hanging="357"/>
        <w:contextualSpacing w:val="0"/>
        <w:rPr>
          <w:sz w:val="22"/>
          <w:szCs w:val="21"/>
        </w:rPr>
      </w:pPr>
      <w:r w:rsidRPr="0029055C">
        <w:rPr>
          <w:sz w:val="22"/>
          <w:szCs w:val="21"/>
        </w:rPr>
        <w:t>Οι οδηγίες της ΕΥΣΣΑ για την αναθεώρηση των Επιχειρησιακών Προγραμμάτων του ΕΣΠΑ 2014-2020 για το έτος 2018 (Αρ. Πρωτ. 55523/ΕΥΣΣΑ 963/23.05.2018)</w:t>
      </w:r>
      <w:r w:rsidR="00207B86" w:rsidRPr="0029055C">
        <w:rPr>
          <w:sz w:val="22"/>
          <w:szCs w:val="21"/>
        </w:rPr>
        <w:t>.</w:t>
      </w:r>
    </w:p>
    <w:p w14:paraId="6F30F197" w14:textId="77777777" w:rsidR="00207B86" w:rsidRPr="0029055C" w:rsidRDefault="00207B86" w:rsidP="0029055C">
      <w:pPr>
        <w:pStyle w:val="ListParagraph"/>
        <w:numPr>
          <w:ilvl w:val="0"/>
          <w:numId w:val="23"/>
        </w:numPr>
        <w:spacing w:line="280" w:lineRule="atLeast"/>
        <w:ind w:left="714" w:hanging="357"/>
        <w:contextualSpacing w:val="0"/>
        <w:rPr>
          <w:sz w:val="22"/>
          <w:szCs w:val="21"/>
        </w:rPr>
      </w:pPr>
      <w:r w:rsidRPr="0029055C">
        <w:rPr>
          <w:sz w:val="22"/>
          <w:szCs w:val="21"/>
        </w:rPr>
        <w:t>Το καθοδηγητικό κείμενο της Ευρωπαϊκής Επιτροπής αναφορικά με την αναθεώρηση του Πλαισίου Επίδοσης και το αποθετικό (</w:t>
      </w:r>
      <w:r w:rsidRPr="0029055C">
        <w:rPr>
          <w:sz w:val="22"/>
          <w:szCs w:val="21"/>
          <w:lang w:val="en-GB"/>
        </w:rPr>
        <w:t>Guidance</w:t>
      </w:r>
      <w:r w:rsidRPr="00292BCA">
        <w:rPr>
          <w:sz w:val="22"/>
          <w:szCs w:val="21"/>
        </w:rPr>
        <w:t xml:space="preserve"> </w:t>
      </w:r>
      <w:r w:rsidRPr="0029055C">
        <w:rPr>
          <w:sz w:val="22"/>
          <w:szCs w:val="21"/>
          <w:lang w:val="en-GB"/>
        </w:rPr>
        <w:t>for</w:t>
      </w:r>
      <w:r w:rsidRPr="00292BCA">
        <w:rPr>
          <w:sz w:val="22"/>
          <w:szCs w:val="21"/>
        </w:rPr>
        <w:t xml:space="preserve"> </w:t>
      </w:r>
      <w:r w:rsidRPr="0029055C">
        <w:rPr>
          <w:sz w:val="22"/>
          <w:szCs w:val="21"/>
          <w:lang w:val="en-GB"/>
        </w:rPr>
        <w:t>Member</w:t>
      </w:r>
      <w:r w:rsidRPr="00292BCA">
        <w:rPr>
          <w:sz w:val="22"/>
          <w:szCs w:val="21"/>
        </w:rPr>
        <w:t xml:space="preserve"> </w:t>
      </w:r>
      <w:r w:rsidRPr="0029055C">
        <w:rPr>
          <w:sz w:val="22"/>
          <w:szCs w:val="21"/>
          <w:lang w:val="en-GB"/>
        </w:rPr>
        <w:t>States</w:t>
      </w:r>
      <w:r w:rsidRPr="00292BCA">
        <w:rPr>
          <w:sz w:val="22"/>
          <w:szCs w:val="21"/>
        </w:rPr>
        <w:t xml:space="preserve"> </w:t>
      </w:r>
      <w:r w:rsidRPr="0029055C">
        <w:rPr>
          <w:sz w:val="22"/>
          <w:szCs w:val="21"/>
          <w:lang w:val="en-GB"/>
        </w:rPr>
        <w:t>on</w:t>
      </w:r>
      <w:r w:rsidRPr="00292BCA">
        <w:rPr>
          <w:sz w:val="22"/>
          <w:szCs w:val="21"/>
        </w:rPr>
        <w:t xml:space="preserve"> </w:t>
      </w:r>
      <w:r w:rsidRPr="0029055C">
        <w:rPr>
          <w:sz w:val="22"/>
          <w:szCs w:val="21"/>
          <w:lang w:val="en-GB"/>
        </w:rPr>
        <w:t>Performance</w:t>
      </w:r>
      <w:r w:rsidRPr="00292BCA">
        <w:rPr>
          <w:sz w:val="22"/>
          <w:szCs w:val="21"/>
        </w:rPr>
        <w:t xml:space="preserve"> </w:t>
      </w:r>
      <w:r w:rsidRPr="0029055C">
        <w:rPr>
          <w:sz w:val="22"/>
          <w:szCs w:val="21"/>
          <w:lang w:val="en-GB"/>
        </w:rPr>
        <w:t>framework</w:t>
      </w:r>
      <w:r w:rsidRPr="00292BCA">
        <w:rPr>
          <w:sz w:val="22"/>
          <w:szCs w:val="21"/>
        </w:rPr>
        <w:t xml:space="preserve">, </w:t>
      </w:r>
      <w:r w:rsidRPr="0029055C">
        <w:rPr>
          <w:sz w:val="22"/>
          <w:szCs w:val="21"/>
          <w:lang w:val="en-GB"/>
        </w:rPr>
        <w:t>review</w:t>
      </w:r>
      <w:r w:rsidRPr="00292BCA">
        <w:rPr>
          <w:sz w:val="22"/>
          <w:szCs w:val="21"/>
        </w:rPr>
        <w:t xml:space="preserve"> </w:t>
      </w:r>
      <w:r w:rsidRPr="0029055C">
        <w:rPr>
          <w:sz w:val="22"/>
          <w:szCs w:val="21"/>
          <w:lang w:val="en-GB"/>
        </w:rPr>
        <w:t>and</w:t>
      </w:r>
      <w:r w:rsidRPr="00292BCA">
        <w:rPr>
          <w:sz w:val="22"/>
          <w:szCs w:val="21"/>
        </w:rPr>
        <w:t xml:space="preserve"> </w:t>
      </w:r>
      <w:r w:rsidRPr="0029055C">
        <w:rPr>
          <w:sz w:val="22"/>
          <w:szCs w:val="21"/>
          <w:lang w:val="en-GB"/>
        </w:rPr>
        <w:t>reserve</w:t>
      </w:r>
      <w:r w:rsidRPr="00292BCA">
        <w:rPr>
          <w:sz w:val="22"/>
          <w:szCs w:val="21"/>
        </w:rPr>
        <w:t>,</w:t>
      </w:r>
      <w:r w:rsidRPr="0029055C">
        <w:rPr>
          <w:sz w:val="22"/>
          <w:szCs w:val="21"/>
        </w:rPr>
        <w:t xml:space="preserve"> 19.06.2018).</w:t>
      </w:r>
    </w:p>
    <w:p w14:paraId="43B12C69" w14:textId="77777777" w:rsidR="004437C3" w:rsidRPr="0029055C" w:rsidRDefault="00590E21" w:rsidP="00473DE1">
      <w:pPr>
        <w:pStyle w:val="Heading2"/>
      </w:pPr>
      <w:bookmarkStart w:id="4" w:name="_Toc519758754"/>
      <w:r w:rsidRPr="0029055C">
        <w:t>Βασικοί Άξονες Αναθεώρησης του ΕΠ ΜΔΤ</w:t>
      </w:r>
      <w:bookmarkEnd w:id="4"/>
    </w:p>
    <w:p w14:paraId="7F018A0A" w14:textId="77777777" w:rsidR="00E879D4" w:rsidRPr="0029055C" w:rsidRDefault="00E879D4" w:rsidP="0029055C">
      <w:pPr>
        <w:spacing w:line="280" w:lineRule="atLeast"/>
        <w:rPr>
          <w:sz w:val="22"/>
          <w:szCs w:val="21"/>
        </w:rPr>
      </w:pPr>
      <w:r w:rsidRPr="0029055C">
        <w:rPr>
          <w:sz w:val="22"/>
          <w:szCs w:val="21"/>
        </w:rPr>
        <w:t xml:space="preserve">Η προτεινόμενη αναθεώρηση του ΕΠ ΜΔΤ βασίζεται πρωτίστως σε αναπτυξιακούς και δευτερευόντως σε διαχειριστικούς στόχους, προς το σκοπό να αξιοποιηθεί κατά το μέγιστο δυνατό το συγκεκριμένο Πρόγραμμα στην εθνική προσπάθεια για την αποτελεσματική εφαρμογή διαρθρωτικών μεταρρυθμίσεων στο Δημόσιο Τομέα. </w:t>
      </w:r>
    </w:p>
    <w:p w14:paraId="79198FED" w14:textId="77777777" w:rsidR="006B1E42" w:rsidRPr="0029055C" w:rsidRDefault="00E879D4" w:rsidP="0029055C">
      <w:pPr>
        <w:spacing w:line="280" w:lineRule="atLeast"/>
        <w:rPr>
          <w:sz w:val="22"/>
          <w:szCs w:val="21"/>
        </w:rPr>
      </w:pPr>
      <w:r w:rsidRPr="0029055C">
        <w:rPr>
          <w:sz w:val="22"/>
          <w:szCs w:val="21"/>
        </w:rPr>
        <w:t>Η στρατηγική στόχευση του Προγράμματος</w:t>
      </w:r>
      <w:r w:rsidR="006B1E42" w:rsidRPr="0029055C">
        <w:rPr>
          <w:sz w:val="22"/>
          <w:szCs w:val="21"/>
        </w:rPr>
        <w:t>:</w:t>
      </w:r>
    </w:p>
    <w:p w14:paraId="64B35F52" w14:textId="77777777" w:rsidR="006B1E42" w:rsidRPr="0029055C" w:rsidRDefault="006B1E42" w:rsidP="0029055C">
      <w:pPr>
        <w:tabs>
          <w:tab w:val="left" w:pos="426"/>
        </w:tabs>
        <w:spacing w:line="280" w:lineRule="atLeast"/>
        <w:ind w:left="426" w:hanging="284"/>
        <w:rPr>
          <w:sz w:val="22"/>
          <w:szCs w:val="21"/>
        </w:rPr>
      </w:pPr>
      <w:r w:rsidRPr="0029055C">
        <w:rPr>
          <w:sz w:val="22"/>
          <w:szCs w:val="21"/>
        </w:rPr>
        <w:t xml:space="preserve">α) </w:t>
      </w:r>
      <w:r w:rsidRPr="0029055C">
        <w:rPr>
          <w:sz w:val="22"/>
          <w:szCs w:val="21"/>
        </w:rPr>
        <w:tab/>
      </w:r>
      <w:r w:rsidR="00E879D4" w:rsidRPr="0029055C">
        <w:rPr>
          <w:sz w:val="22"/>
          <w:szCs w:val="21"/>
        </w:rPr>
        <w:t>στ</w:t>
      </w:r>
      <w:r w:rsidRPr="0029055C">
        <w:rPr>
          <w:sz w:val="22"/>
          <w:szCs w:val="21"/>
        </w:rPr>
        <w:t>ον εκσυγχρονισμό και την</w:t>
      </w:r>
      <w:r w:rsidR="00E879D4" w:rsidRPr="0029055C">
        <w:rPr>
          <w:sz w:val="22"/>
          <w:szCs w:val="21"/>
        </w:rPr>
        <w:t xml:space="preserve"> ενίσχυση της οργανωτικής, θεσμικής και επιχειρησιακής ικανότητας της Δημόσιας </w:t>
      </w:r>
      <w:r w:rsidRPr="0029055C">
        <w:rPr>
          <w:sz w:val="22"/>
          <w:szCs w:val="21"/>
        </w:rPr>
        <w:t>Διοίκησης, με στόχο την αύξηση της αποτελεσματικότητας και αποδοτικότητας των δημοσίων φορέων και την εξασφάλιση της ενιαίας λειτουργίας του δημοσίου τομέα προς όφελος του κράτους, των πολιτών και των επιχειρήσεων,</w:t>
      </w:r>
    </w:p>
    <w:p w14:paraId="505CC01A" w14:textId="77777777" w:rsidR="006B1E42" w:rsidRPr="0029055C" w:rsidRDefault="006B1E42" w:rsidP="0029055C">
      <w:pPr>
        <w:tabs>
          <w:tab w:val="left" w:pos="426"/>
        </w:tabs>
        <w:spacing w:line="280" w:lineRule="atLeast"/>
        <w:ind w:left="426" w:hanging="284"/>
        <w:rPr>
          <w:sz w:val="22"/>
          <w:szCs w:val="21"/>
        </w:rPr>
      </w:pPr>
      <w:r w:rsidRPr="0029055C">
        <w:rPr>
          <w:sz w:val="22"/>
          <w:szCs w:val="21"/>
        </w:rPr>
        <w:t xml:space="preserve">β) </w:t>
      </w:r>
      <w:r w:rsidRPr="0029055C">
        <w:rPr>
          <w:sz w:val="22"/>
          <w:szCs w:val="21"/>
        </w:rPr>
        <w:tab/>
        <w:t>στην ενίσχυση της ηλεκτρονικής διακυβέρνησης στο</w:t>
      </w:r>
      <w:r w:rsidR="004A0296" w:rsidRPr="0029055C">
        <w:rPr>
          <w:sz w:val="22"/>
          <w:szCs w:val="21"/>
        </w:rPr>
        <w:t>ν</w:t>
      </w:r>
      <w:r w:rsidRPr="0029055C">
        <w:rPr>
          <w:sz w:val="22"/>
          <w:szCs w:val="21"/>
        </w:rPr>
        <w:t xml:space="preserve"> Δημόσιο Τομέα, η οποία σε συνδυασμό με συστημικές δράσεις και πολιτικές, θα αποτελέσουν τα κύρια εργαλεία μετασχηματισμού των υφιστάμενων διαδικασιών και αναβάθμισης των παρεχόμενων υπηρεσιών, σε υπηρεσίες προστιθέμενης αξίας, καθιστώντας τη Διοίκηση αποτελεσματικότερη και αποδοτικότερη, και</w:t>
      </w:r>
    </w:p>
    <w:p w14:paraId="11429431" w14:textId="77777777" w:rsidR="006B1E42" w:rsidRPr="0029055C" w:rsidRDefault="006B1E42" w:rsidP="0029055C">
      <w:pPr>
        <w:tabs>
          <w:tab w:val="left" w:pos="426"/>
        </w:tabs>
        <w:spacing w:line="280" w:lineRule="atLeast"/>
        <w:ind w:left="426" w:hanging="284"/>
        <w:rPr>
          <w:sz w:val="22"/>
          <w:szCs w:val="21"/>
        </w:rPr>
      </w:pPr>
      <w:r w:rsidRPr="0029055C">
        <w:rPr>
          <w:sz w:val="22"/>
          <w:szCs w:val="21"/>
        </w:rPr>
        <w:t xml:space="preserve">γ) </w:t>
      </w:r>
      <w:r w:rsidRPr="0029055C">
        <w:rPr>
          <w:sz w:val="22"/>
          <w:szCs w:val="21"/>
        </w:rPr>
        <w:tab/>
        <w:t>στην ανάπτυξη του ανθρώπινου δυναμικού του δημόσιου τομέα, μέσω της βελτίωσης της διαχείρισης του προσωπικού, της ορθολογικής κατανομής των ανθρώπινων πόρων, της ενίσχυσης του ρόλου, της σημασίας και της διαχείρισης των υψηλόβαθμων στελεχών, καθώς και της παροχής αναβαθμισμένων υπηρεσιών κατάρτισης/εκπαίδευσης, με στόχο την ατομική ανάπτυξη των υπαλλήλων και την ανταπόκρισή τους στις ανάγκες των διαρθρωτικών και θεσμικών αλλαγών των μεταρρυθμίσεων,</w:t>
      </w:r>
    </w:p>
    <w:p w14:paraId="423BE11C" w14:textId="77777777" w:rsidR="00E879D4" w:rsidRPr="0029055C" w:rsidRDefault="00E879D4" w:rsidP="0029055C">
      <w:pPr>
        <w:spacing w:line="280" w:lineRule="atLeast"/>
        <w:rPr>
          <w:b/>
          <w:sz w:val="22"/>
          <w:szCs w:val="21"/>
        </w:rPr>
      </w:pPr>
      <w:r w:rsidRPr="0029055C">
        <w:rPr>
          <w:b/>
          <w:sz w:val="22"/>
          <w:szCs w:val="21"/>
        </w:rPr>
        <w:t>ενισχύουν το ρόλο του ΕΠ</w:t>
      </w:r>
      <w:r w:rsidR="006B1E42" w:rsidRPr="0029055C">
        <w:rPr>
          <w:b/>
          <w:sz w:val="22"/>
          <w:szCs w:val="21"/>
        </w:rPr>
        <w:t xml:space="preserve"> ΜΔΤ</w:t>
      </w:r>
      <w:r w:rsidRPr="0029055C">
        <w:rPr>
          <w:b/>
          <w:sz w:val="22"/>
          <w:szCs w:val="21"/>
        </w:rPr>
        <w:t xml:space="preserve"> στην προσπάθεια της χώρας για την υιοθέτηση ενός νέου μοντέλου </w:t>
      </w:r>
      <w:r w:rsidR="006B1E42" w:rsidRPr="0029055C">
        <w:rPr>
          <w:b/>
          <w:sz w:val="22"/>
          <w:szCs w:val="21"/>
        </w:rPr>
        <w:t xml:space="preserve">λειτουργίας του Δημόσιου Τομέα και την αναβάθμιση της ποιότητας των παρεχόμενων υπηρεσιών προς τους πολίτες και τις επιχειρήσεις. </w:t>
      </w:r>
    </w:p>
    <w:p w14:paraId="0E37C9B0" w14:textId="77777777" w:rsidR="00590E21" w:rsidRPr="0029055C" w:rsidRDefault="006F0E89" w:rsidP="0029055C">
      <w:pPr>
        <w:spacing w:line="280" w:lineRule="atLeast"/>
        <w:rPr>
          <w:sz w:val="22"/>
          <w:lang w:eastAsia="en-US"/>
        </w:rPr>
      </w:pPr>
      <w:r w:rsidRPr="0029055C">
        <w:rPr>
          <w:sz w:val="22"/>
          <w:lang w:eastAsia="en-US"/>
        </w:rPr>
        <w:t>Στο πλαίσιο αυτό, οι βασικές κατευθύνσεις της πρότασης αναθεώρησης του ΕΠ ΜΔΤ είναι οι ακόλουθες:</w:t>
      </w:r>
    </w:p>
    <w:p w14:paraId="0D41289A" w14:textId="77777777" w:rsidR="00BE1D16" w:rsidRPr="0029055C" w:rsidRDefault="00BE1D16" w:rsidP="0029055C">
      <w:pPr>
        <w:pStyle w:val="ListParagraph"/>
        <w:numPr>
          <w:ilvl w:val="0"/>
          <w:numId w:val="26"/>
        </w:numPr>
        <w:spacing w:line="280" w:lineRule="atLeast"/>
        <w:contextualSpacing w:val="0"/>
        <w:rPr>
          <w:sz w:val="22"/>
          <w:szCs w:val="22"/>
          <w:lang w:eastAsia="en-US"/>
        </w:rPr>
      </w:pPr>
      <w:r w:rsidRPr="0029055C">
        <w:rPr>
          <w:sz w:val="22"/>
          <w:szCs w:val="22"/>
          <w:lang w:eastAsia="en-US"/>
        </w:rPr>
        <w:t>Αντιμετώπιση καθυστερήσεων σε επιμέρους τομείς παρέμβασης του Προγράμματος</w:t>
      </w:r>
      <w:r w:rsidR="00C84B94" w:rsidRPr="0029055C">
        <w:rPr>
          <w:sz w:val="22"/>
          <w:szCs w:val="22"/>
          <w:lang w:eastAsia="en-US"/>
        </w:rPr>
        <w:t>, με α</w:t>
      </w:r>
      <w:r w:rsidRPr="0029055C">
        <w:rPr>
          <w:sz w:val="22"/>
          <w:szCs w:val="22"/>
          <w:lang w:eastAsia="en-US"/>
        </w:rPr>
        <w:t xml:space="preserve">ποδέσμευση πόρων από Κατηγορίες Δράσης που παρουσιάζουν χαμηλό βαθμό υλοποίησης, με βάση ρεαλιστικές εκτιμήσεις για τη δυνατότητα απορρόφησης τους εντός της τρέχουσας Προγραμματικής Περιόδου και διοχέτευσή τους σε δράσεις ανάπτυξης γνώσεων, δεξιοτήτων και ικανοτήτων ανθρώπινου δυναμικού του Δημοσίου Τομέα. </w:t>
      </w:r>
    </w:p>
    <w:p w14:paraId="17BF5040" w14:textId="77777777" w:rsidR="006F0E89" w:rsidRPr="0029055C" w:rsidRDefault="00BE1D16" w:rsidP="0029055C">
      <w:pPr>
        <w:pStyle w:val="ListParagraph"/>
        <w:numPr>
          <w:ilvl w:val="0"/>
          <w:numId w:val="26"/>
        </w:numPr>
        <w:spacing w:line="280" w:lineRule="atLeast"/>
        <w:contextualSpacing w:val="0"/>
        <w:rPr>
          <w:sz w:val="22"/>
          <w:szCs w:val="22"/>
          <w:lang w:eastAsia="en-US"/>
        </w:rPr>
      </w:pPr>
      <w:r w:rsidRPr="0029055C">
        <w:rPr>
          <w:sz w:val="22"/>
          <w:szCs w:val="22"/>
          <w:lang w:eastAsia="en-US"/>
        </w:rPr>
        <w:lastRenderedPageBreak/>
        <w:t>Ενίσχυση της παρέμβασης του Προγράμματος στον τομέα της ανάπτυξης του Ανθρώπινου Δυναμικού του Δημόσιου Τομέα.</w:t>
      </w:r>
    </w:p>
    <w:p w14:paraId="2176527C" w14:textId="77777777" w:rsidR="00AE6F20" w:rsidRPr="0029055C" w:rsidRDefault="008403FE" w:rsidP="0029055C">
      <w:pPr>
        <w:pStyle w:val="ListParagraph"/>
        <w:numPr>
          <w:ilvl w:val="0"/>
          <w:numId w:val="26"/>
        </w:numPr>
        <w:spacing w:line="280" w:lineRule="atLeast"/>
        <w:contextualSpacing w:val="0"/>
        <w:rPr>
          <w:sz w:val="22"/>
          <w:szCs w:val="22"/>
          <w:lang w:eastAsia="en-US"/>
        </w:rPr>
      </w:pPr>
      <w:r w:rsidRPr="0029055C">
        <w:rPr>
          <w:sz w:val="22"/>
          <w:szCs w:val="22"/>
          <w:lang w:eastAsia="en-US"/>
        </w:rPr>
        <w:t xml:space="preserve">Μεταφορά </w:t>
      </w:r>
      <w:r w:rsidR="00AE6F20" w:rsidRPr="0029055C">
        <w:rPr>
          <w:sz w:val="22"/>
          <w:szCs w:val="22"/>
          <w:lang w:eastAsia="en-US"/>
        </w:rPr>
        <w:t xml:space="preserve">πόρων </w:t>
      </w:r>
      <w:r w:rsidRPr="0029055C">
        <w:rPr>
          <w:sz w:val="22"/>
          <w:szCs w:val="22"/>
          <w:lang w:eastAsia="en-US"/>
        </w:rPr>
        <w:t xml:space="preserve">από το ΕΠΑνΕΚ στο Θεματικό Άξονα </w:t>
      </w:r>
      <w:r w:rsidR="0036265B" w:rsidRPr="0029055C">
        <w:rPr>
          <w:sz w:val="22"/>
          <w:szCs w:val="22"/>
          <w:lang w:eastAsia="en-US"/>
        </w:rPr>
        <w:t>II</w:t>
      </w:r>
      <w:r w:rsidRPr="0029055C">
        <w:rPr>
          <w:sz w:val="22"/>
          <w:szCs w:val="22"/>
          <w:lang w:eastAsia="en-US"/>
        </w:rPr>
        <w:t xml:space="preserve"> (ΕΤΠΑ) </w:t>
      </w:r>
      <w:r w:rsidR="00AE6F20" w:rsidRPr="0029055C">
        <w:rPr>
          <w:sz w:val="22"/>
          <w:szCs w:val="22"/>
          <w:lang w:eastAsia="en-US"/>
        </w:rPr>
        <w:t xml:space="preserve">για </w:t>
      </w:r>
      <w:r w:rsidR="0075042C" w:rsidRPr="0029055C">
        <w:rPr>
          <w:sz w:val="22"/>
          <w:lang w:eastAsia="en-US"/>
        </w:rPr>
        <w:t xml:space="preserve">τη χρηματοδότηση του </w:t>
      </w:r>
      <w:r w:rsidR="00AE6F20" w:rsidRPr="0029055C">
        <w:rPr>
          <w:sz w:val="22"/>
          <w:szCs w:val="22"/>
          <w:lang w:eastAsia="en-US"/>
        </w:rPr>
        <w:t>Μεγάλο</w:t>
      </w:r>
      <w:r w:rsidR="0075042C" w:rsidRPr="0029055C">
        <w:rPr>
          <w:sz w:val="22"/>
          <w:szCs w:val="22"/>
          <w:lang w:eastAsia="en-US"/>
        </w:rPr>
        <w:t>υ</w:t>
      </w:r>
      <w:r w:rsidR="00AE6F20" w:rsidRPr="0029055C">
        <w:rPr>
          <w:sz w:val="22"/>
          <w:szCs w:val="22"/>
          <w:lang w:eastAsia="en-US"/>
        </w:rPr>
        <w:t xml:space="preserve"> Έργο</w:t>
      </w:r>
      <w:r w:rsidR="0075042C" w:rsidRPr="0029055C">
        <w:rPr>
          <w:sz w:val="22"/>
          <w:szCs w:val="22"/>
          <w:lang w:eastAsia="en-US"/>
        </w:rPr>
        <w:t>υ «</w:t>
      </w:r>
      <w:r w:rsidR="00AE6F20" w:rsidRPr="0029055C">
        <w:rPr>
          <w:sz w:val="22"/>
          <w:szCs w:val="22"/>
          <w:lang w:eastAsia="en-US"/>
        </w:rPr>
        <w:t>ΣΥΖΕΥΞΙΣ</w:t>
      </w:r>
      <w:r w:rsidR="0075042C" w:rsidRPr="0029055C">
        <w:rPr>
          <w:sz w:val="22"/>
          <w:szCs w:val="22"/>
          <w:lang w:eastAsia="en-US"/>
        </w:rPr>
        <w:t xml:space="preserve"> ΙΙ».</w:t>
      </w:r>
    </w:p>
    <w:p w14:paraId="53473178" w14:textId="77777777" w:rsidR="00C84B94" w:rsidRPr="0029055C" w:rsidRDefault="00C84B94" w:rsidP="0029055C">
      <w:pPr>
        <w:pStyle w:val="ListParagraph"/>
        <w:numPr>
          <w:ilvl w:val="0"/>
          <w:numId w:val="26"/>
        </w:numPr>
        <w:spacing w:line="280" w:lineRule="atLeast"/>
        <w:contextualSpacing w:val="0"/>
        <w:rPr>
          <w:sz w:val="22"/>
          <w:szCs w:val="22"/>
          <w:lang w:eastAsia="en-US"/>
        </w:rPr>
      </w:pPr>
      <w:r w:rsidRPr="0029055C">
        <w:rPr>
          <w:sz w:val="22"/>
          <w:szCs w:val="22"/>
          <w:lang w:eastAsia="en-US"/>
        </w:rPr>
        <w:t>Τροποποίηση του Συστήματος Δεικτών του ΕΠ ΜΔΤ, προκειμένου:</w:t>
      </w:r>
    </w:p>
    <w:p w14:paraId="6D419AF0" w14:textId="77777777" w:rsidR="00C84B94" w:rsidRPr="0029055C" w:rsidRDefault="00C84B94" w:rsidP="0029055C">
      <w:pPr>
        <w:pStyle w:val="ListParagraph"/>
        <w:numPr>
          <w:ilvl w:val="1"/>
          <w:numId w:val="27"/>
        </w:numPr>
        <w:spacing w:line="280" w:lineRule="atLeast"/>
        <w:contextualSpacing w:val="0"/>
        <w:rPr>
          <w:sz w:val="22"/>
          <w:lang w:eastAsia="en-US"/>
        </w:rPr>
      </w:pPr>
      <w:r w:rsidRPr="0029055C">
        <w:rPr>
          <w:sz w:val="22"/>
          <w:lang w:eastAsia="en-US"/>
        </w:rPr>
        <w:t>να ενσωματωθεί κατάλληλος δείκτης για την στοχοθεσία του Μεγάλου Έργου «ΣΥΖΕΥΞΙΣ ΙΙ»</w:t>
      </w:r>
    </w:p>
    <w:p w14:paraId="08E1DAEF" w14:textId="77777777" w:rsidR="00C84B94" w:rsidRPr="0029055C" w:rsidRDefault="00C84B94" w:rsidP="0029055C">
      <w:pPr>
        <w:pStyle w:val="ListParagraph"/>
        <w:numPr>
          <w:ilvl w:val="1"/>
          <w:numId w:val="27"/>
        </w:numPr>
        <w:spacing w:line="280" w:lineRule="atLeast"/>
        <w:contextualSpacing w:val="0"/>
        <w:rPr>
          <w:sz w:val="22"/>
          <w:lang w:eastAsia="en-US"/>
        </w:rPr>
      </w:pPr>
      <w:r w:rsidRPr="0029055C">
        <w:rPr>
          <w:sz w:val="22"/>
          <w:lang w:eastAsia="en-US"/>
        </w:rPr>
        <w:t xml:space="preserve">να αφαιρεθούν δείκτες που ποσοτικοποιούν δράσεις που δεν θα χρηματοδοτηθούν από το Πρόγραμμα </w:t>
      </w:r>
    </w:p>
    <w:p w14:paraId="5B98AC1C" w14:textId="77777777" w:rsidR="00C84B94" w:rsidRPr="0029055C" w:rsidRDefault="00C84B94" w:rsidP="0029055C">
      <w:pPr>
        <w:pStyle w:val="ListParagraph"/>
        <w:numPr>
          <w:ilvl w:val="1"/>
          <w:numId w:val="27"/>
        </w:numPr>
        <w:spacing w:line="280" w:lineRule="atLeast"/>
        <w:contextualSpacing w:val="0"/>
        <w:rPr>
          <w:sz w:val="22"/>
          <w:lang w:eastAsia="en-US"/>
        </w:rPr>
      </w:pPr>
      <w:r w:rsidRPr="0029055C">
        <w:rPr>
          <w:sz w:val="22"/>
          <w:lang w:eastAsia="en-US"/>
        </w:rPr>
        <w:t>να προσαρμοσθούν οι τιμές στόχου επιμέρους δεικτών στη νέα χρηματοδοτική κατανομή των πόρων</w:t>
      </w:r>
      <w:r w:rsidR="00030CF4" w:rsidRPr="0029055C">
        <w:rPr>
          <w:sz w:val="22"/>
          <w:lang w:eastAsia="en-US"/>
        </w:rPr>
        <w:t>,</w:t>
      </w:r>
      <w:r w:rsidRPr="0029055C">
        <w:rPr>
          <w:sz w:val="22"/>
          <w:lang w:eastAsia="en-US"/>
        </w:rPr>
        <w:t xml:space="preserve"> </w:t>
      </w:r>
      <w:r w:rsidR="00030CF4" w:rsidRPr="0029055C">
        <w:rPr>
          <w:sz w:val="22"/>
          <w:lang w:eastAsia="en-US"/>
        </w:rPr>
        <w:t>καθώς και στις τροποποιήσεις των επιμέρους προγραμματιζόμενων δράσεων</w:t>
      </w:r>
    </w:p>
    <w:p w14:paraId="0B0F8B3D" w14:textId="77777777" w:rsidR="00C84B94" w:rsidRPr="0029055C" w:rsidRDefault="00C84B94" w:rsidP="0029055C">
      <w:pPr>
        <w:pStyle w:val="ListParagraph"/>
        <w:numPr>
          <w:ilvl w:val="0"/>
          <w:numId w:val="26"/>
        </w:numPr>
        <w:spacing w:line="280" w:lineRule="atLeast"/>
        <w:contextualSpacing w:val="0"/>
        <w:rPr>
          <w:sz w:val="22"/>
          <w:szCs w:val="22"/>
          <w:lang w:eastAsia="en-US"/>
        </w:rPr>
      </w:pPr>
      <w:r w:rsidRPr="0029055C">
        <w:rPr>
          <w:sz w:val="22"/>
          <w:szCs w:val="22"/>
          <w:lang w:eastAsia="en-US"/>
        </w:rPr>
        <w:t>Τροποποίηση του Πλαισίου Επιδόσεων του ΕΠ ΜΔΤ, με βάση τις αντίστοιχες τροποποιήσεις του συστήματος δεικτών του Προγράμματος που επηρεάζουν τους δείκτες του Πλαισίου Επιδόσεων και τη νέα χρηματοδοτική κατανομή των πόρων του ΕΠ.</w:t>
      </w:r>
    </w:p>
    <w:p w14:paraId="6E5D4733" w14:textId="77777777" w:rsidR="00590E21" w:rsidRPr="0029055C" w:rsidRDefault="00590E21" w:rsidP="00473DE1">
      <w:pPr>
        <w:pStyle w:val="Heading2"/>
      </w:pPr>
      <w:bookmarkStart w:id="5" w:name="_Toc519758755"/>
      <w:r w:rsidRPr="0029055C">
        <w:t>Πρόταση Αναθεώρησης / Τροποποίησης του ΕΠ ΜΔΤ</w:t>
      </w:r>
      <w:bookmarkEnd w:id="5"/>
    </w:p>
    <w:p w14:paraId="0B815788" w14:textId="77777777" w:rsidR="00BE1D16" w:rsidRPr="0029055C" w:rsidRDefault="00BE1D16" w:rsidP="0029055C">
      <w:pPr>
        <w:spacing w:line="280" w:lineRule="atLeast"/>
        <w:rPr>
          <w:sz w:val="22"/>
          <w:lang w:eastAsia="en-US"/>
        </w:rPr>
      </w:pPr>
      <w:r w:rsidRPr="0029055C">
        <w:rPr>
          <w:sz w:val="22"/>
          <w:lang w:eastAsia="en-US"/>
        </w:rPr>
        <w:t>Η προτεινόμενη αναθεώρηση του ΕΠ ΜΔΤ έχει ως εξής:</w:t>
      </w:r>
    </w:p>
    <w:p w14:paraId="7C07B460" w14:textId="77777777" w:rsidR="00BE1D16" w:rsidRPr="0029055C" w:rsidRDefault="00CC1862" w:rsidP="0029055C">
      <w:pPr>
        <w:pStyle w:val="ListParagraph"/>
        <w:numPr>
          <w:ilvl w:val="0"/>
          <w:numId w:val="24"/>
        </w:numPr>
        <w:spacing w:line="280" w:lineRule="atLeast"/>
        <w:contextualSpacing w:val="0"/>
        <w:rPr>
          <w:sz w:val="22"/>
          <w:lang w:eastAsia="en-US"/>
        </w:rPr>
      </w:pPr>
      <w:r w:rsidRPr="0029055C">
        <w:rPr>
          <w:sz w:val="22"/>
          <w:szCs w:val="22"/>
          <w:lang w:eastAsia="en-US"/>
        </w:rPr>
        <w:t>Α</w:t>
      </w:r>
      <w:r w:rsidR="00BE1D16" w:rsidRPr="0029055C">
        <w:rPr>
          <w:sz w:val="22"/>
          <w:szCs w:val="22"/>
          <w:lang w:eastAsia="en-US"/>
        </w:rPr>
        <w:t>νακατανομή</w:t>
      </w:r>
      <w:r w:rsidR="00BE1D16" w:rsidRPr="0029055C">
        <w:rPr>
          <w:sz w:val="22"/>
          <w:lang w:eastAsia="en-US"/>
        </w:rPr>
        <w:t xml:space="preserve"> πόρων ΕΚΤ μεταξύ των Θεματικών Αξόνων </w:t>
      </w:r>
      <w:r w:rsidR="0036265B" w:rsidRPr="0029055C">
        <w:rPr>
          <w:sz w:val="22"/>
          <w:lang w:eastAsia="en-US"/>
        </w:rPr>
        <w:t>I</w:t>
      </w:r>
      <w:r w:rsidR="00BE1D16" w:rsidRPr="0029055C">
        <w:rPr>
          <w:sz w:val="22"/>
          <w:lang w:eastAsia="en-US"/>
        </w:rPr>
        <w:t xml:space="preserve"> </w:t>
      </w:r>
      <w:r w:rsidRPr="0029055C">
        <w:rPr>
          <w:sz w:val="22"/>
          <w:lang w:eastAsia="en-US"/>
        </w:rPr>
        <w:t xml:space="preserve">και </w:t>
      </w:r>
      <w:r w:rsidR="0036265B" w:rsidRPr="0029055C">
        <w:rPr>
          <w:sz w:val="22"/>
          <w:lang w:eastAsia="en-US"/>
        </w:rPr>
        <w:t>III</w:t>
      </w:r>
      <w:r w:rsidR="00BE1D16" w:rsidRPr="0029055C">
        <w:rPr>
          <w:sz w:val="22"/>
          <w:lang w:eastAsia="en-US"/>
        </w:rPr>
        <w:t xml:space="preserve">, με μεταφορά πόρων </w:t>
      </w:r>
      <w:r w:rsidR="00CA4DE6" w:rsidRPr="0029055C">
        <w:rPr>
          <w:sz w:val="22"/>
          <w:lang w:eastAsia="en-US"/>
        </w:rPr>
        <w:t xml:space="preserve">ύψους 6.948.280 € (ΔΔ) </w:t>
      </w:r>
      <w:r w:rsidR="00BE1D16" w:rsidRPr="0029055C">
        <w:rPr>
          <w:sz w:val="22"/>
          <w:lang w:eastAsia="en-US"/>
        </w:rPr>
        <w:t xml:space="preserve">από το ΘΑ </w:t>
      </w:r>
      <w:r w:rsidR="0036265B" w:rsidRPr="0029055C">
        <w:rPr>
          <w:sz w:val="22"/>
          <w:lang w:eastAsia="en-US"/>
        </w:rPr>
        <w:t>I</w:t>
      </w:r>
      <w:r w:rsidR="00BE1D16" w:rsidRPr="0029055C">
        <w:rPr>
          <w:sz w:val="22"/>
          <w:lang w:eastAsia="en-US"/>
        </w:rPr>
        <w:t xml:space="preserve"> στο ΘΑ </w:t>
      </w:r>
      <w:r w:rsidR="0036265B" w:rsidRPr="0029055C">
        <w:rPr>
          <w:sz w:val="22"/>
          <w:lang w:eastAsia="en-US"/>
        </w:rPr>
        <w:t>III</w:t>
      </w:r>
      <w:r w:rsidR="00CA4DE6" w:rsidRPr="0029055C">
        <w:rPr>
          <w:sz w:val="22"/>
          <w:lang w:eastAsia="en-US"/>
        </w:rPr>
        <w:t>, για την χρηματοδότηση της λειτουργίας των σχολών ΕΚΔΔΑ και ΕΣΔι.</w:t>
      </w:r>
    </w:p>
    <w:p w14:paraId="4E9FBB03" w14:textId="77777777" w:rsidR="00CC1862" w:rsidRPr="0029055C" w:rsidRDefault="00CC1862" w:rsidP="0029055C">
      <w:pPr>
        <w:pStyle w:val="ListParagraph"/>
        <w:numPr>
          <w:ilvl w:val="0"/>
          <w:numId w:val="24"/>
        </w:numPr>
        <w:spacing w:line="280" w:lineRule="atLeast"/>
        <w:contextualSpacing w:val="0"/>
        <w:rPr>
          <w:sz w:val="22"/>
          <w:lang w:eastAsia="en-US"/>
        </w:rPr>
      </w:pPr>
      <w:r w:rsidRPr="0029055C">
        <w:rPr>
          <w:sz w:val="22"/>
          <w:lang w:eastAsia="en-US"/>
        </w:rPr>
        <w:t xml:space="preserve">Αύξηση των διατιθέμενων πόρων του Θεματικού Άξονα </w:t>
      </w:r>
      <w:r w:rsidR="0086532E" w:rsidRPr="0029055C">
        <w:rPr>
          <w:sz w:val="22"/>
          <w:lang w:eastAsia="en-US"/>
        </w:rPr>
        <w:t>II</w:t>
      </w:r>
      <w:r w:rsidRPr="0029055C">
        <w:rPr>
          <w:sz w:val="22"/>
          <w:lang w:eastAsia="en-US"/>
        </w:rPr>
        <w:t xml:space="preserve">  </w:t>
      </w:r>
      <w:r w:rsidR="00CA4DE6" w:rsidRPr="0029055C">
        <w:rPr>
          <w:sz w:val="22"/>
          <w:lang w:eastAsia="en-US"/>
        </w:rPr>
        <w:t xml:space="preserve">κατά 80.000.000 € (ΔΔ) </w:t>
      </w:r>
      <w:r w:rsidRPr="0029055C">
        <w:rPr>
          <w:sz w:val="22"/>
          <w:lang w:eastAsia="en-US"/>
        </w:rPr>
        <w:t xml:space="preserve">για τη </w:t>
      </w:r>
      <w:r w:rsidR="00CA4DE6" w:rsidRPr="0029055C">
        <w:rPr>
          <w:sz w:val="22"/>
          <w:lang w:eastAsia="en-US"/>
        </w:rPr>
        <w:t xml:space="preserve">χρηματοδότηση </w:t>
      </w:r>
      <w:r w:rsidRPr="0029055C">
        <w:rPr>
          <w:sz w:val="22"/>
          <w:lang w:eastAsia="en-US"/>
        </w:rPr>
        <w:t xml:space="preserve">του Μεγάλου Έργου </w:t>
      </w:r>
      <w:r w:rsidR="0075042C" w:rsidRPr="0029055C">
        <w:rPr>
          <w:sz w:val="22"/>
          <w:lang w:eastAsia="en-US"/>
        </w:rPr>
        <w:t>«</w:t>
      </w:r>
      <w:r w:rsidRPr="0029055C">
        <w:rPr>
          <w:sz w:val="22"/>
          <w:lang w:eastAsia="en-US"/>
        </w:rPr>
        <w:t>ΣΥΖΕΥΞΙΣ ΙΙ</w:t>
      </w:r>
      <w:r w:rsidR="0075042C" w:rsidRPr="0029055C">
        <w:rPr>
          <w:sz w:val="22"/>
          <w:lang w:eastAsia="en-US"/>
        </w:rPr>
        <w:t>».</w:t>
      </w:r>
    </w:p>
    <w:p w14:paraId="60D650E8" w14:textId="77777777" w:rsidR="00302DA1" w:rsidRPr="0029055C" w:rsidRDefault="0075042C" w:rsidP="0029055C">
      <w:pPr>
        <w:pStyle w:val="ListParagraph"/>
        <w:numPr>
          <w:ilvl w:val="0"/>
          <w:numId w:val="24"/>
        </w:numPr>
        <w:spacing w:line="280" w:lineRule="atLeast"/>
        <w:contextualSpacing w:val="0"/>
        <w:rPr>
          <w:sz w:val="22"/>
          <w:lang w:eastAsia="en-US"/>
        </w:rPr>
      </w:pPr>
      <w:r w:rsidRPr="0029055C">
        <w:rPr>
          <w:sz w:val="22"/>
          <w:lang w:eastAsia="en-US"/>
        </w:rPr>
        <w:t xml:space="preserve">Τροποποίηση του Συστήματος Δεικτών του ΕΠ ΜΔΤ, </w:t>
      </w:r>
      <w:r w:rsidR="00C84B94" w:rsidRPr="0029055C">
        <w:rPr>
          <w:sz w:val="22"/>
          <w:lang w:eastAsia="en-US"/>
        </w:rPr>
        <w:t>ως ακολούθως</w:t>
      </w:r>
      <w:r w:rsidR="00302DA1" w:rsidRPr="0029055C">
        <w:rPr>
          <w:sz w:val="22"/>
          <w:lang w:eastAsia="en-US"/>
        </w:rPr>
        <w:t>:</w:t>
      </w:r>
    </w:p>
    <w:p w14:paraId="18EAC6ED" w14:textId="77777777" w:rsidR="00490CF1" w:rsidRPr="0029055C" w:rsidRDefault="00490CF1"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Κατάργηση του δείκτη εκροής </w:t>
      </w:r>
      <w:r w:rsidRPr="0029055C">
        <w:rPr>
          <w:b/>
          <w:i/>
          <w:sz w:val="22"/>
          <w:lang w:eastAsia="en-US"/>
        </w:rPr>
        <w:t>Τ4634</w:t>
      </w:r>
      <w:r w:rsidRPr="0029055C">
        <w:rPr>
          <w:i/>
          <w:sz w:val="22"/>
          <w:lang w:eastAsia="en-US"/>
        </w:rPr>
        <w:t xml:space="preserve"> «Αριθμός μελετών για τη βελτίωση των πολιτικών ανθρώπινου δυναμικού του δημόσιου τομέα</w:t>
      </w:r>
      <w:r w:rsidRPr="0029055C">
        <w:rPr>
          <w:sz w:val="22"/>
          <w:lang w:eastAsia="en-US"/>
        </w:rPr>
        <w:t xml:space="preserve">, δεδομένου ότι σχετικές μελέτες που αφορούν στη βελτίωση των πολιτικών ανθρωπίνου δυναμικού, υλοποιήθηκαν στο πλαίσιο της τεχνικής βοήθειας από την SRSS, χωρίς τη συνδρομή του ΕΠ ΜΔΤ. </w:t>
      </w:r>
    </w:p>
    <w:p w14:paraId="01DE2221" w14:textId="77777777" w:rsidR="00490CF1" w:rsidRPr="0029055C" w:rsidRDefault="00490CF1"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Κατάργηση του δείκτη εκροής </w:t>
      </w:r>
      <w:r w:rsidRPr="0029055C">
        <w:rPr>
          <w:b/>
          <w:i/>
          <w:sz w:val="22"/>
          <w:lang w:eastAsia="en-US"/>
        </w:rPr>
        <w:t>Τ4623</w:t>
      </w:r>
      <w:r w:rsidRPr="0029055C">
        <w:rPr>
          <w:i/>
          <w:sz w:val="22"/>
          <w:lang w:eastAsia="en-US"/>
        </w:rPr>
        <w:t xml:space="preserve"> «Αριθμός συστημάτων εσωτερικού ελέγχου φορέων του δημόσιου τομέα που δημιουργούνται ή αναβαθμίζονται»</w:t>
      </w:r>
      <w:r w:rsidRPr="0029055C">
        <w:rPr>
          <w:sz w:val="22"/>
          <w:lang w:eastAsia="en-US"/>
        </w:rPr>
        <w:t xml:space="preserve">, καθώς και του αντίστοιχου δείκτη αποτελέσματος </w:t>
      </w:r>
      <w:r w:rsidRPr="0029055C">
        <w:rPr>
          <w:b/>
          <w:i/>
          <w:sz w:val="22"/>
          <w:lang w:eastAsia="en-US"/>
        </w:rPr>
        <w:t>Τ4610</w:t>
      </w:r>
      <w:r w:rsidRPr="0029055C">
        <w:rPr>
          <w:i/>
          <w:sz w:val="22"/>
          <w:lang w:eastAsia="en-US"/>
        </w:rPr>
        <w:t xml:space="preserve"> «Αριθμός φορέων του δημόσιου τομέα που εφαρμόζουν συστήματα εσωτερικού ελέγχου»,</w:t>
      </w:r>
      <w:r w:rsidRPr="0029055C">
        <w:rPr>
          <w:sz w:val="22"/>
          <w:lang w:eastAsia="en-US"/>
        </w:rPr>
        <w:t xml:space="preserve"> δεδομένου ότι με τον πρόσφατο ανασχεδιασμό της δομής των 16 Υπουργείων, ο οποίος πραγματοποιήθηκε χωρίς χρηματοδότηση από το ΕΠ ΜΔΤ (Π.Δ. Οργανισμών Υπουργείων έτους 2017 και 2018), προβλέφθηκαν αυτοτελή τμήματα εσωτερικού ελέγχου σε κάθε Υπουργείο, η λειτουργία των οποίων δεν απαιτεί πόρους από το Πρόγραμμα. </w:t>
      </w:r>
    </w:p>
    <w:p w14:paraId="41D01006" w14:textId="77777777" w:rsidR="00030CF4" w:rsidRPr="0029055C" w:rsidRDefault="00030CF4"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Κατάργηση των δεικτών εκροής </w:t>
      </w:r>
      <w:r w:rsidRPr="0029055C">
        <w:rPr>
          <w:b/>
          <w:i/>
          <w:sz w:val="22"/>
          <w:lang w:eastAsia="en-US"/>
        </w:rPr>
        <w:t xml:space="preserve">Τ4643 </w:t>
      </w:r>
      <w:r w:rsidRPr="0029055C">
        <w:rPr>
          <w:sz w:val="22"/>
          <w:lang w:eastAsia="en-US"/>
        </w:rPr>
        <w:t xml:space="preserve">και </w:t>
      </w:r>
      <w:r w:rsidRPr="0029055C">
        <w:rPr>
          <w:b/>
          <w:i/>
          <w:sz w:val="22"/>
          <w:lang w:eastAsia="en-US"/>
        </w:rPr>
        <w:t>Τ4648</w:t>
      </w:r>
      <w:r w:rsidRPr="0029055C">
        <w:rPr>
          <w:sz w:val="22"/>
          <w:lang w:eastAsia="en-US"/>
        </w:rPr>
        <w:t xml:space="preserve"> </w:t>
      </w:r>
      <w:r w:rsidRPr="0029055C">
        <w:rPr>
          <w:i/>
          <w:sz w:val="22"/>
          <w:lang w:eastAsia="en-US"/>
        </w:rPr>
        <w:t xml:space="preserve">«Αριθμός Επικοινωνιακών Σχεδίων Δράσης» </w:t>
      </w:r>
      <w:r w:rsidRPr="0029055C">
        <w:rPr>
          <w:sz w:val="22"/>
          <w:lang w:eastAsia="en-US"/>
        </w:rPr>
        <w:t xml:space="preserve">από τους Θεματικούς Άξονες </w:t>
      </w:r>
      <w:r w:rsidR="00AC462E" w:rsidRPr="0029055C">
        <w:rPr>
          <w:sz w:val="22"/>
          <w:lang w:eastAsia="en-US"/>
        </w:rPr>
        <w:t>IV</w:t>
      </w:r>
      <w:r w:rsidRPr="0029055C">
        <w:rPr>
          <w:sz w:val="22"/>
          <w:lang w:eastAsia="en-US"/>
        </w:rPr>
        <w:t xml:space="preserve"> και </w:t>
      </w:r>
      <w:r w:rsidR="00AC462E" w:rsidRPr="0029055C">
        <w:rPr>
          <w:sz w:val="22"/>
          <w:lang w:eastAsia="en-US"/>
        </w:rPr>
        <w:t>V</w:t>
      </w:r>
      <w:r w:rsidRPr="0029055C">
        <w:rPr>
          <w:sz w:val="22"/>
          <w:lang w:eastAsia="en-US"/>
        </w:rPr>
        <w:t xml:space="preserve"> της Τεχνικής Βοήθειας του Προγράμματος, δεδομένου ότι το Επικοινωνιακό Σχέδιο του ΕΠ ΜΔΤ υλοποιήθηκε από την ΕΥΔ με ίδιους πόρους.</w:t>
      </w:r>
    </w:p>
    <w:p w14:paraId="66038D52" w14:textId="77777777" w:rsidR="00302DA1" w:rsidRPr="0029055C" w:rsidRDefault="00C84B94"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Προσθήκη του δείκτη </w:t>
      </w:r>
      <w:r w:rsidRPr="0029055C">
        <w:rPr>
          <w:b/>
          <w:i/>
          <w:sz w:val="22"/>
          <w:lang w:eastAsia="en-US"/>
        </w:rPr>
        <w:t>Τ4652</w:t>
      </w:r>
      <w:r w:rsidRPr="0029055C">
        <w:rPr>
          <w:i/>
          <w:sz w:val="22"/>
          <w:lang w:eastAsia="en-US"/>
        </w:rPr>
        <w:t xml:space="preserve"> «Αριθμός σημείων παρουσίας (κτήρια) του έργου ΣΥΖΕΥΞΙΣ ΙΙ για την υποστήριξη της λειτουργίας των δημόσιων φορέων»</w:t>
      </w:r>
      <w:r w:rsidRPr="0029055C">
        <w:rPr>
          <w:sz w:val="22"/>
          <w:lang w:eastAsia="en-US"/>
        </w:rPr>
        <w:t xml:space="preserve"> </w:t>
      </w:r>
      <w:r w:rsidR="00302DA1" w:rsidRPr="0029055C">
        <w:rPr>
          <w:sz w:val="22"/>
          <w:lang w:eastAsia="en-US"/>
        </w:rPr>
        <w:t>για τη στοχοθεσία του Μεγάλου Έργου «ΣΥΖΕΥΞΙΣ ΙΙ»</w:t>
      </w:r>
      <w:r w:rsidR="00490CF1" w:rsidRPr="0029055C">
        <w:rPr>
          <w:sz w:val="22"/>
          <w:lang w:eastAsia="en-US"/>
        </w:rPr>
        <w:t>.</w:t>
      </w:r>
    </w:p>
    <w:p w14:paraId="31517D26" w14:textId="77777777" w:rsidR="00490CF1" w:rsidRPr="0029055C" w:rsidRDefault="00490CF1"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lastRenderedPageBreak/>
        <w:t xml:space="preserve">Τροποποίηση της στοχοθεσίας </w:t>
      </w:r>
      <w:r w:rsidR="00DF3BD4" w:rsidRPr="0029055C">
        <w:rPr>
          <w:sz w:val="22"/>
          <w:lang w:eastAsia="en-US"/>
        </w:rPr>
        <w:t>τεσσάρων (</w:t>
      </w:r>
      <w:r w:rsidR="00225C44" w:rsidRPr="0029055C">
        <w:rPr>
          <w:sz w:val="22"/>
          <w:lang w:eastAsia="en-US"/>
        </w:rPr>
        <w:t>4</w:t>
      </w:r>
      <w:r w:rsidR="00DF3BD4" w:rsidRPr="0029055C">
        <w:rPr>
          <w:sz w:val="22"/>
          <w:lang w:eastAsia="en-US"/>
        </w:rPr>
        <w:t>)</w:t>
      </w:r>
      <w:r w:rsidR="00225C44" w:rsidRPr="0029055C">
        <w:rPr>
          <w:sz w:val="22"/>
          <w:lang w:eastAsia="en-US"/>
        </w:rPr>
        <w:t xml:space="preserve"> δεικτών αποτελέσματος </w:t>
      </w:r>
      <w:r w:rsidR="00435664" w:rsidRPr="0029055C">
        <w:rPr>
          <w:sz w:val="22"/>
          <w:lang w:eastAsia="en-US"/>
        </w:rPr>
        <w:t>ως ακολούθως</w:t>
      </w:r>
      <w:r w:rsidR="00225C44" w:rsidRPr="0029055C">
        <w:rPr>
          <w:sz w:val="22"/>
          <w:lang w:eastAsia="en-US"/>
        </w:rPr>
        <w:t>:</w:t>
      </w:r>
      <w:r w:rsidR="00585180" w:rsidRPr="0029055C">
        <w:rPr>
          <w:sz w:val="22"/>
          <w:lang w:eastAsia="en-US"/>
        </w:rPr>
        <w:t xml:space="preserve"> </w:t>
      </w:r>
    </w:p>
    <w:p w14:paraId="1E3AE609" w14:textId="77777777" w:rsidR="00225C44" w:rsidRPr="0029055C" w:rsidRDefault="00585180" w:rsidP="0029055C">
      <w:pPr>
        <w:pStyle w:val="ListParagraph"/>
        <w:numPr>
          <w:ilvl w:val="2"/>
          <w:numId w:val="27"/>
        </w:numPr>
        <w:spacing w:line="280" w:lineRule="atLeast"/>
        <w:ind w:left="1701" w:hanging="283"/>
        <w:contextualSpacing w:val="0"/>
        <w:rPr>
          <w:sz w:val="22"/>
          <w:lang w:eastAsia="en-US"/>
        </w:rPr>
      </w:pPr>
      <w:r w:rsidRPr="0029055C">
        <w:rPr>
          <w:i/>
          <w:sz w:val="22"/>
          <w:lang w:eastAsia="en-US"/>
        </w:rPr>
        <w:t>Τ4605 «Αριθμός επιτελικών λειτουργιών της Δημόσιας Διοίκησης που ενισχύονται»</w:t>
      </w:r>
      <w:r w:rsidRPr="0029055C">
        <w:rPr>
          <w:sz w:val="22"/>
          <w:lang w:eastAsia="en-US"/>
        </w:rPr>
        <w:t>: μείωση της τιμής στόχου του δείκτη για το 2023 από 8 σε 6, λαμβάνοντας υπόψη ότι η τιμή βάσης (2) δεν συμπεριλαμβάνεται στην τιμή στόχου.</w:t>
      </w:r>
    </w:p>
    <w:p w14:paraId="5497A8D5" w14:textId="77777777" w:rsidR="00585180" w:rsidRPr="0029055C" w:rsidRDefault="00585180" w:rsidP="0029055C">
      <w:pPr>
        <w:pStyle w:val="ListParagraph"/>
        <w:numPr>
          <w:ilvl w:val="2"/>
          <w:numId w:val="27"/>
        </w:numPr>
        <w:spacing w:line="280" w:lineRule="atLeast"/>
        <w:ind w:left="1701" w:hanging="283"/>
        <w:contextualSpacing w:val="0"/>
        <w:rPr>
          <w:sz w:val="22"/>
          <w:lang w:eastAsia="en-US"/>
        </w:rPr>
      </w:pPr>
      <w:r w:rsidRPr="0029055C">
        <w:rPr>
          <w:i/>
          <w:sz w:val="22"/>
          <w:lang w:eastAsia="en-US"/>
        </w:rPr>
        <w:t>Τ4607</w:t>
      </w:r>
      <w:r w:rsidRPr="0029055C">
        <w:rPr>
          <w:sz w:val="22"/>
          <w:lang w:eastAsia="en-US"/>
        </w:rPr>
        <w:t xml:space="preserve"> «Αριθμός φορέων του δημόσιου τομέα που εφαρμόζουν απλοποιημένες εσωτερικές διαδικασίες»: μείωση της τιμής στόχου του δείκτη για το 2023 από 363 σε 356.</w:t>
      </w:r>
    </w:p>
    <w:p w14:paraId="5934CABE" w14:textId="77777777" w:rsidR="00585180" w:rsidRPr="0029055C" w:rsidRDefault="00585180" w:rsidP="0029055C">
      <w:pPr>
        <w:pStyle w:val="ListParagraph"/>
        <w:numPr>
          <w:ilvl w:val="2"/>
          <w:numId w:val="27"/>
        </w:numPr>
        <w:spacing w:line="280" w:lineRule="atLeast"/>
        <w:ind w:left="1701" w:hanging="283"/>
        <w:contextualSpacing w:val="0"/>
        <w:rPr>
          <w:sz w:val="22"/>
          <w:lang w:eastAsia="en-US"/>
        </w:rPr>
      </w:pPr>
      <w:r w:rsidRPr="0029055C">
        <w:rPr>
          <w:i/>
          <w:sz w:val="22"/>
          <w:lang w:eastAsia="en-US"/>
        </w:rPr>
        <w:t xml:space="preserve">T4640 </w:t>
      </w:r>
      <w:r w:rsidRPr="0029055C">
        <w:rPr>
          <w:sz w:val="22"/>
          <w:lang w:eastAsia="en-US"/>
        </w:rPr>
        <w:t>«Αριθμός πολιτών που έχουν προσωποποιημένη πρόσβαση στο ενιαίο σημείο πρόσβασης των πολιτών»: αύξηση της τιμής στόχου του δείκτη για το 2023 από 150.000 σε 500.000.</w:t>
      </w:r>
    </w:p>
    <w:p w14:paraId="5952D348" w14:textId="77777777" w:rsidR="00585180" w:rsidRPr="0029055C" w:rsidRDefault="00585180" w:rsidP="0029055C">
      <w:pPr>
        <w:pStyle w:val="ListParagraph"/>
        <w:numPr>
          <w:ilvl w:val="2"/>
          <w:numId w:val="27"/>
        </w:numPr>
        <w:spacing w:line="280" w:lineRule="atLeast"/>
        <w:ind w:left="1701" w:hanging="283"/>
        <w:contextualSpacing w:val="0"/>
        <w:rPr>
          <w:sz w:val="22"/>
          <w:lang w:eastAsia="en-US"/>
        </w:rPr>
      </w:pPr>
      <w:r w:rsidRPr="0029055C">
        <w:rPr>
          <w:i/>
          <w:sz w:val="22"/>
          <w:lang w:eastAsia="en-US"/>
        </w:rPr>
        <w:t>Τ4613 «Αριθμός δημοσίων υπαλλήλων που πιστοποιήθηκαν μετά την παρακολούθηση προγραμμάτων κατάρτισης»</w:t>
      </w:r>
      <w:r w:rsidRPr="0029055C">
        <w:rPr>
          <w:sz w:val="22"/>
          <w:lang w:eastAsia="en-US"/>
        </w:rPr>
        <w:t>: αύξηση της τιμής στόχου του δείκτη για το 2023 από 196.033 σε 210.000 πιστοποιημένους δημοσίους υπαλλήλους.</w:t>
      </w:r>
    </w:p>
    <w:p w14:paraId="59805F73" w14:textId="77777777" w:rsidR="00030CF4" w:rsidRPr="0029055C" w:rsidRDefault="00030CF4"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Τροποποίηση της στοχοθεσίας </w:t>
      </w:r>
      <w:r w:rsidR="00DF3BD4" w:rsidRPr="0029055C">
        <w:rPr>
          <w:sz w:val="22"/>
          <w:lang w:eastAsia="en-US"/>
        </w:rPr>
        <w:t>οκτώ (</w:t>
      </w:r>
      <w:r w:rsidR="00297C2F" w:rsidRPr="0029055C">
        <w:rPr>
          <w:sz w:val="22"/>
          <w:lang w:eastAsia="en-US"/>
        </w:rPr>
        <w:t>8</w:t>
      </w:r>
      <w:r w:rsidR="00DF3BD4" w:rsidRPr="0029055C">
        <w:rPr>
          <w:sz w:val="22"/>
          <w:lang w:eastAsia="en-US"/>
        </w:rPr>
        <w:t>)</w:t>
      </w:r>
      <w:r w:rsidRPr="0029055C">
        <w:rPr>
          <w:sz w:val="22"/>
          <w:lang w:eastAsia="en-US"/>
        </w:rPr>
        <w:t xml:space="preserve"> δεικτών </w:t>
      </w:r>
      <w:r w:rsidR="00297C2F" w:rsidRPr="0029055C">
        <w:rPr>
          <w:sz w:val="22"/>
          <w:lang w:eastAsia="en-US"/>
        </w:rPr>
        <w:t>εκροής</w:t>
      </w:r>
      <w:r w:rsidR="00435664" w:rsidRPr="0029055C">
        <w:rPr>
          <w:sz w:val="22"/>
          <w:lang w:eastAsia="en-US"/>
        </w:rPr>
        <w:t xml:space="preserve"> ως ακολούθως</w:t>
      </w:r>
      <w:r w:rsidRPr="0029055C">
        <w:rPr>
          <w:sz w:val="22"/>
          <w:lang w:eastAsia="en-US"/>
        </w:rPr>
        <w:t xml:space="preserve">: </w:t>
      </w:r>
    </w:p>
    <w:p w14:paraId="2CDAA701" w14:textId="77777777" w:rsidR="00297C2F" w:rsidRPr="0029055C" w:rsidRDefault="00297C2F" w:rsidP="0029055C">
      <w:pPr>
        <w:pStyle w:val="ListParagraph"/>
        <w:numPr>
          <w:ilvl w:val="2"/>
          <w:numId w:val="27"/>
        </w:numPr>
        <w:spacing w:line="280" w:lineRule="atLeast"/>
        <w:ind w:left="1701" w:hanging="283"/>
        <w:contextualSpacing w:val="0"/>
        <w:rPr>
          <w:sz w:val="22"/>
          <w:lang w:eastAsia="en-US"/>
        </w:rPr>
      </w:pPr>
      <w:r w:rsidRPr="0029055C">
        <w:rPr>
          <w:i/>
          <w:sz w:val="22"/>
          <w:lang w:eastAsia="en-US"/>
        </w:rPr>
        <w:t xml:space="preserve">T4615 «Αριθμός έργων επαναοριοθέτησης αρμοδιοτήτων των τεσσάρων επιπέδων Διοίκησης»: </w:t>
      </w:r>
      <w:r w:rsidRPr="0029055C">
        <w:rPr>
          <w:sz w:val="22"/>
          <w:lang w:eastAsia="en-US"/>
        </w:rPr>
        <w:t>μείωση της τιμής στόχου του δείκτη για το 2023 από 6 σε 4.</w:t>
      </w:r>
    </w:p>
    <w:p w14:paraId="5B459E3D" w14:textId="77777777" w:rsidR="00297C2F" w:rsidRPr="0029055C" w:rsidRDefault="00297C2F" w:rsidP="0029055C">
      <w:pPr>
        <w:pStyle w:val="ListParagraph"/>
        <w:numPr>
          <w:ilvl w:val="2"/>
          <w:numId w:val="27"/>
        </w:numPr>
        <w:spacing w:line="280" w:lineRule="atLeast"/>
        <w:ind w:left="1701" w:hanging="283"/>
        <w:contextualSpacing w:val="0"/>
        <w:rPr>
          <w:i/>
          <w:sz w:val="22"/>
          <w:lang w:eastAsia="en-US"/>
        </w:rPr>
      </w:pPr>
      <w:r w:rsidRPr="0029055C">
        <w:rPr>
          <w:i/>
          <w:sz w:val="22"/>
          <w:lang w:eastAsia="en-US"/>
        </w:rPr>
        <w:t xml:space="preserve">T4619 «Αριθμός εποπτευόμενων φορέων δημόσιου τομέα που αξιολογούνται»: </w:t>
      </w:r>
      <w:r w:rsidRPr="0029055C">
        <w:rPr>
          <w:sz w:val="22"/>
          <w:lang w:eastAsia="en-US"/>
        </w:rPr>
        <w:t>μείωση της τιμής στόχου του δείκτη για το 2023 από 445 σε 195</w:t>
      </w:r>
      <w:r w:rsidR="00D80047" w:rsidRPr="0029055C">
        <w:rPr>
          <w:sz w:val="22"/>
          <w:lang w:eastAsia="en-US"/>
        </w:rPr>
        <w:t>.</w:t>
      </w:r>
      <w:r w:rsidRPr="0029055C">
        <w:rPr>
          <w:i/>
          <w:sz w:val="22"/>
          <w:lang w:eastAsia="en-US"/>
        </w:rPr>
        <w:t xml:space="preserve">  </w:t>
      </w:r>
    </w:p>
    <w:p w14:paraId="18D471F0" w14:textId="77777777" w:rsidR="00297C2F" w:rsidRPr="0029055C" w:rsidRDefault="00297C2F" w:rsidP="0029055C">
      <w:pPr>
        <w:pStyle w:val="ListParagraph"/>
        <w:numPr>
          <w:ilvl w:val="2"/>
          <w:numId w:val="27"/>
        </w:numPr>
        <w:spacing w:line="280" w:lineRule="atLeast"/>
        <w:ind w:left="1701" w:hanging="283"/>
        <w:contextualSpacing w:val="0"/>
        <w:rPr>
          <w:i/>
          <w:sz w:val="22"/>
          <w:lang w:eastAsia="en-US"/>
        </w:rPr>
      </w:pPr>
      <w:r w:rsidRPr="0029055C">
        <w:rPr>
          <w:i/>
          <w:sz w:val="22"/>
          <w:lang w:eastAsia="en-US"/>
        </w:rPr>
        <w:t xml:space="preserve">T4620 «Αριθμός έργων απλοποίησης εσωτερικών διαδικασιών φορέων του δημοσίου τομέα»: </w:t>
      </w:r>
      <w:r w:rsidRPr="0029055C">
        <w:rPr>
          <w:sz w:val="22"/>
          <w:lang w:eastAsia="en-US"/>
        </w:rPr>
        <w:t>αύξηση της τιμής στόχου του δείκτη για το 2023 από 20 σε 30</w:t>
      </w:r>
      <w:r w:rsidR="00D80047" w:rsidRPr="0029055C">
        <w:rPr>
          <w:sz w:val="22"/>
          <w:lang w:eastAsia="en-US"/>
        </w:rPr>
        <w:t>.</w:t>
      </w:r>
    </w:p>
    <w:p w14:paraId="2923CD9E" w14:textId="77777777" w:rsidR="00297C2F" w:rsidRPr="0029055C" w:rsidRDefault="00297C2F" w:rsidP="0029055C">
      <w:pPr>
        <w:pStyle w:val="ListParagraph"/>
        <w:numPr>
          <w:ilvl w:val="2"/>
          <w:numId w:val="27"/>
        </w:numPr>
        <w:spacing w:line="280" w:lineRule="atLeast"/>
        <w:ind w:left="1701" w:hanging="283"/>
        <w:contextualSpacing w:val="0"/>
        <w:rPr>
          <w:sz w:val="22"/>
          <w:lang w:eastAsia="en-US"/>
        </w:rPr>
      </w:pPr>
      <w:r w:rsidRPr="0029055C">
        <w:rPr>
          <w:i/>
          <w:sz w:val="22"/>
          <w:lang w:eastAsia="en-US"/>
        </w:rPr>
        <w:t xml:space="preserve">T4627 «Αριθμός έργων δημιουργίας ή αναβάθμισης συστημάτων ΤΠΕ για την υποστήριξη οριζόντιων λειτουργιών των δημόσιων φορέων»: </w:t>
      </w:r>
      <w:r w:rsidRPr="0029055C">
        <w:rPr>
          <w:sz w:val="22"/>
          <w:lang w:eastAsia="en-US"/>
        </w:rPr>
        <w:t>αύξηση της τιμής στόχου του δείκτη για το 2023 από 13 σε 17.</w:t>
      </w:r>
    </w:p>
    <w:p w14:paraId="5D940089" w14:textId="77777777" w:rsidR="00297C2F" w:rsidRPr="0029055C" w:rsidRDefault="00297C2F" w:rsidP="0029055C">
      <w:pPr>
        <w:pStyle w:val="ListParagraph"/>
        <w:numPr>
          <w:ilvl w:val="2"/>
          <w:numId w:val="27"/>
        </w:numPr>
        <w:spacing w:line="280" w:lineRule="atLeast"/>
        <w:ind w:left="1701" w:hanging="283"/>
        <w:contextualSpacing w:val="0"/>
        <w:rPr>
          <w:sz w:val="22"/>
          <w:lang w:eastAsia="en-US"/>
        </w:rPr>
      </w:pPr>
      <w:r w:rsidRPr="0029055C">
        <w:rPr>
          <w:i/>
          <w:sz w:val="22"/>
          <w:lang w:eastAsia="en-US"/>
        </w:rPr>
        <w:t>T4630</w:t>
      </w:r>
      <w:r w:rsidR="00D80047" w:rsidRPr="0029055C">
        <w:rPr>
          <w:i/>
          <w:sz w:val="22"/>
          <w:lang w:eastAsia="en-US"/>
        </w:rPr>
        <w:t xml:space="preserve"> </w:t>
      </w:r>
      <w:r w:rsidRPr="0029055C">
        <w:rPr>
          <w:i/>
          <w:sz w:val="22"/>
          <w:lang w:eastAsia="en-US"/>
        </w:rPr>
        <w:t xml:space="preserve">«Αριθμός έργων ανάπτυξης ή αναβάθμισης υπηρεσιών δημόσιας διοίκησης που παρέχονται πλήρως ηλεκτρονικά»: </w:t>
      </w:r>
      <w:r w:rsidRPr="0029055C">
        <w:rPr>
          <w:sz w:val="22"/>
          <w:lang w:eastAsia="en-US"/>
        </w:rPr>
        <w:t>αύξηση της τιμής στόχου του δείκτη για το 2023 από 2 σε 4.</w:t>
      </w:r>
    </w:p>
    <w:p w14:paraId="11E57551" w14:textId="77777777" w:rsidR="00297C2F" w:rsidRPr="0029055C" w:rsidRDefault="00297C2F" w:rsidP="0029055C">
      <w:pPr>
        <w:pStyle w:val="ListParagraph"/>
        <w:numPr>
          <w:ilvl w:val="2"/>
          <w:numId w:val="27"/>
        </w:numPr>
        <w:spacing w:line="280" w:lineRule="atLeast"/>
        <w:ind w:left="1701" w:hanging="283"/>
        <w:contextualSpacing w:val="0"/>
        <w:rPr>
          <w:sz w:val="22"/>
          <w:lang w:eastAsia="en-US"/>
        </w:rPr>
      </w:pPr>
      <w:r w:rsidRPr="0029055C">
        <w:rPr>
          <w:i/>
          <w:sz w:val="22"/>
          <w:lang w:eastAsia="en-US"/>
        </w:rPr>
        <w:t>T4635</w:t>
      </w:r>
      <w:r w:rsidR="00D80047" w:rsidRPr="0029055C">
        <w:rPr>
          <w:i/>
          <w:sz w:val="22"/>
          <w:lang w:eastAsia="en-US"/>
        </w:rPr>
        <w:t xml:space="preserve"> </w:t>
      </w:r>
      <w:r w:rsidRPr="0029055C">
        <w:rPr>
          <w:i/>
          <w:sz w:val="22"/>
          <w:lang w:eastAsia="en-US"/>
        </w:rPr>
        <w:t xml:space="preserve">«Αριθμός δημοσίων υπαλλήλων που συμμετέχουν σε προγράμματα κατάρτισης για την ανάπτυξη δεξιοτήτων/διοικητικών ικανοτήτων»: </w:t>
      </w:r>
      <w:r w:rsidRPr="0029055C">
        <w:rPr>
          <w:sz w:val="22"/>
          <w:lang w:eastAsia="en-US"/>
        </w:rPr>
        <w:t>αύξηση της τιμής στόχου του δείκτη για το 2023 από 140.000 σε 300.000, με αντίστοιχη αύξηση της τιμής στόχου για το 2018 από 70.000 σε 150.000.</w:t>
      </w:r>
    </w:p>
    <w:p w14:paraId="2AD26D55" w14:textId="77777777" w:rsidR="00297C2F" w:rsidRPr="0029055C" w:rsidRDefault="00297C2F" w:rsidP="0029055C">
      <w:pPr>
        <w:pStyle w:val="ListParagraph"/>
        <w:numPr>
          <w:ilvl w:val="2"/>
          <w:numId w:val="27"/>
        </w:numPr>
        <w:spacing w:line="280" w:lineRule="atLeast"/>
        <w:ind w:left="1701" w:hanging="283"/>
        <w:contextualSpacing w:val="0"/>
        <w:rPr>
          <w:sz w:val="22"/>
          <w:lang w:eastAsia="en-US"/>
        </w:rPr>
      </w:pPr>
      <w:r w:rsidRPr="0029055C">
        <w:rPr>
          <w:i/>
          <w:sz w:val="22"/>
          <w:lang w:eastAsia="en-US"/>
        </w:rPr>
        <w:t>T4636</w:t>
      </w:r>
      <w:r w:rsidR="00D80047" w:rsidRPr="0029055C">
        <w:rPr>
          <w:i/>
          <w:sz w:val="22"/>
          <w:lang w:eastAsia="en-US"/>
        </w:rPr>
        <w:t xml:space="preserve"> </w:t>
      </w:r>
      <w:r w:rsidRPr="0029055C">
        <w:rPr>
          <w:i/>
          <w:sz w:val="22"/>
          <w:lang w:eastAsia="en-US"/>
        </w:rPr>
        <w:t xml:space="preserve">«Αριθμός δημοσίων υπαλλήλων που συμμετέχουν σε προγράμματα εξ αποστάσεως εκπαίδευσης»: </w:t>
      </w:r>
      <w:r w:rsidRPr="0029055C">
        <w:rPr>
          <w:sz w:val="22"/>
          <w:lang w:eastAsia="en-US"/>
        </w:rPr>
        <w:t xml:space="preserve">μείωση της τιμής στόχου του δείκτη για το 2023 από 12.000 σε 3.000.  </w:t>
      </w:r>
    </w:p>
    <w:p w14:paraId="65B9259A" w14:textId="77777777" w:rsidR="00297C2F" w:rsidRPr="0029055C" w:rsidRDefault="00297C2F" w:rsidP="0029055C">
      <w:pPr>
        <w:pStyle w:val="ListParagraph"/>
        <w:numPr>
          <w:ilvl w:val="2"/>
          <w:numId w:val="27"/>
        </w:numPr>
        <w:spacing w:line="280" w:lineRule="atLeast"/>
        <w:ind w:left="1701" w:hanging="283"/>
        <w:contextualSpacing w:val="0"/>
        <w:rPr>
          <w:sz w:val="22"/>
          <w:lang w:eastAsia="en-US"/>
        </w:rPr>
      </w:pPr>
      <w:r w:rsidRPr="0029055C">
        <w:rPr>
          <w:i/>
          <w:sz w:val="22"/>
          <w:lang w:eastAsia="en-US"/>
        </w:rPr>
        <w:t>T4638</w:t>
      </w:r>
      <w:r w:rsidR="00D80047" w:rsidRPr="0029055C">
        <w:rPr>
          <w:i/>
          <w:sz w:val="22"/>
          <w:lang w:eastAsia="en-US"/>
        </w:rPr>
        <w:t xml:space="preserve"> </w:t>
      </w:r>
      <w:r w:rsidRPr="0029055C">
        <w:rPr>
          <w:i/>
          <w:sz w:val="22"/>
          <w:lang w:eastAsia="en-US"/>
        </w:rPr>
        <w:t xml:space="preserve">«Αριθμός στελεχών που παρακολουθεί προγράμματα ταχείας εξέλιξης»: </w:t>
      </w:r>
      <w:r w:rsidRPr="0029055C">
        <w:rPr>
          <w:sz w:val="22"/>
          <w:lang w:eastAsia="en-US"/>
        </w:rPr>
        <w:t xml:space="preserve">αύξηση της τιμής στόχου του δείκτη για το 2023 από 1.000 σε </w:t>
      </w:r>
      <w:r w:rsidR="00D80047" w:rsidRPr="0029055C">
        <w:rPr>
          <w:sz w:val="22"/>
          <w:lang w:eastAsia="en-US"/>
        </w:rPr>
        <w:t>1.100</w:t>
      </w:r>
      <w:r w:rsidRPr="0029055C">
        <w:rPr>
          <w:sz w:val="22"/>
          <w:lang w:eastAsia="en-US"/>
        </w:rPr>
        <w:t xml:space="preserve">, με αντίστοιχη αύξηση της τιμής στόχου για το 2018 από </w:t>
      </w:r>
      <w:r w:rsidR="00D80047" w:rsidRPr="0029055C">
        <w:rPr>
          <w:sz w:val="22"/>
          <w:lang w:eastAsia="en-US"/>
        </w:rPr>
        <w:t>500</w:t>
      </w:r>
      <w:r w:rsidRPr="0029055C">
        <w:rPr>
          <w:sz w:val="22"/>
          <w:lang w:eastAsia="en-US"/>
        </w:rPr>
        <w:t xml:space="preserve"> σε </w:t>
      </w:r>
      <w:r w:rsidR="00D80047" w:rsidRPr="0029055C">
        <w:rPr>
          <w:sz w:val="22"/>
          <w:lang w:eastAsia="en-US"/>
        </w:rPr>
        <w:t>700</w:t>
      </w:r>
      <w:r w:rsidRPr="0029055C">
        <w:rPr>
          <w:sz w:val="22"/>
          <w:lang w:eastAsia="en-US"/>
        </w:rPr>
        <w:t>.</w:t>
      </w:r>
    </w:p>
    <w:p w14:paraId="0AE468FA" w14:textId="77777777" w:rsidR="003D2883" w:rsidRPr="0029055C" w:rsidRDefault="00302DA1" w:rsidP="0029055C">
      <w:pPr>
        <w:pStyle w:val="ListParagraph"/>
        <w:keepNext/>
        <w:numPr>
          <w:ilvl w:val="0"/>
          <w:numId w:val="24"/>
        </w:numPr>
        <w:spacing w:line="280" w:lineRule="atLeast"/>
        <w:ind w:left="714" w:hanging="357"/>
        <w:contextualSpacing w:val="0"/>
        <w:rPr>
          <w:sz w:val="22"/>
          <w:lang w:eastAsia="en-US"/>
        </w:rPr>
      </w:pPr>
      <w:r w:rsidRPr="0029055C">
        <w:rPr>
          <w:sz w:val="22"/>
          <w:lang w:eastAsia="en-US"/>
        </w:rPr>
        <w:t>Τροποποίηση του Πλαισίου Επιδόσεων του ΕΠ ΜΔΤ</w:t>
      </w:r>
      <w:r w:rsidR="003D2883" w:rsidRPr="0029055C">
        <w:rPr>
          <w:sz w:val="22"/>
          <w:lang w:eastAsia="en-US"/>
        </w:rPr>
        <w:t xml:space="preserve"> ως ακολούθως:</w:t>
      </w:r>
    </w:p>
    <w:p w14:paraId="779C051A" w14:textId="77777777" w:rsidR="0049694F" w:rsidRPr="0029055C" w:rsidRDefault="0049694F"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Μείωση </w:t>
      </w:r>
      <w:r w:rsidR="000758EB" w:rsidRPr="0029055C">
        <w:rPr>
          <w:sz w:val="22"/>
          <w:lang w:eastAsia="en-US"/>
        </w:rPr>
        <w:t xml:space="preserve">κατά 1,6 εκ. € </w:t>
      </w:r>
      <w:r w:rsidRPr="0029055C">
        <w:rPr>
          <w:sz w:val="22"/>
          <w:lang w:eastAsia="en-US"/>
        </w:rPr>
        <w:t xml:space="preserve">του συνολικού ποσού της χρηματοδοτικής κατανομής των δράσεων κωδικοποίησης της νομοθεσίας και μείωσης της πολυνομίας και κακονομίας, οι οποίες συμβάλλουν στη διαμόρφωση του δείκτη </w:t>
      </w:r>
      <w:r w:rsidRPr="0029055C">
        <w:rPr>
          <w:i/>
          <w:sz w:val="22"/>
          <w:lang w:eastAsia="en-US"/>
        </w:rPr>
        <w:t>Τ4618 «Αριθμός έργων κωδικοποίησης θεσμικού και νομοθετικού πλαισίου»</w:t>
      </w:r>
      <w:r w:rsidRPr="0029055C">
        <w:rPr>
          <w:sz w:val="22"/>
          <w:lang w:eastAsia="en-US"/>
        </w:rPr>
        <w:t xml:space="preserve">, με βάση το κόστος των σχετικών </w:t>
      </w:r>
      <w:r w:rsidRPr="0029055C">
        <w:rPr>
          <w:sz w:val="22"/>
          <w:lang w:eastAsia="en-US"/>
        </w:rPr>
        <w:lastRenderedPageBreak/>
        <w:t xml:space="preserve">έργων που υλοποιούνται στο πλαίσιο του ΕΠ ΜΔΤ 2014-2020, χωρίς να μεταβληθεί </w:t>
      </w:r>
      <w:r w:rsidR="000758EB" w:rsidRPr="0029055C">
        <w:rPr>
          <w:sz w:val="22"/>
          <w:lang w:eastAsia="en-US"/>
        </w:rPr>
        <w:t>η στοχοθεσία του δείκτη</w:t>
      </w:r>
      <w:r w:rsidRPr="0029055C">
        <w:rPr>
          <w:sz w:val="22"/>
          <w:lang w:eastAsia="en-US"/>
        </w:rPr>
        <w:t xml:space="preserve">. </w:t>
      </w:r>
    </w:p>
    <w:p w14:paraId="377C9ED2" w14:textId="77777777" w:rsidR="0049694F" w:rsidRPr="0029055C" w:rsidRDefault="00CA6D5C"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Αύξηση </w:t>
      </w:r>
      <w:r w:rsidR="000758EB" w:rsidRPr="0029055C">
        <w:rPr>
          <w:sz w:val="22"/>
          <w:lang w:eastAsia="en-US"/>
        </w:rPr>
        <w:t xml:space="preserve">κατά 10 εκ. € </w:t>
      </w:r>
      <w:r w:rsidRPr="0029055C">
        <w:rPr>
          <w:sz w:val="22"/>
          <w:lang w:eastAsia="en-US"/>
        </w:rPr>
        <w:t xml:space="preserve">των διαθέσιμων πόρων για δράσεις απλοποίησης εσωτερικών διαδικασιών φορέων του Δημόσιου Τομέα, με ανάλογη αύξηση της τιμής στόχου του </w:t>
      </w:r>
      <w:r w:rsidR="00860983" w:rsidRPr="0029055C">
        <w:rPr>
          <w:sz w:val="22"/>
          <w:lang w:eastAsia="en-US"/>
        </w:rPr>
        <w:t xml:space="preserve">δείκτη </w:t>
      </w:r>
      <w:r w:rsidRPr="0029055C">
        <w:rPr>
          <w:i/>
          <w:sz w:val="22"/>
          <w:lang w:eastAsia="en-US"/>
        </w:rPr>
        <w:t>Τ4620 «Αριθμός έργων απλοποίησης εσωτερικών διαδικασιών φορέων του δημοσίου τομέα»</w:t>
      </w:r>
      <w:r w:rsidRPr="0029055C">
        <w:rPr>
          <w:sz w:val="22"/>
          <w:lang w:eastAsia="en-US"/>
        </w:rPr>
        <w:t xml:space="preserve"> </w:t>
      </w:r>
      <w:r w:rsidR="00860983" w:rsidRPr="0029055C">
        <w:rPr>
          <w:sz w:val="22"/>
          <w:lang w:eastAsia="en-US"/>
        </w:rPr>
        <w:t xml:space="preserve">για το έτος 2023, </w:t>
      </w:r>
      <w:r w:rsidRPr="0029055C">
        <w:rPr>
          <w:sz w:val="22"/>
          <w:lang w:eastAsia="en-US"/>
        </w:rPr>
        <w:t>λαμβάνοντας υπόψη το βαθμό εξειδίκευσης και την ωριμότητα σχετικών δράσεων</w:t>
      </w:r>
      <w:r w:rsidR="00860983" w:rsidRPr="0029055C">
        <w:rPr>
          <w:sz w:val="22"/>
          <w:lang w:eastAsia="en-US"/>
        </w:rPr>
        <w:t>.</w:t>
      </w:r>
    </w:p>
    <w:p w14:paraId="42E5B92D" w14:textId="77777777" w:rsidR="000758EB" w:rsidRPr="0029055C" w:rsidRDefault="000758EB"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Αύξηση κατά 9 εκ. € των διαθέσιμων πόρων για δράσεις αναβάθμισης, ανάπτυξης και λειτουργίας συστημάτων ΤΠΕ για την υποστήριξη οριζόντιων λειτουργιών των δημόσιων φορέων, οι οποίες συμβάλλουν στη διαμόρφωση του δείκτη </w:t>
      </w:r>
      <w:r w:rsidRPr="0029055C">
        <w:rPr>
          <w:i/>
          <w:sz w:val="22"/>
          <w:lang w:eastAsia="en-US"/>
        </w:rPr>
        <w:t>Τ4621 «Αριθμός έργων απλοποίησης διαδικασιών και προτυποποίησης υπηρεσιών προς τους πολίτες»,</w:t>
      </w:r>
      <w:r w:rsidRPr="0029055C">
        <w:rPr>
          <w:sz w:val="22"/>
          <w:lang w:eastAsia="en-US"/>
        </w:rPr>
        <w:t xml:space="preserve"> με βάση το κόστος των σχετικών έργων που υλοποιούνται στο πλαίσιο του ΕΠ ΜΔΤ 2014-2020, χωρίς να μεταβληθεί η στοχοθεσία του δείκτη.</w:t>
      </w:r>
    </w:p>
    <w:p w14:paraId="01FDD9DB" w14:textId="77777777" w:rsidR="00860983" w:rsidRPr="0029055C" w:rsidRDefault="00860983"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Αύξηση</w:t>
      </w:r>
      <w:r w:rsidR="000758EB" w:rsidRPr="0029055C">
        <w:rPr>
          <w:sz w:val="22"/>
          <w:lang w:eastAsia="en-US"/>
        </w:rPr>
        <w:t xml:space="preserve"> κατά 5,5 εκ. € </w:t>
      </w:r>
      <w:r w:rsidRPr="0029055C">
        <w:rPr>
          <w:sz w:val="22"/>
          <w:lang w:eastAsia="en-US"/>
        </w:rPr>
        <w:t xml:space="preserve">των διαθέσιμων πόρων για δράσεις αναβάθμισης, ανάπτυξης και λειτουργίας συστημάτων ΤΠΕ για την υποστήριξη οριζόντιων λειτουργιών των δημόσιων φορέων, με ανάλογη αύξηση της τιμής στόχου του δείκτη </w:t>
      </w:r>
      <w:r w:rsidRPr="0029055C">
        <w:rPr>
          <w:i/>
          <w:sz w:val="22"/>
          <w:lang w:eastAsia="en-US"/>
        </w:rPr>
        <w:t>Τ4627 « Αριθμός έργων δημιουργίας ή αναβάθμισης συστημάτων ΤΠΕ για την υποστήριξη οριζόντιων λειτουργιών των δημόσιων φορέων»</w:t>
      </w:r>
      <w:r w:rsidRPr="0029055C">
        <w:rPr>
          <w:sz w:val="22"/>
          <w:lang w:eastAsia="en-US"/>
        </w:rPr>
        <w:t xml:space="preserve"> για το έτος 2023, λαμβάνοντας υπόψη το βαθμό εξειδίκευσης και την ωριμότητα σχετικών δράσεων.</w:t>
      </w:r>
    </w:p>
    <w:p w14:paraId="029B4642" w14:textId="77777777" w:rsidR="00302DA1" w:rsidRPr="0029055C" w:rsidRDefault="00860983"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Μείωση </w:t>
      </w:r>
      <w:r w:rsidR="000758EB" w:rsidRPr="0029055C">
        <w:rPr>
          <w:sz w:val="22"/>
          <w:lang w:eastAsia="en-US"/>
        </w:rPr>
        <w:t xml:space="preserve">κατά 13 εκ. € </w:t>
      </w:r>
      <w:r w:rsidRPr="0029055C">
        <w:rPr>
          <w:sz w:val="22"/>
          <w:lang w:eastAsia="en-US"/>
        </w:rPr>
        <w:t xml:space="preserve">του συνολικού ποσού της χρηματοδοτικής κατανομής των δράσεων ενίσχυσης της  διαλειτουργικότητας δεδομένων και συστημάτων ΤΠΕ στο Δημόσιο Τομέα, οι οποίες συμβάλλουν στη διαμόρφωση του δείκτη </w:t>
      </w:r>
      <w:r w:rsidR="009E5EC4" w:rsidRPr="0029055C">
        <w:rPr>
          <w:i/>
          <w:sz w:val="22"/>
          <w:lang w:eastAsia="en-US"/>
        </w:rPr>
        <w:t>Τ4628 «Αριθμός έργων ενίσχυσης της διαλειτουργικότητας μητρώων και υπηρεσιών του Δημόσιου Τομέα»</w:t>
      </w:r>
      <w:r w:rsidR="009E5EC4" w:rsidRPr="0029055C">
        <w:rPr>
          <w:sz w:val="22"/>
          <w:lang w:eastAsia="en-US"/>
        </w:rPr>
        <w:t xml:space="preserve">, με βάση το κόστος των σχετικών έργων που υλοποιούνται στο πλαίσιο του ΕΠ ΜΔΤ 2014-2020, χωρίς να μεταβληθεί </w:t>
      </w:r>
      <w:r w:rsidR="000758EB" w:rsidRPr="0029055C">
        <w:rPr>
          <w:sz w:val="22"/>
          <w:lang w:eastAsia="en-US"/>
        </w:rPr>
        <w:t>η στοχοθεσία του δείκτη</w:t>
      </w:r>
      <w:r w:rsidR="00366E7E" w:rsidRPr="0029055C">
        <w:rPr>
          <w:sz w:val="22"/>
          <w:lang w:eastAsia="en-US"/>
        </w:rPr>
        <w:t>.</w:t>
      </w:r>
    </w:p>
    <w:p w14:paraId="19E2FF17" w14:textId="77777777" w:rsidR="00352144" w:rsidRPr="0029055C" w:rsidRDefault="00352144"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Μείωση κατά 10 εκ. € του συνολικού ποσού της χρηματοδοτικής κατανομής των δράσεων οι οποίες συμβάλλουν στη διαμόρφωση του δείκτη </w:t>
      </w:r>
      <w:r w:rsidRPr="0029055C">
        <w:rPr>
          <w:i/>
          <w:sz w:val="22"/>
          <w:lang w:eastAsia="en-US"/>
        </w:rPr>
        <w:t>Τ4630 «Αριθμός έργων ανάπτυξης ή αναβάθμισης  υπηρεσιών της δημόσιας διοίκησης που παρέχονται πλήρως ηλεκτρονικά»</w:t>
      </w:r>
      <w:r w:rsidRPr="0029055C">
        <w:rPr>
          <w:sz w:val="22"/>
          <w:lang w:eastAsia="en-US"/>
        </w:rPr>
        <w:t>, με παράλληλη αύξηση του στόχου του δείκτη για το έτος 2023 και μείωση του μέσου κόστους ανά δράση (από 10 σε 2,5 εκ. €), με βάση τα αντίστοιχα μοναδιαία κόστη των σχετικών έργων που υλοποιούνται στο πλαίσιο του ΕΠ ΜΔΤ 2014 – 2020.</w:t>
      </w:r>
    </w:p>
    <w:p w14:paraId="3460C6CE" w14:textId="77777777" w:rsidR="00366E7E" w:rsidRPr="0029055C" w:rsidRDefault="00366E7E"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Αύξηση </w:t>
      </w:r>
      <w:r w:rsidR="00352144" w:rsidRPr="0029055C">
        <w:rPr>
          <w:sz w:val="22"/>
          <w:lang w:eastAsia="en-US"/>
        </w:rPr>
        <w:t xml:space="preserve">κατά 24 εκ. € </w:t>
      </w:r>
      <w:r w:rsidRPr="0029055C">
        <w:rPr>
          <w:sz w:val="22"/>
          <w:lang w:eastAsia="en-US"/>
        </w:rPr>
        <w:t xml:space="preserve">του συνολικού ποσού της χρηματοδοτικής κατανομής των δράσεων ΤΠΕ για την υποστήριξη της αναβάθμισης της λειτουργίας των τομέων προτεραιότητας του ΕΠ, οι οποίες συμβάλλουν στη διαμόρφωση του δείκτη </w:t>
      </w:r>
      <w:r w:rsidRPr="0029055C">
        <w:rPr>
          <w:i/>
          <w:sz w:val="22"/>
          <w:lang w:eastAsia="en-US"/>
        </w:rPr>
        <w:t>Τ4632 «Αριθμός έργων ΤΠΕ που υποστηρίζουν την αναβάθμιση της λειτουργίας τομέων προτεραιότητας του ΕΠ για την παροχή υπηρεσιών προς πολίτες»</w:t>
      </w:r>
      <w:r w:rsidRPr="0029055C">
        <w:rPr>
          <w:sz w:val="22"/>
          <w:lang w:eastAsia="en-US"/>
        </w:rPr>
        <w:t>, με βάση το κόστος των σχετικών έργων που υλοποιούνται στο πλαίσιο του ΕΠ ΜΔΤ 2014-2020, χωρίς να μεταβληθεί ο στόχος του δείκτη για το έτος 2023.</w:t>
      </w:r>
    </w:p>
    <w:p w14:paraId="7FB79A8D" w14:textId="77777777" w:rsidR="00366E7E" w:rsidRPr="0029055C" w:rsidRDefault="006F7B56"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Αφαίρεση από το Πλαίσιο Επιδόσεων του ΕΠ ΜΔΤ, καθώς και από το σύστημα Δεικτών του Προγράμματος, όπως προαναφέρθηκε του ειδικού δείκτη εκροής </w:t>
      </w:r>
      <w:r w:rsidRPr="0029055C">
        <w:rPr>
          <w:i/>
          <w:sz w:val="22"/>
          <w:lang w:eastAsia="en-US"/>
        </w:rPr>
        <w:t>Τ4634 «Αριθμός μελετών για τη βελτίωση των πολιτικών ανθρώπινου δυναμικού του δημόσιου τομέα»</w:t>
      </w:r>
      <w:r w:rsidRPr="0029055C">
        <w:rPr>
          <w:sz w:val="22"/>
          <w:lang w:eastAsia="en-US"/>
        </w:rPr>
        <w:t>.</w:t>
      </w:r>
    </w:p>
    <w:p w14:paraId="41B1196B" w14:textId="77777777" w:rsidR="00352144" w:rsidRPr="0029055C" w:rsidRDefault="00352144"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Αύξηση κατά 20 εκ. € των διαθέσιμων πόρων για δράσεις </w:t>
      </w:r>
      <w:r w:rsidR="00C50560" w:rsidRPr="0029055C">
        <w:rPr>
          <w:sz w:val="22"/>
          <w:lang w:eastAsia="en-US"/>
        </w:rPr>
        <w:t>κατάρτισης του ανθρώπινου δυναμικού του Δημόσιου Τομέα</w:t>
      </w:r>
      <w:r w:rsidRPr="0029055C">
        <w:rPr>
          <w:sz w:val="22"/>
          <w:lang w:eastAsia="en-US"/>
        </w:rPr>
        <w:t xml:space="preserve">, με ανάλογη αύξηση της τιμής στόχου του δείκτη </w:t>
      </w:r>
      <w:r w:rsidRPr="0029055C">
        <w:rPr>
          <w:i/>
          <w:sz w:val="22"/>
          <w:lang w:eastAsia="en-US"/>
        </w:rPr>
        <w:t>Τ46</w:t>
      </w:r>
      <w:r w:rsidR="00436B23" w:rsidRPr="0029055C">
        <w:rPr>
          <w:i/>
          <w:sz w:val="22"/>
          <w:lang w:eastAsia="en-US"/>
        </w:rPr>
        <w:t>35</w:t>
      </w:r>
      <w:r w:rsidRPr="0029055C">
        <w:rPr>
          <w:i/>
          <w:sz w:val="22"/>
          <w:lang w:eastAsia="en-US"/>
        </w:rPr>
        <w:t xml:space="preserve"> «</w:t>
      </w:r>
      <w:r w:rsidR="00C50560" w:rsidRPr="0029055C">
        <w:rPr>
          <w:i/>
          <w:sz w:val="22"/>
          <w:lang w:eastAsia="en-US"/>
        </w:rPr>
        <w:t xml:space="preserve">Αριθμός δημοσίων υπαλλήλων που συμμετέχουν σε προγράμματα κατάρτισης </w:t>
      </w:r>
      <w:r w:rsidR="00C50560" w:rsidRPr="0029055C">
        <w:rPr>
          <w:i/>
          <w:sz w:val="22"/>
          <w:lang w:eastAsia="en-US"/>
        </w:rPr>
        <w:lastRenderedPageBreak/>
        <w:t>για την ανάπτυξη δεξιοτήτων/διοικητικών ικανοτήτων</w:t>
      </w:r>
      <w:r w:rsidRPr="0029055C">
        <w:rPr>
          <w:i/>
          <w:sz w:val="22"/>
          <w:lang w:eastAsia="en-US"/>
        </w:rPr>
        <w:t>»</w:t>
      </w:r>
      <w:r w:rsidRPr="0029055C">
        <w:rPr>
          <w:sz w:val="22"/>
          <w:lang w:eastAsia="en-US"/>
        </w:rPr>
        <w:t xml:space="preserve"> για τ</w:t>
      </w:r>
      <w:r w:rsidR="00A5063F" w:rsidRPr="0029055C">
        <w:rPr>
          <w:sz w:val="22"/>
          <w:lang w:eastAsia="en-US"/>
        </w:rPr>
        <w:t>α</w:t>
      </w:r>
      <w:r w:rsidRPr="0029055C">
        <w:rPr>
          <w:sz w:val="22"/>
          <w:lang w:eastAsia="en-US"/>
        </w:rPr>
        <w:t xml:space="preserve"> έτ</w:t>
      </w:r>
      <w:r w:rsidR="00A5063F" w:rsidRPr="0029055C">
        <w:rPr>
          <w:sz w:val="22"/>
          <w:lang w:eastAsia="en-US"/>
        </w:rPr>
        <w:t>η</w:t>
      </w:r>
      <w:r w:rsidRPr="0029055C">
        <w:rPr>
          <w:sz w:val="22"/>
          <w:lang w:eastAsia="en-US"/>
        </w:rPr>
        <w:t xml:space="preserve"> 20</w:t>
      </w:r>
      <w:r w:rsidR="00A5063F" w:rsidRPr="0029055C">
        <w:rPr>
          <w:sz w:val="22"/>
          <w:lang w:eastAsia="en-US"/>
        </w:rPr>
        <w:t>18 και 20</w:t>
      </w:r>
      <w:r w:rsidRPr="0029055C">
        <w:rPr>
          <w:sz w:val="22"/>
          <w:lang w:eastAsia="en-US"/>
        </w:rPr>
        <w:t>23, λαμβάνοντας υπόψη τ</w:t>
      </w:r>
      <w:r w:rsidR="00A5063F" w:rsidRPr="0029055C">
        <w:rPr>
          <w:sz w:val="22"/>
          <w:lang w:eastAsia="en-US"/>
        </w:rPr>
        <w:t xml:space="preserve">ην πρόοδο υλοποίησης των </w:t>
      </w:r>
      <w:r w:rsidRPr="0029055C">
        <w:rPr>
          <w:sz w:val="22"/>
          <w:lang w:eastAsia="en-US"/>
        </w:rPr>
        <w:t>σχετικών δράσεων.</w:t>
      </w:r>
    </w:p>
    <w:p w14:paraId="42290400" w14:textId="77777777" w:rsidR="00BE1D16" w:rsidRPr="0029055C" w:rsidRDefault="00352144" w:rsidP="0029055C">
      <w:pPr>
        <w:pStyle w:val="ListParagraph"/>
        <w:numPr>
          <w:ilvl w:val="1"/>
          <w:numId w:val="27"/>
        </w:numPr>
        <w:spacing w:line="280" w:lineRule="atLeast"/>
        <w:ind w:left="1276" w:hanging="283"/>
        <w:contextualSpacing w:val="0"/>
        <w:rPr>
          <w:sz w:val="22"/>
          <w:lang w:eastAsia="en-US"/>
        </w:rPr>
      </w:pPr>
      <w:r w:rsidRPr="0029055C">
        <w:rPr>
          <w:sz w:val="22"/>
          <w:lang w:eastAsia="en-US"/>
        </w:rPr>
        <w:t xml:space="preserve">Αύξηση κατά </w:t>
      </w:r>
      <w:r w:rsidR="00436B23" w:rsidRPr="0029055C">
        <w:rPr>
          <w:sz w:val="22"/>
          <w:lang w:eastAsia="en-US"/>
        </w:rPr>
        <w:t>2,65</w:t>
      </w:r>
      <w:r w:rsidRPr="0029055C">
        <w:rPr>
          <w:sz w:val="22"/>
          <w:lang w:eastAsia="en-US"/>
        </w:rPr>
        <w:t xml:space="preserve"> εκ. € των διαθέσιμων πόρων για δράσεις </w:t>
      </w:r>
      <w:r w:rsidR="00A5063F" w:rsidRPr="0029055C">
        <w:rPr>
          <w:sz w:val="22"/>
          <w:lang w:eastAsia="en-US"/>
        </w:rPr>
        <w:t>προεισαγωγικής εκπαίδευσης των δημοσίων υπαλλήλων και των δικαστικών λειτουργών</w:t>
      </w:r>
      <w:r w:rsidRPr="0029055C">
        <w:rPr>
          <w:sz w:val="22"/>
          <w:lang w:eastAsia="en-US"/>
        </w:rPr>
        <w:t xml:space="preserve">, με ανάλογη αύξηση της τιμής στόχου του δείκτη </w:t>
      </w:r>
      <w:r w:rsidRPr="0029055C">
        <w:rPr>
          <w:i/>
          <w:sz w:val="22"/>
          <w:lang w:eastAsia="en-US"/>
        </w:rPr>
        <w:t>Τ46</w:t>
      </w:r>
      <w:r w:rsidR="00436B23" w:rsidRPr="0029055C">
        <w:rPr>
          <w:i/>
          <w:sz w:val="22"/>
          <w:lang w:eastAsia="en-US"/>
        </w:rPr>
        <w:t>38</w:t>
      </w:r>
      <w:r w:rsidRPr="0029055C">
        <w:rPr>
          <w:i/>
          <w:sz w:val="22"/>
          <w:lang w:eastAsia="en-US"/>
        </w:rPr>
        <w:t xml:space="preserve"> </w:t>
      </w:r>
      <w:r w:rsidR="00A5063F" w:rsidRPr="0029055C">
        <w:rPr>
          <w:i/>
          <w:sz w:val="22"/>
          <w:lang w:eastAsia="en-US"/>
        </w:rPr>
        <w:t>«Αριθμός στελεχών που παρακολουθεί προγράμματα ταχείας εξέλιξης</w:t>
      </w:r>
      <w:r w:rsidRPr="0029055C">
        <w:rPr>
          <w:i/>
          <w:sz w:val="22"/>
          <w:lang w:eastAsia="en-US"/>
        </w:rPr>
        <w:t>»</w:t>
      </w:r>
      <w:r w:rsidRPr="0029055C">
        <w:rPr>
          <w:sz w:val="22"/>
          <w:lang w:eastAsia="en-US"/>
        </w:rPr>
        <w:t xml:space="preserve"> για </w:t>
      </w:r>
      <w:r w:rsidR="00A5063F" w:rsidRPr="0029055C">
        <w:rPr>
          <w:sz w:val="22"/>
          <w:lang w:eastAsia="en-US"/>
        </w:rPr>
        <w:t xml:space="preserve">τα έτη 2018 και </w:t>
      </w:r>
      <w:r w:rsidRPr="0029055C">
        <w:rPr>
          <w:sz w:val="22"/>
          <w:lang w:eastAsia="en-US"/>
        </w:rPr>
        <w:t xml:space="preserve">2023, λαμβάνοντας υπόψη </w:t>
      </w:r>
      <w:r w:rsidR="00A5063F" w:rsidRPr="0029055C">
        <w:rPr>
          <w:sz w:val="22"/>
          <w:lang w:eastAsia="en-US"/>
        </w:rPr>
        <w:t>την πρόοδο υλοποίησης των σχετικών δράσεων</w:t>
      </w:r>
      <w:r w:rsidRPr="0029055C">
        <w:rPr>
          <w:sz w:val="22"/>
          <w:lang w:eastAsia="en-US"/>
        </w:rPr>
        <w:t>.</w:t>
      </w:r>
    </w:p>
    <w:p w14:paraId="3A8B3D95" w14:textId="77777777" w:rsidR="00CA04DD" w:rsidRPr="0029055C" w:rsidRDefault="00CA04DD" w:rsidP="00473DE1">
      <w:pPr>
        <w:pStyle w:val="Heading3"/>
      </w:pPr>
      <w:bookmarkStart w:id="6" w:name="_Toc519758756"/>
      <w:r w:rsidRPr="0029055C">
        <w:t>Προτεινόμενες Τροποποιήσεις ανά Θεματικό Άξονα του Προγράμματος</w:t>
      </w:r>
      <w:bookmarkEnd w:id="6"/>
    </w:p>
    <w:p w14:paraId="0AC63ED8" w14:textId="77777777" w:rsidR="004437C3" w:rsidRPr="0029055C" w:rsidRDefault="00AE6F20" w:rsidP="00CA04DD">
      <w:pPr>
        <w:pStyle w:val="Heading4"/>
      </w:pPr>
      <w:r w:rsidRPr="0029055C">
        <w:t xml:space="preserve">Θεματικός Άξονας </w:t>
      </w:r>
      <w:r w:rsidR="0086532E" w:rsidRPr="0029055C">
        <w:t>I</w:t>
      </w:r>
      <w:r w:rsidRPr="0029055C">
        <w:t xml:space="preserve"> «Διοικητική και οργανωτική μεταρρύθμιση για την αύξηση της αποδοτικότητας και αποτελεσματικότητας του Δημοσίου Τομέα» - Ταμείο ΕΚΤ (Άξονες Προτεραιότητας 1, 2 &amp; 3)</w:t>
      </w:r>
    </w:p>
    <w:p w14:paraId="7265A368" w14:textId="77777777" w:rsidR="00AE6F20" w:rsidRPr="0029055C" w:rsidRDefault="00823370" w:rsidP="0029055C">
      <w:pPr>
        <w:spacing w:line="280" w:lineRule="atLeast"/>
        <w:rPr>
          <w:rFonts w:cs="Arial"/>
          <w:color w:val="000000"/>
          <w:sz w:val="22"/>
        </w:rPr>
      </w:pPr>
      <w:r w:rsidRPr="0029055C">
        <w:rPr>
          <w:rFonts w:cs="Arial"/>
          <w:color w:val="000000"/>
          <w:sz w:val="22"/>
        </w:rPr>
        <w:t xml:space="preserve">Ο Θεματικός Άξονας </w:t>
      </w:r>
      <w:r w:rsidR="00AC462E" w:rsidRPr="0029055C">
        <w:rPr>
          <w:rFonts w:cs="Arial"/>
          <w:color w:val="000000"/>
          <w:sz w:val="22"/>
        </w:rPr>
        <w:t>I</w:t>
      </w:r>
      <w:r w:rsidRPr="0029055C">
        <w:rPr>
          <w:rFonts w:cs="Arial"/>
          <w:color w:val="000000"/>
          <w:sz w:val="22"/>
        </w:rPr>
        <w:t xml:space="preserve"> αφορά δράσεις που χρηματοδοτούνται από το ΕΚΤ στο πλαίσιο του Θεματικού Στόχου 11 (Επενδυτική Προτεραιότητα 11i) και έχουν ως κύριο στόχο την ενίσχυση της αποτελεσματικότητας και αποδοτικότητας των δημοσίων φορέων και την εξασφάλιση της ενιαίας λειτουργίας του δημοσίου τομέα προς όφελος του κράτους, των πολιτών και των επιχειρήσεων.</w:t>
      </w:r>
    </w:p>
    <w:p w14:paraId="403ABCCD" w14:textId="77777777" w:rsidR="006C01C3" w:rsidRPr="0029055C" w:rsidRDefault="006C01C3" w:rsidP="0029055C">
      <w:pPr>
        <w:spacing w:line="280" w:lineRule="atLeast"/>
        <w:rPr>
          <w:rFonts w:cs="Arial"/>
          <w:color w:val="000000"/>
          <w:sz w:val="22"/>
        </w:rPr>
      </w:pPr>
      <w:r w:rsidRPr="0029055C">
        <w:rPr>
          <w:rFonts w:cs="Arial"/>
          <w:color w:val="000000"/>
          <w:sz w:val="22"/>
        </w:rPr>
        <w:t>Στο πλαίσιο της 2ης Αναθεώρησης του ΕΠ ΜΔΤ, προτείνονται οι ακόλουθες τροποποιήσεις:</w:t>
      </w:r>
    </w:p>
    <w:p w14:paraId="2869CD3B" w14:textId="77777777" w:rsidR="00C17F4B" w:rsidRPr="00BB0FDB" w:rsidRDefault="006C01C3" w:rsidP="0029055C">
      <w:pPr>
        <w:pStyle w:val="ListParagraph"/>
        <w:numPr>
          <w:ilvl w:val="0"/>
          <w:numId w:val="13"/>
        </w:numPr>
        <w:spacing w:line="280" w:lineRule="atLeast"/>
        <w:ind w:left="426" w:hanging="284"/>
        <w:contextualSpacing w:val="0"/>
        <w:rPr>
          <w:rFonts w:cs="Arial"/>
          <w:color w:val="000000"/>
          <w:sz w:val="22"/>
        </w:rPr>
      </w:pPr>
      <w:r w:rsidRPr="0029055C">
        <w:rPr>
          <w:rFonts w:cs="Arial"/>
          <w:b/>
          <w:color w:val="000000"/>
          <w:sz w:val="22"/>
        </w:rPr>
        <w:t xml:space="preserve">Μείωση </w:t>
      </w:r>
      <w:r w:rsidRPr="0029055C">
        <w:rPr>
          <w:rFonts w:cs="Arial"/>
          <w:color w:val="000000"/>
          <w:sz w:val="22"/>
        </w:rPr>
        <w:t>των συνολικών πόρων του Θ</w:t>
      </w:r>
      <w:r w:rsidR="006C2C0A" w:rsidRPr="0029055C">
        <w:rPr>
          <w:rFonts w:cs="Arial"/>
          <w:color w:val="000000"/>
          <w:sz w:val="22"/>
        </w:rPr>
        <w:t xml:space="preserve">εματικού Άξονα </w:t>
      </w:r>
      <w:r w:rsidR="0086532E" w:rsidRPr="0029055C">
        <w:rPr>
          <w:rFonts w:cs="Arial"/>
          <w:color w:val="000000"/>
          <w:sz w:val="22"/>
        </w:rPr>
        <w:t>I</w:t>
      </w:r>
      <w:r w:rsidRPr="0029055C">
        <w:rPr>
          <w:rFonts w:cs="Arial"/>
          <w:b/>
          <w:color w:val="000000"/>
          <w:sz w:val="22"/>
        </w:rPr>
        <w:t xml:space="preserve"> κατά 6.948.280 €</w:t>
      </w:r>
      <w:r w:rsidR="00A21165" w:rsidRPr="0029055C">
        <w:rPr>
          <w:rFonts w:cs="Arial"/>
          <w:b/>
          <w:color w:val="000000"/>
          <w:sz w:val="22"/>
        </w:rPr>
        <w:t xml:space="preserve"> (ΔΔ)</w:t>
      </w:r>
      <w:r w:rsidR="00C4484C" w:rsidRPr="0029055C">
        <w:rPr>
          <w:rFonts w:cs="Arial"/>
          <w:color w:val="000000"/>
          <w:sz w:val="22"/>
        </w:rPr>
        <w:t xml:space="preserve">, με </w:t>
      </w:r>
      <w:r w:rsidR="00C17F4B" w:rsidRPr="0029055C">
        <w:rPr>
          <w:rFonts w:cs="Arial"/>
          <w:color w:val="000000"/>
          <w:sz w:val="22"/>
        </w:rPr>
        <w:t xml:space="preserve">αντίστοιχη μείωση των πόρων του </w:t>
      </w:r>
      <w:r w:rsidR="00C17F4B" w:rsidRPr="0029055C">
        <w:rPr>
          <w:rFonts w:cs="Arial"/>
          <w:b/>
          <w:i/>
          <w:color w:val="000000"/>
          <w:sz w:val="22"/>
        </w:rPr>
        <w:t>Ειδικού Στόχου Α3</w:t>
      </w:r>
      <w:r w:rsidR="00C17F4B" w:rsidRPr="0029055C">
        <w:rPr>
          <w:rFonts w:cs="Arial"/>
          <w:color w:val="000000"/>
          <w:sz w:val="22"/>
        </w:rPr>
        <w:t xml:space="preserve"> </w:t>
      </w:r>
      <w:r w:rsidR="00C17F4B" w:rsidRPr="0029055C">
        <w:rPr>
          <w:rFonts w:cs="Arial"/>
          <w:i/>
          <w:color w:val="000000"/>
          <w:sz w:val="22"/>
        </w:rPr>
        <w:t xml:space="preserve">«Αύξηση των φορέων του δημόσιου τομέα που εφαρμόζουν συστήματα στοχοθεσίας, αξιολόγησης και εσωτερικού </w:t>
      </w:r>
      <w:r w:rsidR="00C17F4B" w:rsidRPr="00BB0FDB">
        <w:rPr>
          <w:rFonts w:cs="Arial"/>
          <w:i/>
          <w:color w:val="000000"/>
          <w:sz w:val="22"/>
        </w:rPr>
        <w:t>ελέγχου για τη βελτίωση της αποτελεσματικότητας και της διαφάνειας στη δημόσια διοίκηση»</w:t>
      </w:r>
      <w:r w:rsidR="00C17F4B" w:rsidRPr="00BB0FDB">
        <w:rPr>
          <w:rFonts w:cs="Arial"/>
          <w:color w:val="000000"/>
          <w:sz w:val="22"/>
        </w:rPr>
        <w:t xml:space="preserve"> και ειδικότερα (βλ. Πίνακα</w:t>
      </w:r>
      <w:r w:rsidR="003B5059" w:rsidRPr="00BB0FDB">
        <w:rPr>
          <w:rFonts w:cs="Arial"/>
          <w:color w:val="000000"/>
          <w:sz w:val="22"/>
        </w:rPr>
        <w:t xml:space="preserve"> 1</w:t>
      </w:r>
      <w:r w:rsidR="00C17F4B" w:rsidRPr="00BB0FDB">
        <w:rPr>
          <w:rFonts w:cs="Arial"/>
          <w:color w:val="000000"/>
          <w:sz w:val="22"/>
        </w:rPr>
        <w:t>):</w:t>
      </w:r>
    </w:p>
    <w:p w14:paraId="7DF31238" w14:textId="77777777" w:rsidR="00C17F4B" w:rsidRPr="00BB0FDB" w:rsidRDefault="00C4484C" w:rsidP="0029055C">
      <w:pPr>
        <w:pStyle w:val="ListParagraph"/>
        <w:numPr>
          <w:ilvl w:val="1"/>
          <w:numId w:val="13"/>
        </w:numPr>
        <w:spacing w:line="280" w:lineRule="atLeast"/>
        <w:ind w:left="851" w:hanging="284"/>
        <w:contextualSpacing w:val="0"/>
        <w:rPr>
          <w:rFonts w:cs="Arial"/>
          <w:color w:val="000000"/>
          <w:sz w:val="22"/>
        </w:rPr>
      </w:pPr>
      <w:r w:rsidRPr="00BB0FDB">
        <w:rPr>
          <w:rFonts w:cs="Arial"/>
          <w:color w:val="000000"/>
          <w:sz w:val="22"/>
          <w:u w:val="single"/>
        </w:rPr>
        <w:t xml:space="preserve">αποδέσμευση </w:t>
      </w:r>
      <w:r w:rsidR="00C17F4B" w:rsidRPr="00BB0FDB">
        <w:rPr>
          <w:rFonts w:cs="Arial"/>
          <w:color w:val="000000"/>
          <w:sz w:val="22"/>
          <w:u w:val="single"/>
        </w:rPr>
        <w:t>4</w:t>
      </w:r>
      <w:r w:rsidR="00CA04DD" w:rsidRPr="00BB0FDB">
        <w:rPr>
          <w:rFonts w:cs="Arial"/>
          <w:color w:val="000000"/>
          <w:sz w:val="22"/>
          <w:u w:val="single"/>
        </w:rPr>
        <w:t xml:space="preserve">.000.000 € </w:t>
      </w:r>
      <w:r w:rsidR="00A21165" w:rsidRPr="00BB0FDB">
        <w:rPr>
          <w:rFonts w:cs="Arial"/>
          <w:color w:val="000000"/>
          <w:sz w:val="22"/>
          <w:u w:val="single"/>
        </w:rPr>
        <w:t xml:space="preserve">(ΔΔ) </w:t>
      </w:r>
      <w:r w:rsidRPr="00BB0FDB">
        <w:rPr>
          <w:rFonts w:cs="Arial"/>
          <w:color w:val="000000"/>
          <w:sz w:val="22"/>
          <w:u w:val="single"/>
        </w:rPr>
        <w:t>από τ</w:t>
      </w:r>
      <w:r w:rsidR="00C17F4B" w:rsidRPr="00BB0FDB">
        <w:rPr>
          <w:rFonts w:cs="Arial"/>
          <w:color w:val="000000"/>
          <w:sz w:val="22"/>
          <w:u w:val="single"/>
        </w:rPr>
        <w:t xml:space="preserve">ην </w:t>
      </w:r>
      <w:r w:rsidR="00C17F4B" w:rsidRPr="00BB0FDB">
        <w:rPr>
          <w:rFonts w:cs="Arial"/>
          <w:i/>
          <w:color w:val="000000"/>
          <w:sz w:val="22"/>
          <w:u w:val="single"/>
        </w:rPr>
        <w:t>Κατηγορία Δράσης Α.3.1</w:t>
      </w:r>
      <w:r w:rsidR="00C17F4B" w:rsidRPr="00BB0FDB">
        <w:rPr>
          <w:rFonts w:cs="Arial"/>
          <w:i/>
          <w:color w:val="000000"/>
          <w:sz w:val="22"/>
        </w:rPr>
        <w:t xml:space="preserve"> «Δράσεις ανάπτυξης και εφαρμογής συστημάτων στοχοθεσίας και αξιολόγησης των δημοσίων φορέων»,</w:t>
      </w:r>
    </w:p>
    <w:p w14:paraId="710EDA9D" w14:textId="77777777" w:rsidR="00C17F4B" w:rsidRPr="00BB0FDB" w:rsidRDefault="00C17F4B" w:rsidP="0029055C">
      <w:pPr>
        <w:pStyle w:val="ListParagraph"/>
        <w:numPr>
          <w:ilvl w:val="1"/>
          <w:numId w:val="13"/>
        </w:numPr>
        <w:spacing w:line="280" w:lineRule="atLeast"/>
        <w:ind w:left="851" w:hanging="284"/>
        <w:contextualSpacing w:val="0"/>
        <w:rPr>
          <w:rFonts w:cs="Arial"/>
          <w:color w:val="000000"/>
          <w:sz w:val="22"/>
        </w:rPr>
      </w:pPr>
      <w:r w:rsidRPr="00BB0FDB">
        <w:rPr>
          <w:rFonts w:cs="Arial"/>
          <w:color w:val="000000"/>
          <w:sz w:val="22"/>
          <w:u w:val="single"/>
        </w:rPr>
        <w:t>αποδέσμευση 2.000.000 €</w:t>
      </w:r>
      <w:r w:rsidR="00A21165" w:rsidRPr="00BB0FDB">
        <w:rPr>
          <w:rFonts w:cs="Arial"/>
          <w:color w:val="000000"/>
          <w:sz w:val="22"/>
          <w:u w:val="single"/>
        </w:rPr>
        <w:t xml:space="preserve"> (ΔΔ)</w:t>
      </w:r>
      <w:r w:rsidRPr="00BB0FDB">
        <w:rPr>
          <w:rFonts w:cs="Arial"/>
          <w:color w:val="000000"/>
          <w:sz w:val="22"/>
          <w:u w:val="single"/>
        </w:rPr>
        <w:t xml:space="preserve"> από την </w:t>
      </w:r>
      <w:r w:rsidRPr="00BB0FDB">
        <w:rPr>
          <w:rFonts w:cs="Arial"/>
          <w:i/>
          <w:color w:val="000000"/>
          <w:sz w:val="22"/>
          <w:u w:val="single"/>
        </w:rPr>
        <w:t>Κατηγορία Δράσης Α.3.2</w:t>
      </w:r>
      <w:r w:rsidRPr="00BB0FDB">
        <w:rPr>
          <w:rFonts w:cs="Arial"/>
          <w:i/>
          <w:color w:val="000000"/>
          <w:sz w:val="22"/>
        </w:rPr>
        <w:t xml:space="preserve"> «Δράσεις ενίσχυσης του εσωτερικού ελέγχου στους φορείς του δημόσιου τομέα, της διαφάνειας και της καταπολέμησης της διαφθοράς»,</w:t>
      </w:r>
      <w:r w:rsidRPr="00BB0FDB">
        <w:rPr>
          <w:rFonts w:cs="Arial"/>
          <w:color w:val="000000"/>
          <w:sz w:val="22"/>
        </w:rPr>
        <w:t xml:space="preserve"> </w:t>
      </w:r>
    </w:p>
    <w:p w14:paraId="61E5A501" w14:textId="77777777" w:rsidR="004F1B08" w:rsidRPr="00BB0FDB" w:rsidRDefault="00C17F4B" w:rsidP="0029055C">
      <w:pPr>
        <w:pStyle w:val="ListParagraph"/>
        <w:numPr>
          <w:ilvl w:val="1"/>
          <w:numId w:val="13"/>
        </w:numPr>
        <w:spacing w:line="280" w:lineRule="atLeast"/>
        <w:ind w:left="851" w:hanging="284"/>
        <w:contextualSpacing w:val="0"/>
        <w:rPr>
          <w:rFonts w:cs="Arial"/>
          <w:color w:val="000000"/>
          <w:sz w:val="22"/>
        </w:rPr>
      </w:pPr>
      <w:r w:rsidRPr="00BB0FDB">
        <w:rPr>
          <w:rFonts w:cs="Arial"/>
          <w:color w:val="000000"/>
          <w:sz w:val="22"/>
          <w:u w:val="single"/>
        </w:rPr>
        <w:t xml:space="preserve">αποδέσμευση 948.280 € </w:t>
      </w:r>
      <w:r w:rsidR="00A21165" w:rsidRPr="00BB0FDB">
        <w:rPr>
          <w:rFonts w:cs="Arial"/>
          <w:color w:val="000000"/>
          <w:sz w:val="22"/>
          <w:u w:val="single"/>
        </w:rPr>
        <w:t xml:space="preserve">(ΔΔ) </w:t>
      </w:r>
      <w:r w:rsidRPr="00BB0FDB">
        <w:rPr>
          <w:rFonts w:cs="Arial"/>
          <w:color w:val="000000"/>
          <w:sz w:val="22"/>
          <w:u w:val="single"/>
        </w:rPr>
        <w:t xml:space="preserve">από την </w:t>
      </w:r>
      <w:r w:rsidRPr="00BB0FDB">
        <w:rPr>
          <w:rFonts w:cs="Arial"/>
          <w:i/>
          <w:color w:val="000000"/>
          <w:sz w:val="22"/>
          <w:u w:val="single"/>
        </w:rPr>
        <w:t xml:space="preserve">Κατηγορία Δράσης Α.3.3 </w:t>
      </w:r>
      <w:r w:rsidRPr="00BB0FDB">
        <w:rPr>
          <w:rFonts w:cs="Arial"/>
          <w:i/>
          <w:color w:val="000000"/>
          <w:sz w:val="22"/>
        </w:rPr>
        <w:t>«Δράσεις βελτίωσης των σχέσεων της δημόσιας διοίκησης με την κοινωνία και ενίσχυσης της αμφίδρομης επικοινωνίας και της συμμετοχής των πολιτών, μέσω και της ενίσχυσης της διαβούλευσης και της λογοδοσίας».</w:t>
      </w:r>
      <w:r w:rsidRPr="00BB0FDB">
        <w:rPr>
          <w:rFonts w:cs="Arial"/>
          <w:color w:val="000000"/>
          <w:sz w:val="22"/>
        </w:rPr>
        <w:t xml:space="preserve"> </w:t>
      </w:r>
    </w:p>
    <w:p w14:paraId="41F80DD3" w14:textId="1B39FFCD" w:rsidR="006C2C0A" w:rsidRPr="00BB0FDB" w:rsidRDefault="004F1B08" w:rsidP="0029055C">
      <w:pPr>
        <w:pStyle w:val="ListParagraph"/>
        <w:numPr>
          <w:ilvl w:val="0"/>
          <w:numId w:val="13"/>
        </w:numPr>
        <w:spacing w:line="280" w:lineRule="atLeast"/>
        <w:ind w:left="426" w:hanging="284"/>
        <w:contextualSpacing w:val="0"/>
        <w:rPr>
          <w:rFonts w:cs="Arial"/>
          <w:color w:val="000000"/>
          <w:sz w:val="22"/>
        </w:rPr>
      </w:pPr>
      <w:r w:rsidRPr="00BB0FDB">
        <w:rPr>
          <w:rFonts w:cs="Arial"/>
          <w:b/>
          <w:color w:val="000000"/>
          <w:sz w:val="22"/>
        </w:rPr>
        <w:t xml:space="preserve">Ανακατανομή πόρων μεταξύ των Κατηγοριών Δράσεων του Ειδικού Στόχου Α1 </w:t>
      </w:r>
      <w:r w:rsidRPr="00BB0FDB">
        <w:rPr>
          <w:rFonts w:cs="Arial"/>
          <w:i/>
          <w:color w:val="000000"/>
          <w:sz w:val="22"/>
        </w:rPr>
        <w:t>«</w:t>
      </w:r>
      <w:r w:rsidR="006C2C0A" w:rsidRPr="00BB0FDB">
        <w:rPr>
          <w:rFonts w:cs="Arial"/>
          <w:i/>
          <w:color w:val="000000"/>
          <w:sz w:val="22"/>
        </w:rPr>
        <w:t>Αύξηση των τομέων δημόσιας δράσης στους οποίους εφαρμόζονται νέα συστήματα και διαδικασίες για την ενίσχυση του επιτελικού χαρακτήρα της δημόσιας διοίκησης</w:t>
      </w:r>
      <w:r w:rsidRPr="00BB0FDB">
        <w:rPr>
          <w:rFonts w:cs="Arial"/>
          <w:i/>
          <w:color w:val="000000"/>
          <w:sz w:val="22"/>
        </w:rPr>
        <w:t>»</w:t>
      </w:r>
      <w:r w:rsidR="006C01C3" w:rsidRPr="00BB0FDB">
        <w:rPr>
          <w:rFonts w:cs="Arial"/>
          <w:color w:val="000000"/>
          <w:sz w:val="22"/>
        </w:rPr>
        <w:t xml:space="preserve">, </w:t>
      </w:r>
      <w:r w:rsidRPr="00BB0FDB">
        <w:rPr>
          <w:rFonts w:cs="Arial"/>
          <w:color w:val="000000"/>
          <w:sz w:val="22"/>
        </w:rPr>
        <w:t xml:space="preserve">με </w:t>
      </w:r>
      <w:r w:rsidRPr="00BB0FDB">
        <w:rPr>
          <w:rFonts w:cs="Arial"/>
          <w:b/>
          <w:color w:val="000000"/>
          <w:sz w:val="22"/>
        </w:rPr>
        <w:t xml:space="preserve">μεταφορά 5.000.000 € </w:t>
      </w:r>
      <w:r w:rsidR="00A21165" w:rsidRPr="00BB0FDB">
        <w:rPr>
          <w:rFonts w:cs="Arial"/>
          <w:b/>
          <w:color w:val="000000"/>
          <w:sz w:val="22"/>
        </w:rPr>
        <w:t xml:space="preserve">(ΔΔ) </w:t>
      </w:r>
      <w:r w:rsidRPr="00BB0FDB">
        <w:rPr>
          <w:rFonts w:cs="Arial"/>
          <w:b/>
          <w:color w:val="000000"/>
          <w:sz w:val="22"/>
        </w:rPr>
        <w:t>από την Κατηγορία Δράσης Α.1.2</w:t>
      </w:r>
      <w:r w:rsidRPr="00BB0FDB">
        <w:rPr>
          <w:rFonts w:cs="Arial"/>
          <w:color w:val="000000"/>
          <w:sz w:val="22"/>
        </w:rPr>
        <w:t xml:space="preserve"> </w:t>
      </w:r>
      <w:r w:rsidRPr="00BB0FDB">
        <w:rPr>
          <w:rFonts w:cs="Arial"/>
          <w:i/>
          <w:color w:val="000000"/>
          <w:sz w:val="22"/>
        </w:rPr>
        <w:t>«Δράσεις κωδικοποίησης της Νομοθεσίας και μείωσης της πολυνομίας και κακονομίας»</w:t>
      </w:r>
      <w:r w:rsidRPr="00BB0FDB">
        <w:rPr>
          <w:rFonts w:cs="Arial"/>
          <w:color w:val="000000"/>
          <w:sz w:val="22"/>
        </w:rPr>
        <w:t xml:space="preserve"> </w:t>
      </w:r>
      <w:r w:rsidRPr="00BB0FDB">
        <w:rPr>
          <w:rFonts w:cs="Arial"/>
          <w:b/>
          <w:color w:val="000000"/>
          <w:sz w:val="22"/>
        </w:rPr>
        <w:t>στην Κατηγορία Δράσης Α.1.1</w:t>
      </w:r>
      <w:r w:rsidRPr="00BB0FDB">
        <w:rPr>
          <w:rFonts w:cs="Arial"/>
          <w:color w:val="000000"/>
          <w:sz w:val="22"/>
        </w:rPr>
        <w:t xml:space="preserve"> </w:t>
      </w:r>
      <w:r w:rsidRPr="00BB0FDB">
        <w:rPr>
          <w:rFonts w:cs="Arial"/>
          <w:i/>
          <w:color w:val="000000"/>
          <w:sz w:val="22"/>
        </w:rPr>
        <w:t>«Δράσεις ενίσχυσης της στρατηγικής ικανότητας και των επιτελικών λειτουργιών των φορέων του Δημόσιου τομέα, καθώς και του συντονισμού του κυβερνητικού έργου και των δημοσίων φορέων για την ανάπτυξη και την παρακολούθηση της εφαρμογής των δημόσιων πολιτικών»</w:t>
      </w:r>
      <w:r w:rsidR="0029055C" w:rsidRPr="00BB0FDB">
        <w:rPr>
          <w:rFonts w:cs="Arial"/>
          <w:i/>
          <w:color w:val="000000"/>
          <w:sz w:val="22"/>
        </w:rPr>
        <w:t xml:space="preserve"> </w:t>
      </w:r>
      <w:r w:rsidR="0029055C" w:rsidRPr="00BB0FDB">
        <w:rPr>
          <w:rFonts w:cs="Arial"/>
          <w:color w:val="000000"/>
          <w:sz w:val="22"/>
        </w:rPr>
        <w:t>(βλ. Πίνακα 1)</w:t>
      </w:r>
      <w:r w:rsidR="006C2C0A" w:rsidRPr="00BB0FDB">
        <w:rPr>
          <w:rFonts w:cs="Arial"/>
          <w:i/>
          <w:color w:val="000000"/>
          <w:sz w:val="22"/>
        </w:rPr>
        <w:t>.</w:t>
      </w:r>
    </w:p>
    <w:p w14:paraId="64373828" w14:textId="77777777" w:rsidR="00823370" w:rsidRPr="00BB0FDB" w:rsidRDefault="00CA04DD" w:rsidP="0029055C">
      <w:pPr>
        <w:spacing w:line="280" w:lineRule="atLeast"/>
        <w:rPr>
          <w:rFonts w:cs="Arial"/>
          <w:color w:val="000000"/>
          <w:sz w:val="22"/>
        </w:rPr>
      </w:pPr>
      <w:r w:rsidRPr="00BB0FDB">
        <w:rPr>
          <w:rFonts w:cs="Arial"/>
          <w:color w:val="000000"/>
          <w:sz w:val="22"/>
        </w:rPr>
        <w:t xml:space="preserve">Οι ανωτέρω τροποποιήσεις </w:t>
      </w:r>
      <w:r w:rsidR="007F5B17" w:rsidRPr="00BB0FDB">
        <w:rPr>
          <w:rFonts w:cs="Arial"/>
          <w:color w:val="000000"/>
          <w:sz w:val="22"/>
        </w:rPr>
        <w:t xml:space="preserve">επιβάλλονται από </w:t>
      </w:r>
      <w:r w:rsidRPr="00BB0FDB">
        <w:rPr>
          <w:rFonts w:cs="Arial"/>
          <w:color w:val="000000"/>
          <w:sz w:val="22"/>
        </w:rPr>
        <w:t>τα ακόλουθα:</w:t>
      </w:r>
    </w:p>
    <w:p w14:paraId="357254F0" w14:textId="36B6E0B0" w:rsidR="00CA04DD" w:rsidRPr="0029055C" w:rsidRDefault="00CA04DD" w:rsidP="0029055C">
      <w:pPr>
        <w:pStyle w:val="ListParagraph"/>
        <w:numPr>
          <w:ilvl w:val="0"/>
          <w:numId w:val="14"/>
        </w:numPr>
        <w:spacing w:line="280" w:lineRule="atLeast"/>
        <w:contextualSpacing w:val="0"/>
        <w:rPr>
          <w:rFonts w:cs="Arial"/>
          <w:color w:val="000000"/>
          <w:sz w:val="22"/>
        </w:rPr>
      </w:pPr>
      <w:r w:rsidRPr="00BB0FDB">
        <w:rPr>
          <w:rFonts w:cs="Arial"/>
          <w:color w:val="000000"/>
          <w:sz w:val="22"/>
        </w:rPr>
        <w:t>το</w:t>
      </w:r>
      <w:r w:rsidR="000B2870" w:rsidRPr="00BB0FDB">
        <w:rPr>
          <w:rFonts w:cs="Arial"/>
          <w:color w:val="000000"/>
          <w:sz w:val="22"/>
        </w:rPr>
        <w:t>ν</w:t>
      </w:r>
      <w:r w:rsidRPr="00BB0FDB">
        <w:rPr>
          <w:rFonts w:cs="Arial"/>
          <w:color w:val="000000"/>
          <w:sz w:val="22"/>
        </w:rPr>
        <w:t xml:space="preserve"> χαμηλό βαθμό υλοποίησης </w:t>
      </w:r>
      <w:r w:rsidR="007F5B17" w:rsidRPr="00BB0FDB">
        <w:rPr>
          <w:rFonts w:cs="Arial"/>
          <w:color w:val="000000"/>
          <w:sz w:val="22"/>
        </w:rPr>
        <w:t xml:space="preserve">των </w:t>
      </w:r>
      <w:r w:rsidR="00575241" w:rsidRPr="00BB0FDB">
        <w:rPr>
          <w:rFonts w:cs="Arial"/>
          <w:color w:val="000000"/>
          <w:sz w:val="22"/>
        </w:rPr>
        <w:t xml:space="preserve">προβλεπόμενων </w:t>
      </w:r>
      <w:r w:rsidR="007F5B17" w:rsidRPr="00BB0FDB">
        <w:rPr>
          <w:rFonts w:cs="Arial"/>
          <w:color w:val="000000"/>
          <w:sz w:val="22"/>
        </w:rPr>
        <w:t xml:space="preserve">δράσεων </w:t>
      </w:r>
      <w:r w:rsidR="003761DB" w:rsidRPr="00BB0FDB">
        <w:rPr>
          <w:rFonts w:cs="Arial"/>
          <w:color w:val="000000"/>
          <w:sz w:val="22"/>
        </w:rPr>
        <w:t xml:space="preserve">του Ειδικού Στόχου Α3 </w:t>
      </w:r>
      <w:r w:rsidR="003761DB" w:rsidRPr="00BB0FDB">
        <w:rPr>
          <w:rFonts w:cs="Arial"/>
          <w:i/>
          <w:color w:val="000000"/>
          <w:sz w:val="22"/>
        </w:rPr>
        <w:t>«Αύξηση των φορέων του δημόσιου τομέα που εφαρμόζουν συστήματα στοχοθεσίας</w:t>
      </w:r>
      <w:r w:rsidR="003761DB" w:rsidRPr="0029055C">
        <w:rPr>
          <w:rFonts w:cs="Arial"/>
          <w:i/>
          <w:color w:val="000000"/>
          <w:sz w:val="22"/>
        </w:rPr>
        <w:t>, αξιολόγησης και εσωτερικού ελέγχου για τη βελτίωση της αποτελεσματικότητας και της διαφάνειας στη δημόσια διοίκηση»</w:t>
      </w:r>
      <w:r w:rsidR="003761DB" w:rsidRPr="0029055C">
        <w:rPr>
          <w:rFonts w:cs="Arial"/>
          <w:color w:val="000000"/>
          <w:sz w:val="22"/>
        </w:rPr>
        <w:t>,</w:t>
      </w:r>
    </w:p>
    <w:p w14:paraId="7E313F12" w14:textId="77777777" w:rsidR="00575241" w:rsidRPr="0029055C" w:rsidRDefault="00575241" w:rsidP="0029055C">
      <w:pPr>
        <w:pStyle w:val="ListParagraph"/>
        <w:numPr>
          <w:ilvl w:val="0"/>
          <w:numId w:val="14"/>
        </w:numPr>
        <w:spacing w:line="280" w:lineRule="atLeast"/>
        <w:contextualSpacing w:val="0"/>
        <w:rPr>
          <w:rFonts w:cs="Arial"/>
          <w:color w:val="000000"/>
          <w:sz w:val="22"/>
        </w:rPr>
      </w:pPr>
      <w:r w:rsidRPr="0029055C">
        <w:rPr>
          <w:rFonts w:cs="Arial"/>
          <w:color w:val="000000"/>
          <w:sz w:val="22"/>
        </w:rPr>
        <w:lastRenderedPageBreak/>
        <w:t xml:space="preserve">την ανάγκη κάλυψης των υπερδεσμεύσεων της Κατηγορίας Δράσης Α.1.1 </w:t>
      </w:r>
      <w:r w:rsidRPr="0029055C">
        <w:rPr>
          <w:rFonts w:cs="Arial"/>
          <w:i/>
          <w:color w:val="000000"/>
          <w:sz w:val="22"/>
        </w:rPr>
        <w:t>«Δράσεις ενίσχυσης της στρατηγικής ικανότητας και των επιτελικών λειτουργιών των φορέων του Δημόσιου τομέα, καθώς και του συντονισμού του κυβερνητικού έργου και των δημοσίων φορέων για την ανάπτυξη και την παρακολούθηση της εφαρμογής των δημόσιων πολιτικών»</w:t>
      </w:r>
      <w:r w:rsidRPr="0029055C">
        <w:rPr>
          <w:rFonts w:cs="Arial"/>
          <w:color w:val="000000"/>
          <w:sz w:val="22"/>
        </w:rPr>
        <w:t xml:space="preserve"> (ο π/υ των ενταγμένων έργων καλύπτει κατά 228% τον π/υ της Κατηγορίας Δράσης, ενώ οι νομικές δεσμεύσεις ανέρχονται στο 177% του διαθέσιμου π/υ)</w:t>
      </w:r>
      <w:r w:rsidR="0055526A" w:rsidRPr="0029055C">
        <w:rPr>
          <w:rFonts w:cs="Arial"/>
          <w:color w:val="000000"/>
          <w:sz w:val="22"/>
        </w:rPr>
        <w:t>,</w:t>
      </w:r>
    </w:p>
    <w:p w14:paraId="424D851C" w14:textId="77777777" w:rsidR="000C5072" w:rsidRPr="0029055C" w:rsidRDefault="0055526A" w:rsidP="0029055C">
      <w:pPr>
        <w:pStyle w:val="ListParagraph"/>
        <w:numPr>
          <w:ilvl w:val="0"/>
          <w:numId w:val="14"/>
        </w:numPr>
        <w:spacing w:line="280" w:lineRule="atLeast"/>
        <w:contextualSpacing w:val="0"/>
        <w:rPr>
          <w:rFonts w:cs="Arial"/>
          <w:color w:val="000000"/>
          <w:sz w:val="22"/>
        </w:rPr>
      </w:pPr>
      <w:r w:rsidRPr="0029055C">
        <w:rPr>
          <w:rFonts w:cs="Arial"/>
          <w:color w:val="000000"/>
          <w:sz w:val="22"/>
        </w:rPr>
        <w:t>την μείωση των απαιτούμενων πόρων για την υλοποίηση των προγραμματισμένων δράσεων κωδικοποίησης της νομοθεσίας και μείωσης της πολυνομίας και κακονομίας (Κατηγορία Δράσης Α.1.2), με βάση  το κόστος των σχετικών έργων που υλοποιούνται στο πλαίσιο του ΕΠ ΜΔΤ 2014-2020, χωρίς να μεταβληθεί ο σχετικός στόχος του Προγράμματος.</w:t>
      </w:r>
    </w:p>
    <w:p w14:paraId="32F8487B" w14:textId="77777777" w:rsidR="00EA5BD3" w:rsidRPr="0029055C" w:rsidRDefault="003B5059" w:rsidP="003B5059">
      <w:pPr>
        <w:pStyle w:val="Caption"/>
        <w:spacing w:before="240" w:after="120" w:line="280" w:lineRule="atLeast"/>
        <w:rPr>
          <w:rFonts w:cs="Arial"/>
          <w:color w:val="000000"/>
          <w:sz w:val="22"/>
        </w:rPr>
      </w:pPr>
      <w:r w:rsidRPr="0029055C">
        <w:rPr>
          <w:sz w:val="22"/>
          <w:szCs w:val="22"/>
        </w:rPr>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1</w:t>
      </w:r>
      <w:r w:rsidRPr="0029055C">
        <w:rPr>
          <w:sz w:val="22"/>
          <w:szCs w:val="22"/>
        </w:rPr>
        <w:fldChar w:fldCharType="end"/>
      </w:r>
      <w:r w:rsidRPr="0029055C">
        <w:rPr>
          <w:b w:val="0"/>
          <w:sz w:val="22"/>
          <w:szCs w:val="22"/>
        </w:rPr>
        <w:t xml:space="preserve">. Κατανομή νέου προϋπολογισμού του Θεματικού Άξονα </w:t>
      </w:r>
      <w:r w:rsidR="0086532E" w:rsidRPr="0029055C">
        <w:rPr>
          <w:b w:val="0"/>
          <w:sz w:val="22"/>
          <w:szCs w:val="22"/>
        </w:rPr>
        <w:t>I</w:t>
      </w:r>
      <w:r w:rsidRPr="0029055C">
        <w:rPr>
          <w:b w:val="0"/>
          <w:sz w:val="22"/>
          <w:szCs w:val="22"/>
        </w:rPr>
        <w:t xml:space="preserve"> στους Ειδικούς Στόχους και τις Κατηγορίες Δράσης (ποσά σε ΔΔ) </w:t>
      </w:r>
    </w:p>
    <w:tbl>
      <w:tblPr>
        <w:tblStyle w:val="GridTable4-Accent5"/>
        <w:tblW w:w="5000" w:type="pct"/>
        <w:tblLayout w:type="fixed"/>
        <w:tblCellMar>
          <w:left w:w="28" w:type="dxa"/>
          <w:right w:w="28" w:type="dxa"/>
        </w:tblCellMar>
        <w:tblLook w:val="06A0" w:firstRow="1" w:lastRow="0" w:firstColumn="1" w:lastColumn="0" w:noHBand="1" w:noVBand="1"/>
      </w:tblPr>
      <w:tblGrid>
        <w:gridCol w:w="1027"/>
        <w:gridCol w:w="1094"/>
        <w:gridCol w:w="1488"/>
        <w:gridCol w:w="1489"/>
        <w:gridCol w:w="1276"/>
        <w:gridCol w:w="1343"/>
        <w:gridCol w:w="1343"/>
      </w:tblGrid>
      <w:tr w:rsidR="00EA5BD3" w:rsidRPr="0029055C" w14:paraId="61018380" w14:textId="77777777" w:rsidTr="00EA5BD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7" w:type="pct"/>
            <w:tcBorders>
              <w:right w:val="single" w:sz="4" w:space="0" w:color="FFFFFF" w:themeColor="background1"/>
            </w:tcBorders>
            <w:noWrap/>
            <w:vAlign w:val="center"/>
            <w:hideMark/>
          </w:tcPr>
          <w:p w14:paraId="7A017132" w14:textId="77777777" w:rsidR="00EA5BD3" w:rsidRPr="0029055C" w:rsidRDefault="00EA5BD3" w:rsidP="00EA5BD3">
            <w:pPr>
              <w:spacing w:before="0" w:after="0" w:line="240" w:lineRule="auto"/>
              <w:jc w:val="center"/>
              <w:rPr>
                <w:rFonts w:cs="Calibri"/>
                <w:sz w:val="18"/>
                <w:szCs w:val="18"/>
              </w:rPr>
            </w:pPr>
            <w:r w:rsidRPr="0029055C">
              <w:rPr>
                <w:rFonts w:cs="Calibri"/>
                <w:sz w:val="18"/>
                <w:szCs w:val="18"/>
              </w:rPr>
              <w:t>Ειδικός</w:t>
            </w:r>
            <w:r w:rsidRPr="0029055C">
              <w:rPr>
                <w:rFonts w:cs="Calibri"/>
                <w:sz w:val="18"/>
                <w:szCs w:val="18"/>
              </w:rPr>
              <w:br/>
              <w:t>Στόχος</w:t>
            </w:r>
          </w:p>
        </w:tc>
        <w:tc>
          <w:tcPr>
            <w:tcW w:w="604" w:type="pct"/>
            <w:tcBorders>
              <w:left w:val="single" w:sz="4" w:space="0" w:color="FFFFFF" w:themeColor="background1"/>
              <w:right w:val="single" w:sz="4" w:space="0" w:color="FFFFFF" w:themeColor="background1"/>
            </w:tcBorders>
            <w:noWrap/>
            <w:vAlign w:val="center"/>
            <w:hideMark/>
          </w:tcPr>
          <w:p w14:paraId="24607531" w14:textId="77777777" w:rsidR="00EA5BD3" w:rsidRPr="0029055C" w:rsidRDefault="00EA5BD3" w:rsidP="00EA5BD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 xml:space="preserve">Κατηγορία </w:t>
            </w:r>
            <w:r w:rsidRPr="0029055C">
              <w:rPr>
                <w:rFonts w:cs="Calibri"/>
                <w:sz w:val="18"/>
                <w:szCs w:val="18"/>
              </w:rPr>
              <w:br/>
              <w:t>Δράσης</w:t>
            </w:r>
          </w:p>
        </w:tc>
        <w:tc>
          <w:tcPr>
            <w:tcW w:w="821" w:type="pct"/>
            <w:tcBorders>
              <w:left w:val="single" w:sz="4" w:space="0" w:color="FFFFFF" w:themeColor="background1"/>
              <w:right w:val="single" w:sz="4" w:space="0" w:color="FFFFFF" w:themeColor="background1"/>
            </w:tcBorders>
            <w:noWrap/>
            <w:vAlign w:val="center"/>
            <w:hideMark/>
          </w:tcPr>
          <w:p w14:paraId="237C8D2D" w14:textId="77777777" w:rsidR="00EA5BD3" w:rsidRPr="0029055C" w:rsidRDefault="00EA5BD3" w:rsidP="00EA5BD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 xml:space="preserve">Π/Υ </w:t>
            </w:r>
            <w:r w:rsidRPr="0029055C">
              <w:rPr>
                <w:rFonts w:cs="Calibri"/>
                <w:b w:val="0"/>
                <w:sz w:val="18"/>
                <w:szCs w:val="18"/>
              </w:rPr>
              <w:t>(με βάση την  1η Αναθεώρηση)</w:t>
            </w:r>
          </w:p>
        </w:tc>
        <w:tc>
          <w:tcPr>
            <w:tcW w:w="822" w:type="pct"/>
            <w:tcBorders>
              <w:left w:val="single" w:sz="4" w:space="0" w:color="FFFFFF" w:themeColor="background1"/>
              <w:right w:val="single" w:sz="4" w:space="0" w:color="FFFFFF" w:themeColor="background1"/>
            </w:tcBorders>
            <w:vAlign w:val="center"/>
            <w:hideMark/>
          </w:tcPr>
          <w:p w14:paraId="7C40CFE9" w14:textId="77777777" w:rsidR="00EA5BD3" w:rsidRPr="0029055C" w:rsidRDefault="00EA5BD3" w:rsidP="00EA5BD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Νέος Π/υ</w:t>
            </w:r>
          </w:p>
        </w:tc>
        <w:tc>
          <w:tcPr>
            <w:tcW w:w="704" w:type="pct"/>
            <w:tcBorders>
              <w:left w:val="single" w:sz="4" w:space="0" w:color="FFFFFF" w:themeColor="background1"/>
              <w:right w:val="single" w:sz="4" w:space="0" w:color="FFFFFF" w:themeColor="background1"/>
            </w:tcBorders>
            <w:noWrap/>
            <w:vAlign w:val="center"/>
            <w:hideMark/>
          </w:tcPr>
          <w:p w14:paraId="5D75124E" w14:textId="77777777" w:rsidR="00EA5BD3" w:rsidRPr="0029055C" w:rsidRDefault="00EA5BD3" w:rsidP="00EA5BD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w:t>
            </w:r>
            <w:r w:rsidRPr="0029055C">
              <w:rPr>
                <w:rFonts w:cs="Calibri"/>
                <w:sz w:val="18"/>
                <w:szCs w:val="18"/>
              </w:rPr>
              <w:br/>
              <w:t xml:space="preserve"> Μεταβολής</w:t>
            </w:r>
          </w:p>
        </w:tc>
        <w:tc>
          <w:tcPr>
            <w:tcW w:w="741" w:type="pct"/>
            <w:tcBorders>
              <w:left w:val="single" w:sz="4" w:space="0" w:color="FFFFFF" w:themeColor="background1"/>
              <w:right w:val="single" w:sz="4" w:space="0" w:color="FFFFFF" w:themeColor="background1"/>
            </w:tcBorders>
            <w:vAlign w:val="center"/>
            <w:hideMark/>
          </w:tcPr>
          <w:p w14:paraId="6F4C337E" w14:textId="77777777" w:rsidR="00EA5BD3" w:rsidRPr="0029055C" w:rsidRDefault="00EA5BD3" w:rsidP="00EA5BD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Αρχική χρηματοδοτική βαρύτητα</w:t>
            </w:r>
            <w:r w:rsidR="00F856E3" w:rsidRPr="0029055C">
              <w:rPr>
                <w:rStyle w:val="FootnoteReference"/>
                <w:rFonts w:cs="Calibri"/>
                <w:sz w:val="18"/>
                <w:szCs w:val="18"/>
              </w:rPr>
              <w:footnoteReference w:id="1"/>
            </w:r>
          </w:p>
        </w:tc>
        <w:tc>
          <w:tcPr>
            <w:tcW w:w="741" w:type="pct"/>
            <w:tcBorders>
              <w:left w:val="single" w:sz="4" w:space="0" w:color="FFFFFF" w:themeColor="background1"/>
            </w:tcBorders>
            <w:vAlign w:val="center"/>
            <w:hideMark/>
          </w:tcPr>
          <w:p w14:paraId="59605DF6" w14:textId="77777777" w:rsidR="00EA5BD3" w:rsidRPr="0029055C" w:rsidRDefault="00EA5BD3" w:rsidP="00EA5BD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Νέα χρηματοδοτική βαρύτητα</w:t>
            </w:r>
            <w:r w:rsidR="00F856E3" w:rsidRPr="0029055C">
              <w:rPr>
                <w:rFonts w:cs="Calibri"/>
                <w:sz w:val="18"/>
                <w:szCs w:val="18"/>
                <w:vertAlign w:val="superscript"/>
              </w:rPr>
              <w:t>1</w:t>
            </w:r>
          </w:p>
        </w:tc>
      </w:tr>
      <w:tr w:rsidR="00EA5BD3" w:rsidRPr="0029055C" w14:paraId="618D9CDC" w14:textId="77777777" w:rsidTr="00EA5BD3">
        <w:trPr>
          <w:trHeight w:val="300"/>
        </w:trPr>
        <w:tc>
          <w:tcPr>
            <w:cnfStyle w:val="001000000000" w:firstRow="0" w:lastRow="0" w:firstColumn="1" w:lastColumn="0" w:oddVBand="0" w:evenVBand="0" w:oddHBand="0" w:evenHBand="0" w:firstRowFirstColumn="0" w:firstRowLastColumn="0" w:lastRowFirstColumn="0" w:lastRowLastColumn="0"/>
            <w:tcW w:w="567" w:type="pct"/>
            <w:noWrap/>
            <w:hideMark/>
          </w:tcPr>
          <w:p w14:paraId="121EBD3D" w14:textId="77777777" w:rsidR="00EA5BD3" w:rsidRPr="0029055C" w:rsidRDefault="00EA5BD3" w:rsidP="00EA5BD3">
            <w:pPr>
              <w:spacing w:before="0" w:after="0" w:line="240" w:lineRule="auto"/>
              <w:jc w:val="left"/>
              <w:rPr>
                <w:rFonts w:cs="Calibri"/>
                <w:b w:val="0"/>
                <w:color w:val="000000"/>
                <w:sz w:val="18"/>
                <w:szCs w:val="18"/>
              </w:rPr>
            </w:pPr>
            <w:r w:rsidRPr="0029055C">
              <w:rPr>
                <w:rFonts w:cs="Calibri"/>
                <w:b w:val="0"/>
                <w:color w:val="000000"/>
                <w:sz w:val="18"/>
                <w:szCs w:val="18"/>
              </w:rPr>
              <w:t>Α.1.</w:t>
            </w:r>
          </w:p>
        </w:tc>
        <w:tc>
          <w:tcPr>
            <w:tcW w:w="604" w:type="pct"/>
            <w:noWrap/>
            <w:hideMark/>
          </w:tcPr>
          <w:p w14:paraId="404E8AAD" w14:textId="77777777" w:rsidR="00EA5BD3" w:rsidRPr="0029055C" w:rsidRDefault="00EA5BD3" w:rsidP="00EA5BD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00000"/>
                <w:sz w:val="18"/>
                <w:szCs w:val="18"/>
              </w:rPr>
            </w:pPr>
            <w:r w:rsidRPr="0029055C">
              <w:rPr>
                <w:rFonts w:cs="Calibri"/>
                <w:bCs/>
                <w:color w:val="000000"/>
                <w:sz w:val="18"/>
                <w:szCs w:val="18"/>
              </w:rPr>
              <w:t>Α.1.1.</w:t>
            </w:r>
          </w:p>
        </w:tc>
        <w:tc>
          <w:tcPr>
            <w:tcW w:w="821" w:type="pct"/>
            <w:noWrap/>
            <w:vAlign w:val="center"/>
            <w:hideMark/>
          </w:tcPr>
          <w:p w14:paraId="202AED8F"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8.000.000,00</w:t>
            </w:r>
          </w:p>
        </w:tc>
        <w:tc>
          <w:tcPr>
            <w:tcW w:w="822" w:type="pct"/>
            <w:noWrap/>
            <w:vAlign w:val="center"/>
            <w:hideMark/>
          </w:tcPr>
          <w:p w14:paraId="29E85134"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13.000.000,00</w:t>
            </w:r>
          </w:p>
        </w:tc>
        <w:tc>
          <w:tcPr>
            <w:tcW w:w="704" w:type="pct"/>
            <w:noWrap/>
            <w:vAlign w:val="center"/>
            <w:hideMark/>
          </w:tcPr>
          <w:p w14:paraId="508011F4" w14:textId="77777777" w:rsidR="00EA5BD3" w:rsidRPr="0029055C" w:rsidRDefault="00EA5BD3" w:rsidP="00A63C98">
            <w:pPr>
              <w:pStyle w:val="ListParagraph"/>
              <w:numPr>
                <w:ilvl w:val="0"/>
                <w:numId w:val="18"/>
              </w:numPr>
              <w:spacing w:before="0" w:after="0" w:line="240" w:lineRule="auto"/>
              <w:ind w:left="398" w:hanging="284"/>
              <w:jc w:val="lef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 xml:space="preserve"> 62,5%</w:t>
            </w:r>
          </w:p>
        </w:tc>
        <w:tc>
          <w:tcPr>
            <w:tcW w:w="741" w:type="pct"/>
            <w:noWrap/>
            <w:hideMark/>
          </w:tcPr>
          <w:p w14:paraId="5C3DA437"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38,1%</w:t>
            </w:r>
          </w:p>
        </w:tc>
        <w:tc>
          <w:tcPr>
            <w:tcW w:w="741" w:type="pct"/>
            <w:noWrap/>
            <w:hideMark/>
          </w:tcPr>
          <w:p w14:paraId="43D1C55F"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61,9%</w:t>
            </w:r>
          </w:p>
        </w:tc>
      </w:tr>
      <w:tr w:rsidR="00EA5BD3" w:rsidRPr="0029055C" w14:paraId="0ED14855" w14:textId="77777777" w:rsidTr="00EA5BD3">
        <w:trPr>
          <w:trHeight w:val="300"/>
        </w:trPr>
        <w:tc>
          <w:tcPr>
            <w:cnfStyle w:val="001000000000" w:firstRow="0" w:lastRow="0" w:firstColumn="1" w:lastColumn="0" w:oddVBand="0" w:evenVBand="0" w:oddHBand="0" w:evenHBand="0" w:firstRowFirstColumn="0" w:firstRowLastColumn="0" w:lastRowFirstColumn="0" w:lastRowLastColumn="0"/>
            <w:tcW w:w="567" w:type="pct"/>
            <w:noWrap/>
            <w:hideMark/>
          </w:tcPr>
          <w:p w14:paraId="10C78B7A" w14:textId="77777777" w:rsidR="00EA5BD3" w:rsidRPr="0029055C" w:rsidRDefault="00EA5BD3" w:rsidP="00EA5BD3">
            <w:pPr>
              <w:spacing w:before="0" w:after="0" w:line="240" w:lineRule="auto"/>
              <w:jc w:val="left"/>
              <w:rPr>
                <w:rFonts w:cs="Calibri"/>
                <w:b w:val="0"/>
                <w:color w:val="000000"/>
                <w:sz w:val="18"/>
                <w:szCs w:val="18"/>
              </w:rPr>
            </w:pPr>
            <w:r w:rsidRPr="0029055C">
              <w:rPr>
                <w:rFonts w:cs="Calibri"/>
                <w:b w:val="0"/>
                <w:color w:val="000000"/>
                <w:sz w:val="18"/>
                <w:szCs w:val="18"/>
              </w:rPr>
              <w:t> </w:t>
            </w:r>
          </w:p>
        </w:tc>
        <w:tc>
          <w:tcPr>
            <w:tcW w:w="604" w:type="pct"/>
            <w:noWrap/>
            <w:hideMark/>
          </w:tcPr>
          <w:p w14:paraId="523E7BD8" w14:textId="77777777" w:rsidR="00EA5BD3" w:rsidRPr="0029055C" w:rsidRDefault="00EA5BD3" w:rsidP="00EA5BD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00000"/>
                <w:sz w:val="18"/>
                <w:szCs w:val="18"/>
              </w:rPr>
            </w:pPr>
            <w:r w:rsidRPr="0029055C">
              <w:rPr>
                <w:rFonts w:cs="Calibri"/>
                <w:bCs/>
                <w:color w:val="000000"/>
                <w:sz w:val="18"/>
                <w:szCs w:val="18"/>
              </w:rPr>
              <w:t>Α.1.2.</w:t>
            </w:r>
          </w:p>
        </w:tc>
        <w:tc>
          <w:tcPr>
            <w:tcW w:w="821" w:type="pct"/>
            <w:noWrap/>
            <w:vAlign w:val="center"/>
            <w:hideMark/>
          </w:tcPr>
          <w:p w14:paraId="4221F3F9"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13.000.000,00</w:t>
            </w:r>
          </w:p>
        </w:tc>
        <w:tc>
          <w:tcPr>
            <w:tcW w:w="822" w:type="pct"/>
            <w:noWrap/>
            <w:vAlign w:val="center"/>
            <w:hideMark/>
          </w:tcPr>
          <w:p w14:paraId="2B995D84"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8.000.000,00</w:t>
            </w:r>
          </w:p>
        </w:tc>
        <w:tc>
          <w:tcPr>
            <w:tcW w:w="704" w:type="pct"/>
            <w:noWrap/>
            <w:vAlign w:val="center"/>
            <w:hideMark/>
          </w:tcPr>
          <w:p w14:paraId="35A5646D" w14:textId="77777777" w:rsidR="00EA5BD3" w:rsidRPr="0029055C" w:rsidRDefault="00EA5BD3" w:rsidP="00A63C98">
            <w:pPr>
              <w:pStyle w:val="ListParagraph"/>
              <w:numPr>
                <w:ilvl w:val="0"/>
                <w:numId w:val="19"/>
              </w:numPr>
              <w:spacing w:before="0" w:after="0" w:line="240" w:lineRule="auto"/>
              <w:ind w:left="398" w:hanging="284"/>
              <w:jc w:val="lef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-38,5%</w:t>
            </w:r>
          </w:p>
        </w:tc>
        <w:tc>
          <w:tcPr>
            <w:tcW w:w="741" w:type="pct"/>
            <w:noWrap/>
            <w:hideMark/>
          </w:tcPr>
          <w:p w14:paraId="250A6A6A"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61,9%</w:t>
            </w:r>
          </w:p>
        </w:tc>
        <w:tc>
          <w:tcPr>
            <w:tcW w:w="741" w:type="pct"/>
            <w:noWrap/>
            <w:hideMark/>
          </w:tcPr>
          <w:p w14:paraId="1BA11C8F"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38,1%</w:t>
            </w:r>
          </w:p>
        </w:tc>
      </w:tr>
      <w:tr w:rsidR="00EA5BD3" w:rsidRPr="0029055C" w14:paraId="63563B93" w14:textId="77777777" w:rsidTr="00A63C98">
        <w:trPr>
          <w:trHeight w:val="300"/>
        </w:trPr>
        <w:tc>
          <w:tcPr>
            <w:cnfStyle w:val="001000000000" w:firstRow="0" w:lastRow="0" w:firstColumn="1" w:lastColumn="0" w:oddVBand="0" w:evenVBand="0" w:oddHBand="0" w:evenHBand="0" w:firstRowFirstColumn="0" w:firstRowLastColumn="0" w:lastRowFirstColumn="0" w:lastRowLastColumn="0"/>
            <w:tcW w:w="1171" w:type="pct"/>
            <w:gridSpan w:val="2"/>
            <w:shd w:val="clear" w:color="auto" w:fill="DAEEF3" w:themeFill="accent5" w:themeFillTint="33"/>
            <w:noWrap/>
            <w:vAlign w:val="center"/>
            <w:hideMark/>
          </w:tcPr>
          <w:p w14:paraId="0DD0A911" w14:textId="77777777" w:rsidR="00EA5BD3" w:rsidRPr="0029055C" w:rsidRDefault="00EA5BD3" w:rsidP="00EA5BD3">
            <w:pPr>
              <w:spacing w:before="0" w:after="0" w:line="240" w:lineRule="auto"/>
              <w:jc w:val="left"/>
              <w:rPr>
                <w:rFonts w:cs="Calibri"/>
                <w:color w:val="000000"/>
                <w:sz w:val="18"/>
                <w:szCs w:val="18"/>
              </w:rPr>
            </w:pPr>
            <w:r w:rsidRPr="0029055C">
              <w:rPr>
                <w:rFonts w:cs="Calibri"/>
                <w:color w:val="000000"/>
                <w:sz w:val="18"/>
                <w:szCs w:val="18"/>
              </w:rPr>
              <w:t>Σύνολο Α.1.</w:t>
            </w:r>
          </w:p>
        </w:tc>
        <w:tc>
          <w:tcPr>
            <w:tcW w:w="821" w:type="pct"/>
            <w:shd w:val="clear" w:color="auto" w:fill="DAEEF3" w:themeFill="accent5" w:themeFillTint="33"/>
            <w:noWrap/>
            <w:vAlign w:val="center"/>
            <w:hideMark/>
          </w:tcPr>
          <w:p w14:paraId="18F2AFE5"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21.000.000,00</w:t>
            </w:r>
          </w:p>
        </w:tc>
        <w:tc>
          <w:tcPr>
            <w:tcW w:w="822" w:type="pct"/>
            <w:shd w:val="clear" w:color="auto" w:fill="DAEEF3" w:themeFill="accent5" w:themeFillTint="33"/>
            <w:noWrap/>
            <w:vAlign w:val="center"/>
            <w:hideMark/>
          </w:tcPr>
          <w:p w14:paraId="315298F1"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21.000.000,00</w:t>
            </w:r>
          </w:p>
        </w:tc>
        <w:tc>
          <w:tcPr>
            <w:tcW w:w="704" w:type="pct"/>
            <w:shd w:val="clear" w:color="auto" w:fill="DAEEF3" w:themeFill="accent5" w:themeFillTint="33"/>
            <w:noWrap/>
            <w:vAlign w:val="center"/>
            <w:hideMark/>
          </w:tcPr>
          <w:p w14:paraId="48C22A98" w14:textId="77777777" w:rsidR="00EA5BD3" w:rsidRPr="0029055C" w:rsidRDefault="00A63C98" w:rsidP="00A63C98">
            <w:pPr>
              <w:pStyle w:val="ListParagraph"/>
              <w:numPr>
                <w:ilvl w:val="0"/>
                <w:numId w:val="20"/>
              </w:numPr>
              <w:spacing w:before="0" w:after="0" w:line="240" w:lineRule="auto"/>
              <w:ind w:left="399" w:hanging="224"/>
              <w:jc w:val="left"/>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29055C">
              <w:rPr>
                <w:rFonts w:cs="Calibri"/>
                <w:b/>
                <w:color w:val="000000"/>
                <w:sz w:val="18"/>
                <w:szCs w:val="18"/>
              </w:rPr>
              <w:t xml:space="preserve">   </w:t>
            </w:r>
            <w:r w:rsidR="00EA5BD3" w:rsidRPr="0029055C">
              <w:rPr>
                <w:rFonts w:cs="Calibri"/>
                <w:b/>
                <w:color w:val="000000"/>
                <w:sz w:val="18"/>
                <w:szCs w:val="18"/>
              </w:rPr>
              <w:t>0,0%</w:t>
            </w:r>
          </w:p>
        </w:tc>
        <w:tc>
          <w:tcPr>
            <w:tcW w:w="741" w:type="pct"/>
            <w:shd w:val="clear" w:color="auto" w:fill="DAEEF3" w:themeFill="accent5" w:themeFillTint="33"/>
            <w:noWrap/>
            <w:vAlign w:val="center"/>
            <w:hideMark/>
          </w:tcPr>
          <w:p w14:paraId="5BE8E947" w14:textId="77777777" w:rsidR="00EA5BD3" w:rsidRPr="0029055C" w:rsidRDefault="00EA5BD3" w:rsidP="00A63C9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12,6%</w:t>
            </w:r>
          </w:p>
        </w:tc>
        <w:tc>
          <w:tcPr>
            <w:tcW w:w="741" w:type="pct"/>
            <w:shd w:val="clear" w:color="auto" w:fill="DAEEF3" w:themeFill="accent5" w:themeFillTint="33"/>
            <w:noWrap/>
            <w:vAlign w:val="center"/>
            <w:hideMark/>
          </w:tcPr>
          <w:p w14:paraId="114A1D64" w14:textId="77777777" w:rsidR="00EA5BD3" w:rsidRPr="0029055C" w:rsidRDefault="00EA5BD3" w:rsidP="00A63C9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13,1%</w:t>
            </w:r>
          </w:p>
        </w:tc>
      </w:tr>
      <w:tr w:rsidR="00EA5BD3" w:rsidRPr="0029055C" w14:paraId="6F0A0A4F" w14:textId="77777777" w:rsidTr="00EA5BD3">
        <w:trPr>
          <w:trHeight w:val="300"/>
        </w:trPr>
        <w:tc>
          <w:tcPr>
            <w:cnfStyle w:val="001000000000" w:firstRow="0" w:lastRow="0" w:firstColumn="1" w:lastColumn="0" w:oddVBand="0" w:evenVBand="0" w:oddHBand="0" w:evenHBand="0" w:firstRowFirstColumn="0" w:firstRowLastColumn="0" w:lastRowFirstColumn="0" w:lastRowLastColumn="0"/>
            <w:tcW w:w="567" w:type="pct"/>
            <w:noWrap/>
            <w:hideMark/>
          </w:tcPr>
          <w:p w14:paraId="7E3863B8" w14:textId="77777777" w:rsidR="00EA5BD3" w:rsidRPr="0029055C" w:rsidRDefault="00EA5BD3" w:rsidP="00EA5BD3">
            <w:pPr>
              <w:spacing w:before="0" w:after="0" w:line="240" w:lineRule="auto"/>
              <w:jc w:val="left"/>
              <w:rPr>
                <w:rFonts w:cs="Calibri"/>
                <w:b w:val="0"/>
                <w:color w:val="000000"/>
                <w:sz w:val="18"/>
                <w:szCs w:val="18"/>
              </w:rPr>
            </w:pPr>
            <w:r w:rsidRPr="0029055C">
              <w:rPr>
                <w:rFonts w:cs="Calibri"/>
                <w:b w:val="0"/>
                <w:color w:val="000000"/>
                <w:sz w:val="18"/>
                <w:szCs w:val="18"/>
              </w:rPr>
              <w:t>Α.2.</w:t>
            </w:r>
          </w:p>
        </w:tc>
        <w:tc>
          <w:tcPr>
            <w:tcW w:w="604" w:type="pct"/>
            <w:noWrap/>
            <w:hideMark/>
          </w:tcPr>
          <w:p w14:paraId="54568A92" w14:textId="77777777" w:rsidR="00EA5BD3" w:rsidRPr="0029055C" w:rsidRDefault="00EA5BD3" w:rsidP="00EA5BD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00000"/>
                <w:sz w:val="18"/>
                <w:szCs w:val="18"/>
              </w:rPr>
            </w:pPr>
            <w:r w:rsidRPr="0029055C">
              <w:rPr>
                <w:rFonts w:cs="Calibri"/>
                <w:bCs/>
                <w:color w:val="000000"/>
                <w:sz w:val="18"/>
                <w:szCs w:val="18"/>
              </w:rPr>
              <w:t>Α.2.1.</w:t>
            </w:r>
          </w:p>
        </w:tc>
        <w:tc>
          <w:tcPr>
            <w:tcW w:w="821" w:type="pct"/>
            <w:noWrap/>
            <w:vAlign w:val="center"/>
            <w:hideMark/>
          </w:tcPr>
          <w:p w14:paraId="170EDF47"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47.500.000,00</w:t>
            </w:r>
          </w:p>
        </w:tc>
        <w:tc>
          <w:tcPr>
            <w:tcW w:w="822" w:type="pct"/>
            <w:noWrap/>
            <w:vAlign w:val="center"/>
            <w:hideMark/>
          </w:tcPr>
          <w:p w14:paraId="30987146"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47.500.000,00</w:t>
            </w:r>
          </w:p>
        </w:tc>
        <w:tc>
          <w:tcPr>
            <w:tcW w:w="704" w:type="pct"/>
            <w:noWrap/>
            <w:vAlign w:val="center"/>
            <w:hideMark/>
          </w:tcPr>
          <w:p w14:paraId="633E5309" w14:textId="77777777" w:rsidR="00EA5BD3" w:rsidRPr="0029055C" w:rsidRDefault="00A63C98" w:rsidP="00A63C98">
            <w:pPr>
              <w:pStyle w:val="ListParagraph"/>
              <w:numPr>
                <w:ilvl w:val="0"/>
                <w:numId w:val="20"/>
              </w:numPr>
              <w:spacing w:before="0" w:after="0" w:line="240" w:lineRule="auto"/>
              <w:ind w:left="399" w:hanging="224"/>
              <w:jc w:val="lef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 xml:space="preserve">   </w:t>
            </w:r>
            <w:r w:rsidR="00EA5BD3" w:rsidRPr="0029055C">
              <w:rPr>
                <w:rFonts w:cs="Calibri"/>
                <w:color w:val="000000"/>
                <w:sz w:val="18"/>
                <w:szCs w:val="18"/>
              </w:rPr>
              <w:t>0,0%</w:t>
            </w:r>
          </w:p>
        </w:tc>
        <w:tc>
          <w:tcPr>
            <w:tcW w:w="741" w:type="pct"/>
            <w:noWrap/>
            <w:hideMark/>
          </w:tcPr>
          <w:p w14:paraId="69045A7B"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36,1%</w:t>
            </w:r>
          </w:p>
        </w:tc>
        <w:tc>
          <w:tcPr>
            <w:tcW w:w="741" w:type="pct"/>
            <w:noWrap/>
            <w:hideMark/>
          </w:tcPr>
          <w:p w14:paraId="67101532"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36,1%</w:t>
            </w:r>
          </w:p>
        </w:tc>
      </w:tr>
      <w:tr w:rsidR="00EA5BD3" w:rsidRPr="0029055C" w14:paraId="0B56FE4F" w14:textId="77777777" w:rsidTr="00EA5BD3">
        <w:trPr>
          <w:trHeight w:val="300"/>
        </w:trPr>
        <w:tc>
          <w:tcPr>
            <w:cnfStyle w:val="001000000000" w:firstRow="0" w:lastRow="0" w:firstColumn="1" w:lastColumn="0" w:oddVBand="0" w:evenVBand="0" w:oddHBand="0" w:evenHBand="0" w:firstRowFirstColumn="0" w:firstRowLastColumn="0" w:lastRowFirstColumn="0" w:lastRowLastColumn="0"/>
            <w:tcW w:w="567" w:type="pct"/>
            <w:noWrap/>
            <w:hideMark/>
          </w:tcPr>
          <w:p w14:paraId="6F3A6F29" w14:textId="77777777" w:rsidR="00EA5BD3" w:rsidRPr="0029055C" w:rsidRDefault="00EA5BD3" w:rsidP="00EA5BD3">
            <w:pPr>
              <w:spacing w:before="0" w:after="0" w:line="240" w:lineRule="auto"/>
              <w:jc w:val="right"/>
              <w:rPr>
                <w:rFonts w:cs="Calibri"/>
                <w:b w:val="0"/>
                <w:color w:val="000000"/>
                <w:sz w:val="18"/>
                <w:szCs w:val="18"/>
              </w:rPr>
            </w:pPr>
          </w:p>
        </w:tc>
        <w:tc>
          <w:tcPr>
            <w:tcW w:w="604" w:type="pct"/>
            <w:noWrap/>
            <w:hideMark/>
          </w:tcPr>
          <w:p w14:paraId="2FC7587A" w14:textId="77777777" w:rsidR="00EA5BD3" w:rsidRPr="0029055C" w:rsidRDefault="00EA5BD3" w:rsidP="00EA5BD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00000"/>
                <w:sz w:val="18"/>
                <w:szCs w:val="18"/>
              </w:rPr>
            </w:pPr>
            <w:r w:rsidRPr="0029055C">
              <w:rPr>
                <w:rFonts w:cs="Calibri"/>
                <w:bCs/>
                <w:color w:val="000000"/>
                <w:sz w:val="18"/>
                <w:szCs w:val="18"/>
              </w:rPr>
              <w:t>Α.2.2.</w:t>
            </w:r>
          </w:p>
        </w:tc>
        <w:tc>
          <w:tcPr>
            <w:tcW w:w="821" w:type="pct"/>
            <w:noWrap/>
            <w:vAlign w:val="center"/>
            <w:hideMark/>
          </w:tcPr>
          <w:p w14:paraId="0D9A1F68"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84.093.935,00</w:t>
            </w:r>
          </w:p>
        </w:tc>
        <w:tc>
          <w:tcPr>
            <w:tcW w:w="822" w:type="pct"/>
            <w:noWrap/>
            <w:vAlign w:val="center"/>
            <w:hideMark/>
          </w:tcPr>
          <w:p w14:paraId="6CB39F83"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84.093.935,00</w:t>
            </w:r>
          </w:p>
        </w:tc>
        <w:tc>
          <w:tcPr>
            <w:tcW w:w="704" w:type="pct"/>
            <w:noWrap/>
            <w:vAlign w:val="center"/>
            <w:hideMark/>
          </w:tcPr>
          <w:p w14:paraId="41FB5069" w14:textId="77777777" w:rsidR="00EA5BD3" w:rsidRPr="0029055C" w:rsidRDefault="00A63C98" w:rsidP="00A63C98">
            <w:pPr>
              <w:pStyle w:val="ListParagraph"/>
              <w:numPr>
                <w:ilvl w:val="0"/>
                <w:numId w:val="20"/>
              </w:numPr>
              <w:spacing w:before="0" w:after="0" w:line="240" w:lineRule="auto"/>
              <w:ind w:left="399" w:hanging="224"/>
              <w:jc w:val="lef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 xml:space="preserve">   </w:t>
            </w:r>
            <w:r w:rsidR="00EA5BD3" w:rsidRPr="0029055C">
              <w:rPr>
                <w:rFonts w:cs="Calibri"/>
                <w:color w:val="000000"/>
                <w:sz w:val="18"/>
                <w:szCs w:val="18"/>
              </w:rPr>
              <w:t>0,0%</w:t>
            </w:r>
          </w:p>
        </w:tc>
        <w:tc>
          <w:tcPr>
            <w:tcW w:w="741" w:type="pct"/>
            <w:noWrap/>
            <w:hideMark/>
          </w:tcPr>
          <w:p w14:paraId="6148B4AB"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63,9%</w:t>
            </w:r>
          </w:p>
        </w:tc>
        <w:tc>
          <w:tcPr>
            <w:tcW w:w="741" w:type="pct"/>
            <w:noWrap/>
            <w:hideMark/>
          </w:tcPr>
          <w:p w14:paraId="3D47ECDF"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63,9%</w:t>
            </w:r>
          </w:p>
        </w:tc>
      </w:tr>
      <w:tr w:rsidR="00EA5BD3" w:rsidRPr="0029055C" w14:paraId="03B6E613" w14:textId="77777777" w:rsidTr="00A63C98">
        <w:trPr>
          <w:trHeight w:val="300"/>
        </w:trPr>
        <w:tc>
          <w:tcPr>
            <w:cnfStyle w:val="001000000000" w:firstRow="0" w:lastRow="0" w:firstColumn="1" w:lastColumn="0" w:oddVBand="0" w:evenVBand="0" w:oddHBand="0" w:evenHBand="0" w:firstRowFirstColumn="0" w:firstRowLastColumn="0" w:lastRowFirstColumn="0" w:lastRowLastColumn="0"/>
            <w:tcW w:w="1171" w:type="pct"/>
            <w:gridSpan w:val="2"/>
            <w:shd w:val="clear" w:color="auto" w:fill="DAEEF3" w:themeFill="accent5" w:themeFillTint="33"/>
            <w:noWrap/>
            <w:vAlign w:val="center"/>
            <w:hideMark/>
          </w:tcPr>
          <w:p w14:paraId="2366C144" w14:textId="77777777" w:rsidR="00EA5BD3" w:rsidRPr="0029055C" w:rsidRDefault="00EA5BD3" w:rsidP="00EA5BD3">
            <w:pPr>
              <w:spacing w:before="0" w:after="0" w:line="240" w:lineRule="auto"/>
              <w:jc w:val="left"/>
              <w:rPr>
                <w:rFonts w:cs="Calibri"/>
                <w:color w:val="000000"/>
                <w:sz w:val="18"/>
                <w:szCs w:val="18"/>
              </w:rPr>
            </w:pPr>
            <w:r w:rsidRPr="0029055C">
              <w:rPr>
                <w:rFonts w:cs="Calibri"/>
                <w:color w:val="000000"/>
                <w:sz w:val="18"/>
                <w:szCs w:val="18"/>
              </w:rPr>
              <w:t>Σύνολο Α.2.</w:t>
            </w:r>
          </w:p>
        </w:tc>
        <w:tc>
          <w:tcPr>
            <w:tcW w:w="821" w:type="pct"/>
            <w:shd w:val="clear" w:color="auto" w:fill="DAEEF3" w:themeFill="accent5" w:themeFillTint="33"/>
            <w:noWrap/>
            <w:vAlign w:val="center"/>
            <w:hideMark/>
          </w:tcPr>
          <w:p w14:paraId="381119C2"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131.593.935,00</w:t>
            </w:r>
          </w:p>
        </w:tc>
        <w:tc>
          <w:tcPr>
            <w:tcW w:w="822" w:type="pct"/>
            <w:shd w:val="clear" w:color="auto" w:fill="DAEEF3" w:themeFill="accent5" w:themeFillTint="33"/>
            <w:noWrap/>
            <w:vAlign w:val="center"/>
            <w:hideMark/>
          </w:tcPr>
          <w:p w14:paraId="0315E8F8"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131.593.935,00</w:t>
            </w:r>
          </w:p>
        </w:tc>
        <w:tc>
          <w:tcPr>
            <w:tcW w:w="704" w:type="pct"/>
            <w:shd w:val="clear" w:color="auto" w:fill="DAEEF3" w:themeFill="accent5" w:themeFillTint="33"/>
            <w:noWrap/>
            <w:vAlign w:val="center"/>
            <w:hideMark/>
          </w:tcPr>
          <w:p w14:paraId="7A971C20" w14:textId="77777777" w:rsidR="00EA5BD3" w:rsidRPr="0029055C" w:rsidRDefault="00A63C98" w:rsidP="00A63C98">
            <w:pPr>
              <w:pStyle w:val="ListParagraph"/>
              <w:numPr>
                <w:ilvl w:val="0"/>
                <w:numId w:val="20"/>
              </w:numPr>
              <w:spacing w:before="0" w:after="0" w:line="240" w:lineRule="auto"/>
              <w:ind w:left="399" w:hanging="224"/>
              <w:jc w:val="left"/>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29055C">
              <w:rPr>
                <w:rFonts w:cs="Calibri"/>
                <w:b/>
                <w:color w:val="000000"/>
                <w:sz w:val="18"/>
                <w:szCs w:val="18"/>
              </w:rPr>
              <w:t xml:space="preserve">   </w:t>
            </w:r>
            <w:r w:rsidR="00EA5BD3" w:rsidRPr="0029055C">
              <w:rPr>
                <w:rFonts w:cs="Calibri"/>
                <w:b/>
                <w:color w:val="000000"/>
                <w:sz w:val="18"/>
                <w:szCs w:val="18"/>
              </w:rPr>
              <w:t>0,0%</w:t>
            </w:r>
          </w:p>
        </w:tc>
        <w:tc>
          <w:tcPr>
            <w:tcW w:w="741" w:type="pct"/>
            <w:shd w:val="clear" w:color="auto" w:fill="DAEEF3" w:themeFill="accent5" w:themeFillTint="33"/>
            <w:noWrap/>
            <w:vAlign w:val="center"/>
            <w:hideMark/>
          </w:tcPr>
          <w:p w14:paraId="121EF403" w14:textId="77777777" w:rsidR="00EA5BD3" w:rsidRPr="0029055C" w:rsidRDefault="00EA5BD3" w:rsidP="00A63C9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78,7%</w:t>
            </w:r>
          </w:p>
        </w:tc>
        <w:tc>
          <w:tcPr>
            <w:tcW w:w="741" w:type="pct"/>
            <w:shd w:val="clear" w:color="auto" w:fill="DAEEF3" w:themeFill="accent5" w:themeFillTint="33"/>
            <w:noWrap/>
            <w:vAlign w:val="center"/>
            <w:hideMark/>
          </w:tcPr>
          <w:p w14:paraId="4883CF5C" w14:textId="77777777" w:rsidR="00EA5BD3" w:rsidRPr="0029055C" w:rsidRDefault="00EA5BD3" w:rsidP="00A63C9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82,1%</w:t>
            </w:r>
          </w:p>
        </w:tc>
      </w:tr>
      <w:tr w:rsidR="00EA5BD3" w:rsidRPr="0029055C" w14:paraId="37AC73E7" w14:textId="77777777" w:rsidTr="00EA5BD3">
        <w:trPr>
          <w:trHeight w:val="300"/>
        </w:trPr>
        <w:tc>
          <w:tcPr>
            <w:cnfStyle w:val="001000000000" w:firstRow="0" w:lastRow="0" w:firstColumn="1" w:lastColumn="0" w:oddVBand="0" w:evenVBand="0" w:oddHBand="0" w:evenHBand="0" w:firstRowFirstColumn="0" w:firstRowLastColumn="0" w:lastRowFirstColumn="0" w:lastRowLastColumn="0"/>
            <w:tcW w:w="567" w:type="pct"/>
            <w:noWrap/>
            <w:hideMark/>
          </w:tcPr>
          <w:p w14:paraId="1AA51EBA" w14:textId="77777777" w:rsidR="00EA5BD3" w:rsidRPr="0029055C" w:rsidRDefault="00EA5BD3" w:rsidP="00EA5BD3">
            <w:pPr>
              <w:spacing w:before="0" w:after="0" w:line="240" w:lineRule="auto"/>
              <w:jc w:val="left"/>
              <w:rPr>
                <w:rFonts w:cs="Calibri"/>
                <w:b w:val="0"/>
                <w:color w:val="000000"/>
                <w:sz w:val="18"/>
                <w:szCs w:val="18"/>
              </w:rPr>
            </w:pPr>
            <w:r w:rsidRPr="0029055C">
              <w:rPr>
                <w:rFonts w:cs="Calibri"/>
                <w:b w:val="0"/>
                <w:color w:val="000000"/>
                <w:sz w:val="18"/>
                <w:szCs w:val="18"/>
              </w:rPr>
              <w:t>Α.3.</w:t>
            </w:r>
          </w:p>
        </w:tc>
        <w:tc>
          <w:tcPr>
            <w:tcW w:w="604" w:type="pct"/>
            <w:noWrap/>
            <w:hideMark/>
          </w:tcPr>
          <w:p w14:paraId="4B988569" w14:textId="77777777" w:rsidR="00EA5BD3" w:rsidRPr="0029055C" w:rsidRDefault="00EA5BD3" w:rsidP="00EA5BD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00000"/>
                <w:sz w:val="18"/>
                <w:szCs w:val="18"/>
              </w:rPr>
            </w:pPr>
            <w:r w:rsidRPr="0029055C">
              <w:rPr>
                <w:rFonts w:cs="Calibri"/>
                <w:bCs/>
                <w:color w:val="000000"/>
                <w:sz w:val="18"/>
                <w:szCs w:val="18"/>
              </w:rPr>
              <w:t>Α.3.1.</w:t>
            </w:r>
          </w:p>
        </w:tc>
        <w:tc>
          <w:tcPr>
            <w:tcW w:w="821" w:type="pct"/>
            <w:noWrap/>
            <w:vAlign w:val="center"/>
            <w:hideMark/>
          </w:tcPr>
          <w:p w14:paraId="3542DDB2"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7.000.000,00</w:t>
            </w:r>
          </w:p>
        </w:tc>
        <w:tc>
          <w:tcPr>
            <w:tcW w:w="822" w:type="pct"/>
            <w:noWrap/>
            <w:vAlign w:val="center"/>
            <w:hideMark/>
          </w:tcPr>
          <w:p w14:paraId="613FB341"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3.000.000,00</w:t>
            </w:r>
          </w:p>
        </w:tc>
        <w:tc>
          <w:tcPr>
            <w:tcW w:w="704" w:type="pct"/>
            <w:noWrap/>
            <w:vAlign w:val="center"/>
            <w:hideMark/>
          </w:tcPr>
          <w:p w14:paraId="63CCAA4A" w14:textId="77777777" w:rsidR="00EA5BD3" w:rsidRPr="0029055C" w:rsidRDefault="00EA5BD3" w:rsidP="00A63C98">
            <w:pPr>
              <w:pStyle w:val="ListParagraph"/>
              <w:numPr>
                <w:ilvl w:val="0"/>
                <w:numId w:val="19"/>
              </w:numPr>
              <w:spacing w:before="0" w:after="0" w:line="240" w:lineRule="auto"/>
              <w:ind w:left="398" w:hanging="284"/>
              <w:jc w:val="lef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-57,1%</w:t>
            </w:r>
          </w:p>
        </w:tc>
        <w:tc>
          <w:tcPr>
            <w:tcW w:w="741" w:type="pct"/>
            <w:noWrap/>
            <w:hideMark/>
          </w:tcPr>
          <w:p w14:paraId="3DADC561"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47,8%</w:t>
            </w:r>
          </w:p>
        </w:tc>
        <w:tc>
          <w:tcPr>
            <w:tcW w:w="741" w:type="pct"/>
            <w:noWrap/>
            <w:hideMark/>
          </w:tcPr>
          <w:p w14:paraId="4E79F4AD"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39,0%</w:t>
            </w:r>
          </w:p>
        </w:tc>
      </w:tr>
      <w:tr w:rsidR="00EA5BD3" w:rsidRPr="0029055C" w14:paraId="0750DD3F" w14:textId="77777777" w:rsidTr="00EA5BD3">
        <w:trPr>
          <w:trHeight w:val="300"/>
        </w:trPr>
        <w:tc>
          <w:tcPr>
            <w:cnfStyle w:val="001000000000" w:firstRow="0" w:lastRow="0" w:firstColumn="1" w:lastColumn="0" w:oddVBand="0" w:evenVBand="0" w:oddHBand="0" w:evenHBand="0" w:firstRowFirstColumn="0" w:firstRowLastColumn="0" w:lastRowFirstColumn="0" w:lastRowLastColumn="0"/>
            <w:tcW w:w="567" w:type="pct"/>
            <w:noWrap/>
          </w:tcPr>
          <w:p w14:paraId="6DE743B3" w14:textId="77777777" w:rsidR="00EA5BD3" w:rsidRPr="0029055C" w:rsidRDefault="00EA5BD3" w:rsidP="00EA5BD3">
            <w:pPr>
              <w:spacing w:before="0" w:after="0" w:line="240" w:lineRule="auto"/>
              <w:jc w:val="right"/>
              <w:rPr>
                <w:rFonts w:cs="Calibri"/>
                <w:b w:val="0"/>
                <w:color w:val="000000"/>
                <w:sz w:val="18"/>
                <w:szCs w:val="18"/>
              </w:rPr>
            </w:pPr>
          </w:p>
        </w:tc>
        <w:tc>
          <w:tcPr>
            <w:tcW w:w="604" w:type="pct"/>
            <w:noWrap/>
            <w:hideMark/>
          </w:tcPr>
          <w:p w14:paraId="5C1D219D" w14:textId="77777777" w:rsidR="00EA5BD3" w:rsidRPr="0029055C" w:rsidRDefault="00EA5BD3" w:rsidP="00EA5BD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00000"/>
                <w:sz w:val="18"/>
                <w:szCs w:val="18"/>
              </w:rPr>
            </w:pPr>
            <w:r w:rsidRPr="0029055C">
              <w:rPr>
                <w:rFonts w:cs="Calibri"/>
                <w:bCs/>
                <w:color w:val="000000"/>
                <w:sz w:val="18"/>
                <w:szCs w:val="18"/>
              </w:rPr>
              <w:t>Α.3.2.</w:t>
            </w:r>
          </w:p>
        </w:tc>
        <w:tc>
          <w:tcPr>
            <w:tcW w:w="821" w:type="pct"/>
            <w:noWrap/>
            <w:vAlign w:val="center"/>
            <w:hideMark/>
          </w:tcPr>
          <w:p w14:paraId="649F59FA"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5.000.000,00</w:t>
            </w:r>
          </w:p>
        </w:tc>
        <w:tc>
          <w:tcPr>
            <w:tcW w:w="822" w:type="pct"/>
            <w:noWrap/>
            <w:vAlign w:val="center"/>
            <w:hideMark/>
          </w:tcPr>
          <w:p w14:paraId="504BB2C5"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3.000.000,00</w:t>
            </w:r>
          </w:p>
        </w:tc>
        <w:tc>
          <w:tcPr>
            <w:tcW w:w="704" w:type="pct"/>
            <w:noWrap/>
            <w:vAlign w:val="center"/>
            <w:hideMark/>
          </w:tcPr>
          <w:p w14:paraId="03161F70" w14:textId="77777777" w:rsidR="00EA5BD3" w:rsidRPr="0029055C" w:rsidRDefault="00EA5BD3" w:rsidP="00A63C98">
            <w:pPr>
              <w:pStyle w:val="ListParagraph"/>
              <w:numPr>
                <w:ilvl w:val="0"/>
                <w:numId w:val="19"/>
              </w:numPr>
              <w:spacing w:before="0" w:after="0" w:line="240" w:lineRule="auto"/>
              <w:ind w:left="398" w:hanging="284"/>
              <w:jc w:val="lef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-40,0%</w:t>
            </w:r>
          </w:p>
        </w:tc>
        <w:tc>
          <w:tcPr>
            <w:tcW w:w="741" w:type="pct"/>
            <w:noWrap/>
            <w:hideMark/>
          </w:tcPr>
          <w:p w14:paraId="02C0C66F"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34,1%</w:t>
            </w:r>
          </w:p>
        </w:tc>
        <w:tc>
          <w:tcPr>
            <w:tcW w:w="741" w:type="pct"/>
            <w:noWrap/>
            <w:hideMark/>
          </w:tcPr>
          <w:p w14:paraId="38895363"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39,0%</w:t>
            </w:r>
          </w:p>
        </w:tc>
      </w:tr>
      <w:tr w:rsidR="00EA5BD3" w:rsidRPr="0029055C" w14:paraId="095E3C3A" w14:textId="77777777" w:rsidTr="00EA5BD3">
        <w:trPr>
          <w:trHeight w:val="300"/>
        </w:trPr>
        <w:tc>
          <w:tcPr>
            <w:cnfStyle w:val="001000000000" w:firstRow="0" w:lastRow="0" w:firstColumn="1" w:lastColumn="0" w:oddVBand="0" w:evenVBand="0" w:oddHBand="0" w:evenHBand="0" w:firstRowFirstColumn="0" w:firstRowLastColumn="0" w:lastRowFirstColumn="0" w:lastRowLastColumn="0"/>
            <w:tcW w:w="567" w:type="pct"/>
            <w:noWrap/>
          </w:tcPr>
          <w:p w14:paraId="44447561" w14:textId="77777777" w:rsidR="00EA5BD3" w:rsidRPr="0029055C" w:rsidRDefault="00EA5BD3" w:rsidP="00EA5BD3">
            <w:pPr>
              <w:spacing w:before="0" w:after="0" w:line="240" w:lineRule="auto"/>
              <w:jc w:val="right"/>
              <w:rPr>
                <w:rFonts w:cs="Calibri"/>
                <w:b w:val="0"/>
                <w:color w:val="000000"/>
                <w:sz w:val="18"/>
                <w:szCs w:val="18"/>
              </w:rPr>
            </w:pPr>
          </w:p>
        </w:tc>
        <w:tc>
          <w:tcPr>
            <w:tcW w:w="604" w:type="pct"/>
            <w:noWrap/>
            <w:hideMark/>
          </w:tcPr>
          <w:p w14:paraId="1157EC9F" w14:textId="77777777" w:rsidR="00EA5BD3" w:rsidRPr="0029055C" w:rsidRDefault="00EA5BD3" w:rsidP="00EA5BD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00000"/>
                <w:sz w:val="18"/>
                <w:szCs w:val="18"/>
              </w:rPr>
            </w:pPr>
            <w:r w:rsidRPr="0029055C">
              <w:rPr>
                <w:rFonts w:cs="Calibri"/>
                <w:bCs/>
                <w:color w:val="000000"/>
                <w:sz w:val="18"/>
                <w:szCs w:val="18"/>
              </w:rPr>
              <w:t>Α.3.3.</w:t>
            </w:r>
          </w:p>
        </w:tc>
        <w:tc>
          <w:tcPr>
            <w:tcW w:w="821" w:type="pct"/>
            <w:noWrap/>
            <w:vAlign w:val="center"/>
            <w:hideMark/>
          </w:tcPr>
          <w:p w14:paraId="751D5631"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2.648.280,00</w:t>
            </w:r>
          </w:p>
        </w:tc>
        <w:tc>
          <w:tcPr>
            <w:tcW w:w="822" w:type="pct"/>
            <w:noWrap/>
            <w:vAlign w:val="center"/>
            <w:hideMark/>
          </w:tcPr>
          <w:p w14:paraId="01808C1E"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1.700.000,00</w:t>
            </w:r>
          </w:p>
        </w:tc>
        <w:tc>
          <w:tcPr>
            <w:tcW w:w="704" w:type="pct"/>
            <w:noWrap/>
            <w:vAlign w:val="center"/>
            <w:hideMark/>
          </w:tcPr>
          <w:p w14:paraId="3B8C072F" w14:textId="77777777" w:rsidR="00EA5BD3" w:rsidRPr="0029055C" w:rsidRDefault="00EA5BD3" w:rsidP="00A63C98">
            <w:pPr>
              <w:pStyle w:val="ListParagraph"/>
              <w:numPr>
                <w:ilvl w:val="0"/>
                <w:numId w:val="19"/>
              </w:numPr>
              <w:spacing w:before="0" w:after="0" w:line="240" w:lineRule="auto"/>
              <w:ind w:left="398" w:hanging="284"/>
              <w:jc w:val="lef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-35,8%</w:t>
            </w:r>
          </w:p>
        </w:tc>
        <w:tc>
          <w:tcPr>
            <w:tcW w:w="741" w:type="pct"/>
            <w:noWrap/>
            <w:hideMark/>
          </w:tcPr>
          <w:p w14:paraId="05FC56F8"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18,1%</w:t>
            </w:r>
          </w:p>
        </w:tc>
        <w:tc>
          <w:tcPr>
            <w:tcW w:w="741" w:type="pct"/>
            <w:noWrap/>
            <w:hideMark/>
          </w:tcPr>
          <w:p w14:paraId="3CA10C36"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22,1%</w:t>
            </w:r>
          </w:p>
        </w:tc>
      </w:tr>
      <w:tr w:rsidR="00EA5BD3" w:rsidRPr="0029055C" w14:paraId="469F1E0F" w14:textId="77777777" w:rsidTr="00A63C98">
        <w:trPr>
          <w:trHeight w:val="300"/>
        </w:trPr>
        <w:tc>
          <w:tcPr>
            <w:cnfStyle w:val="001000000000" w:firstRow="0" w:lastRow="0" w:firstColumn="1" w:lastColumn="0" w:oddVBand="0" w:evenVBand="0" w:oddHBand="0" w:evenHBand="0" w:firstRowFirstColumn="0" w:firstRowLastColumn="0" w:lastRowFirstColumn="0" w:lastRowLastColumn="0"/>
            <w:tcW w:w="1171" w:type="pct"/>
            <w:gridSpan w:val="2"/>
            <w:tcBorders>
              <w:bottom w:val="single" w:sz="4" w:space="0" w:color="92CDDC" w:themeColor="accent5" w:themeTint="99"/>
            </w:tcBorders>
            <w:shd w:val="clear" w:color="auto" w:fill="DAEEF3" w:themeFill="accent5" w:themeFillTint="33"/>
            <w:noWrap/>
            <w:vAlign w:val="center"/>
            <w:hideMark/>
          </w:tcPr>
          <w:p w14:paraId="7F3930EB" w14:textId="77777777" w:rsidR="00EA5BD3" w:rsidRPr="0029055C" w:rsidRDefault="00EA5BD3" w:rsidP="00EA5BD3">
            <w:pPr>
              <w:spacing w:before="0" w:after="0" w:line="240" w:lineRule="auto"/>
              <w:jc w:val="left"/>
              <w:rPr>
                <w:rFonts w:cs="Calibri"/>
                <w:color w:val="000000"/>
                <w:sz w:val="18"/>
                <w:szCs w:val="18"/>
              </w:rPr>
            </w:pPr>
            <w:r w:rsidRPr="0029055C">
              <w:rPr>
                <w:rFonts w:cs="Calibri"/>
                <w:color w:val="000000"/>
                <w:sz w:val="18"/>
                <w:szCs w:val="18"/>
              </w:rPr>
              <w:t>Σύνολο Α.3.</w:t>
            </w:r>
          </w:p>
        </w:tc>
        <w:tc>
          <w:tcPr>
            <w:tcW w:w="821" w:type="pct"/>
            <w:tcBorders>
              <w:bottom w:val="single" w:sz="4" w:space="0" w:color="92CDDC" w:themeColor="accent5" w:themeTint="99"/>
            </w:tcBorders>
            <w:shd w:val="clear" w:color="auto" w:fill="DAEEF3" w:themeFill="accent5" w:themeFillTint="33"/>
            <w:noWrap/>
            <w:vAlign w:val="center"/>
            <w:hideMark/>
          </w:tcPr>
          <w:p w14:paraId="50169BE2"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14.648.280,00</w:t>
            </w:r>
          </w:p>
        </w:tc>
        <w:tc>
          <w:tcPr>
            <w:tcW w:w="822" w:type="pct"/>
            <w:tcBorders>
              <w:bottom w:val="single" w:sz="4" w:space="0" w:color="92CDDC" w:themeColor="accent5" w:themeTint="99"/>
            </w:tcBorders>
            <w:shd w:val="clear" w:color="auto" w:fill="DAEEF3" w:themeFill="accent5" w:themeFillTint="33"/>
            <w:noWrap/>
            <w:vAlign w:val="center"/>
            <w:hideMark/>
          </w:tcPr>
          <w:p w14:paraId="0E671854"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7.700.000,00</w:t>
            </w:r>
          </w:p>
        </w:tc>
        <w:tc>
          <w:tcPr>
            <w:tcW w:w="704" w:type="pct"/>
            <w:tcBorders>
              <w:bottom w:val="single" w:sz="4" w:space="0" w:color="92CDDC" w:themeColor="accent5" w:themeTint="99"/>
            </w:tcBorders>
            <w:shd w:val="clear" w:color="auto" w:fill="DAEEF3" w:themeFill="accent5" w:themeFillTint="33"/>
            <w:noWrap/>
            <w:vAlign w:val="center"/>
            <w:hideMark/>
          </w:tcPr>
          <w:p w14:paraId="241CFF39" w14:textId="77777777" w:rsidR="00EA5BD3" w:rsidRPr="0029055C" w:rsidRDefault="00EA5BD3" w:rsidP="00A63C98">
            <w:pPr>
              <w:pStyle w:val="ListParagraph"/>
              <w:numPr>
                <w:ilvl w:val="0"/>
                <w:numId w:val="19"/>
              </w:numPr>
              <w:spacing w:before="0" w:after="0" w:line="240" w:lineRule="auto"/>
              <w:ind w:left="398" w:hanging="284"/>
              <w:jc w:val="left"/>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29055C">
              <w:rPr>
                <w:rFonts w:cs="Calibri"/>
                <w:b/>
                <w:color w:val="000000"/>
                <w:sz w:val="18"/>
                <w:szCs w:val="18"/>
              </w:rPr>
              <w:t>-47,4%</w:t>
            </w:r>
          </w:p>
        </w:tc>
        <w:tc>
          <w:tcPr>
            <w:tcW w:w="741" w:type="pct"/>
            <w:tcBorders>
              <w:bottom w:val="single" w:sz="4" w:space="0" w:color="92CDDC" w:themeColor="accent5" w:themeTint="99"/>
            </w:tcBorders>
            <w:shd w:val="clear" w:color="auto" w:fill="DAEEF3" w:themeFill="accent5" w:themeFillTint="33"/>
            <w:noWrap/>
            <w:vAlign w:val="center"/>
            <w:hideMark/>
          </w:tcPr>
          <w:p w14:paraId="0777E3BC" w14:textId="77777777" w:rsidR="00EA5BD3" w:rsidRPr="0029055C" w:rsidRDefault="00EA5BD3" w:rsidP="00A63C9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8,8%</w:t>
            </w:r>
          </w:p>
        </w:tc>
        <w:tc>
          <w:tcPr>
            <w:tcW w:w="741" w:type="pct"/>
            <w:tcBorders>
              <w:bottom w:val="single" w:sz="4" w:space="0" w:color="92CDDC" w:themeColor="accent5" w:themeTint="99"/>
            </w:tcBorders>
            <w:shd w:val="clear" w:color="auto" w:fill="DAEEF3" w:themeFill="accent5" w:themeFillTint="33"/>
            <w:noWrap/>
            <w:vAlign w:val="center"/>
            <w:hideMark/>
          </w:tcPr>
          <w:p w14:paraId="1D68555A" w14:textId="77777777" w:rsidR="00EA5BD3" w:rsidRPr="0029055C" w:rsidRDefault="00EA5BD3" w:rsidP="00A63C9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4,8%</w:t>
            </w:r>
          </w:p>
        </w:tc>
      </w:tr>
      <w:tr w:rsidR="00EA5BD3" w:rsidRPr="0029055C" w14:paraId="3A17C2AE" w14:textId="77777777" w:rsidTr="00F64B78">
        <w:trPr>
          <w:trHeight w:val="300"/>
        </w:trPr>
        <w:tc>
          <w:tcPr>
            <w:cnfStyle w:val="001000000000" w:firstRow="0" w:lastRow="0" w:firstColumn="1" w:lastColumn="0" w:oddVBand="0" w:evenVBand="0" w:oddHBand="0" w:evenHBand="0" w:firstRowFirstColumn="0" w:firstRowLastColumn="0" w:lastRowFirstColumn="0" w:lastRowLastColumn="0"/>
            <w:tcW w:w="1171" w:type="pct"/>
            <w:gridSpan w:val="2"/>
            <w:tcBorders>
              <w:right w:val="single" w:sz="4" w:space="0" w:color="FFFFFF" w:themeColor="background1"/>
            </w:tcBorders>
            <w:shd w:val="clear" w:color="auto" w:fill="92CDDC" w:themeFill="accent5" w:themeFillTint="99"/>
            <w:noWrap/>
            <w:vAlign w:val="center"/>
            <w:hideMark/>
          </w:tcPr>
          <w:p w14:paraId="61510069" w14:textId="77777777" w:rsidR="00EA5BD3" w:rsidRPr="0029055C" w:rsidRDefault="00EA5BD3" w:rsidP="00EA5BD3">
            <w:pPr>
              <w:spacing w:before="0" w:after="0" w:line="240" w:lineRule="auto"/>
              <w:jc w:val="left"/>
              <w:rPr>
                <w:rFonts w:cs="Calibri"/>
                <w:b w:val="0"/>
                <w:bCs w:val="0"/>
                <w:color w:val="000000"/>
                <w:sz w:val="18"/>
                <w:szCs w:val="18"/>
              </w:rPr>
            </w:pPr>
            <w:r w:rsidRPr="0029055C">
              <w:rPr>
                <w:rFonts w:cs="Calibri"/>
                <w:color w:val="000000"/>
                <w:sz w:val="18"/>
                <w:szCs w:val="18"/>
              </w:rPr>
              <w:t xml:space="preserve">Σύνολο ΘΑ </w:t>
            </w:r>
            <w:r w:rsidR="005B45B3" w:rsidRPr="0029055C">
              <w:rPr>
                <w:rFonts w:cs="Calibri"/>
                <w:color w:val="000000"/>
                <w:sz w:val="18"/>
                <w:szCs w:val="18"/>
              </w:rPr>
              <w:t>Ι</w:t>
            </w:r>
          </w:p>
        </w:tc>
        <w:tc>
          <w:tcPr>
            <w:tcW w:w="821" w:type="pct"/>
            <w:tcBorders>
              <w:left w:val="single" w:sz="4" w:space="0" w:color="FFFFFF" w:themeColor="background1"/>
              <w:right w:val="single" w:sz="4" w:space="0" w:color="FFFFFF" w:themeColor="background1"/>
            </w:tcBorders>
            <w:shd w:val="clear" w:color="auto" w:fill="92CDDC" w:themeFill="accent5" w:themeFillTint="99"/>
            <w:noWrap/>
            <w:vAlign w:val="center"/>
            <w:hideMark/>
          </w:tcPr>
          <w:p w14:paraId="7B89A99D"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167.242.215,00</w:t>
            </w:r>
          </w:p>
        </w:tc>
        <w:tc>
          <w:tcPr>
            <w:tcW w:w="822" w:type="pct"/>
            <w:tcBorders>
              <w:left w:val="single" w:sz="4" w:space="0" w:color="FFFFFF" w:themeColor="background1"/>
              <w:right w:val="single" w:sz="4" w:space="0" w:color="FFFFFF" w:themeColor="background1"/>
            </w:tcBorders>
            <w:shd w:val="clear" w:color="auto" w:fill="92CDDC" w:themeFill="accent5" w:themeFillTint="99"/>
            <w:noWrap/>
            <w:vAlign w:val="center"/>
            <w:hideMark/>
          </w:tcPr>
          <w:p w14:paraId="6B3CD455" w14:textId="77777777" w:rsidR="00EA5BD3" w:rsidRPr="0029055C" w:rsidRDefault="00EA5BD3" w:rsidP="00EA5BD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160.293.935,00</w:t>
            </w:r>
          </w:p>
        </w:tc>
        <w:tc>
          <w:tcPr>
            <w:tcW w:w="704" w:type="pct"/>
            <w:tcBorders>
              <w:left w:val="single" w:sz="4" w:space="0" w:color="FFFFFF" w:themeColor="background1"/>
              <w:right w:val="single" w:sz="4" w:space="0" w:color="FFFFFF" w:themeColor="background1"/>
            </w:tcBorders>
            <w:shd w:val="clear" w:color="auto" w:fill="92CDDC" w:themeFill="accent5" w:themeFillTint="99"/>
            <w:noWrap/>
            <w:vAlign w:val="center"/>
            <w:hideMark/>
          </w:tcPr>
          <w:p w14:paraId="17AABB17" w14:textId="77777777" w:rsidR="00EA5BD3" w:rsidRPr="0029055C" w:rsidRDefault="00A63C98" w:rsidP="00A63C98">
            <w:pPr>
              <w:pStyle w:val="ListParagraph"/>
              <w:numPr>
                <w:ilvl w:val="0"/>
                <w:numId w:val="19"/>
              </w:numPr>
              <w:spacing w:before="0" w:after="0" w:line="240" w:lineRule="auto"/>
              <w:ind w:left="398" w:hanging="284"/>
              <w:jc w:val="left"/>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29055C">
              <w:rPr>
                <w:rFonts w:cs="Calibri"/>
                <w:b/>
                <w:color w:val="000000"/>
                <w:sz w:val="18"/>
                <w:szCs w:val="18"/>
              </w:rPr>
              <w:t xml:space="preserve">  </w:t>
            </w:r>
            <w:r w:rsidR="00EA5BD3" w:rsidRPr="0029055C">
              <w:rPr>
                <w:rFonts w:cs="Calibri"/>
                <w:b/>
                <w:color w:val="000000"/>
                <w:sz w:val="18"/>
                <w:szCs w:val="18"/>
              </w:rPr>
              <w:t>-</w:t>
            </w:r>
            <w:r w:rsidRPr="0029055C">
              <w:rPr>
                <w:rFonts w:cs="Calibri"/>
                <w:b/>
                <w:color w:val="000000"/>
                <w:sz w:val="18"/>
                <w:szCs w:val="18"/>
              </w:rPr>
              <w:t>4</w:t>
            </w:r>
            <w:r w:rsidR="00EA5BD3" w:rsidRPr="0029055C">
              <w:rPr>
                <w:rFonts w:cs="Calibri"/>
                <w:b/>
                <w:color w:val="000000"/>
                <w:sz w:val="18"/>
                <w:szCs w:val="18"/>
              </w:rPr>
              <w:t>,2%</w:t>
            </w:r>
          </w:p>
        </w:tc>
        <w:tc>
          <w:tcPr>
            <w:tcW w:w="741" w:type="pct"/>
            <w:tcBorders>
              <w:left w:val="single" w:sz="4" w:space="0" w:color="FFFFFF" w:themeColor="background1"/>
              <w:right w:val="single" w:sz="4" w:space="0" w:color="FFFFFF" w:themeColor="background1"/>
            </w:tcBorders>
            <w:shd w:val="clear" w:color="auto" w:fill="92CDDC" w:themeFill="accent5" w:themeFillTint="99"/>
            <w:noWrap/>
            <w:vAlign w:val="center"/>
            <w:hideMark/>
          </w:tcPr>
          <w:p w14:paraId="0BD81EBA" w14:textId="77777777" w:rsidR="00EA5BD3" w:rsidRPr="0029055C" w:rsidRDefault="00EA5BD3" w:rsidP="00F64B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32,4%</w:t>
            </w:r>
          </w:p>
        </w:tc>
        <w:tc>
          <w:tcPr>
            <w:tcW w:w="741" w:type="pct"/>
            <w:tcBorders>
              <w:left w:val="single" w:sz="4" w:space="0" w:color="FFFFFF" w:themeColor="background1"/>
            </w:tcBorders>
            <w:shd w:val="clear" w:color="auto" w:fill="92CDDC" w:themeFill="accent5" w:themeFillTint="99"/>
            <w:noWrap/>
            <w:vAlign w:val="center"/>
            <w:hideMark/>
          </w:tcPr>
          <w:p w14:paraId="7D1F6FFA" w14:textId="77777777" w:rsidR="00EA5BD3" w:rsidRPr="0029055C" w:rsidRDefault="00EA5BD3" w:rsidP="00F64B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26,9%</w:t>
            </w:r>
          </w:p>
        </w:tc>
      </w:tr>
    </w:tbl>
    <w:p w14:paraId="3C94669A" w14:textId="77777777" w:rsidR="00E07D08" w:rsidRPr="0029055C" w:rsidRDefault="00E07D08" w:rsidP="00240C75">
      <w:pPr>
        <w:spacing w:line="300" w:lineRule="atLeast"/>
        <w:rPr>
          <w:rFonts w:cs="Arial"/>
          <w:color w:val="000000"/>
          <w:sz w:val="22"/>
        </w:rPr>
      </w:pPr>
      <w:r w:rsidRPr="0029055C">
        <w:rPr>
          <w:rFonts w:cs="Arial"/>
          <w:color w:val="000000"/>
          <w:sz w:val="22"/>
        </w:rPr>
        <w:t>Αναφορικά με το σύστημα δεικτών του ΘΑ Ι</w:t>
      </w:r>
      <w:r w:rsidR="00240C75" w:rsidRPr="0029055C">
        <w:rPr>
          <w:rFonts w:cs="Arial"/>
          <w:color w:val="000000"/>
          <w:sz w:val="22"/>
        </w:rPr>
        <w:t xml:space="preserve">, πέρα από την επικαιροποίηση των δράσεων που τροφοδοτούν τους επιμέρους δείκτες με βάση την πρόοδο εξειδίκευσης και εφαρμογής του Προγράμματος, </w:t>
      </w:r>
      <w:r w:rsidRPr="0029055C">
        <w:rPr>
          <w:rFonts w:cs="Arial"/>
          <w:color w:val="000000"/>
          <w:sz w:val="22"/>
        </w:rPr>
        <w:t xml:space="preserve">προτείνονται </w:t>
      </w:r>
      <w:r w:rsidR="00240C75" w:rsidRPr="0029055C">
        <w:rPr>
          <w:rFonts w:cs="Arial"/>
          <w:color w:val="000000"/>
          <w:sz w:val="22"/>
        </w:rPr>
        <w:t xml:space="preserve">και </w:t>
      </w:r>
      <w:r w:rsidRPr="0029055C">
        <w:rPr>
          <w:rFonts w:cs="Arial"/>
          <w:color w:val="000000"/>
          <w:sz w:val="22"/>
        </w:rPr>
        <w:t>οι ακόλουθες τροποποιήσεις:</w:t>
      </w:r>
    </w:p>
    <w:p w14:paraId="2430F02C" w14:textId="77777777" w:rsidR="00206ECA" w:rsidRPr="0029055C" w:rsidRDefault="00206ECA" w:rsidP="00206ECA">
      <w:pPr>
        <w:pStyle w:val="Heading5"/>
      </w:pPr>
      <w:r w:rsidRPr="0029055C">
        <w:t>Δείκτες Αποτελέσματος</w:t>
      </w:r>
    </w:p>
    <w:p w14:paraId="047A93BE" w14:textId="77777777" w:rsidR="00E07D08" w:rsidRPr="0029055C" w:rsidRDefault="00E07D08" w:rsidP="00206ECA">
      <w:pPr>
        <w:pStyle w:val="Heading6"/>
      </w:pPr>
      <w:r w:rsidRPr="0029055C">
        <w:t>Τ4605: Αριθμός επιτελικών λειτουργιών της Δημόσιας Διοίκησης που ενισχύονται</w:t>
      </w:r>
    </w:p>
    <w:p w14:paraId="6D8285A3" w14:textId="77777777" w:rsidR="00240C75" w:rsidRPr="0029055C" w:rsidRDefault="00240C75" w:rsidP="00240C75">
      <w:pPr>
        <w:spacing w:line="300" w:lineRule="atLeast"/>
        <w:rPr>
          <w:rFonts w:cs="Arial"/>
          <w:color w:val="000000"/>
          <w:sz w:val="22"/>
        </w:rPr>
      </w:pPr>
      <w:r w:rsidRPr="0029055C">
        <w:rPr>
          <w:rFonts w:cs="Arial"/>
          <w:b/>
          <w:color w:val="000000"/>
          <w:sz w:val="22"/>
        </w:rPr>
        <w:t>Μείωση της τιμής στόχου του δείκτη για το 2023 από 8 σε 6,</w:t>
      </w:r>
      <w:r w:rsidRPr="0029055C">
        <w:rPr>
          <w:rFonts w:cs="Arial"/>
          <w:color w:val="000000"/>
          <w:sz w:val="22"/>
        </w:rPr>
        <w:t xml:space="preserve"> λαμβάνοντας υπόψη ότι η τιμή βάσης (2) δεν συμπεριλαμβάνεται στην τιμή στόχου.</w:t>
      </w:r>
    </w:p>
    <w:p w14:paraId="434D9F19" w14:textId="77777777" w:rsidR="00206ECA" w:rsidRPr="0029055C" w:rsidRDefault="00206ECA" w:rsidP="00206ECA">
      <w:pPr>
        <w:pStyle w:val="Heading6"/>
      </w:pPr>
      <w:r w:rsidRPr="0029055C">
        <w:t>Τ4607: Αριθμός φορέων του δημόσιου τομέα που εφαρμόζουν απλοποιημένες εσωτερικές διαδικασίες</w:t>
      </w:r>
    </w:p>
    <w:p w14:paraId="13DD56AE" w14:textId="77777777" w:rsidR="00206ECA" w:rsidRPr="0029055C" w:rsidRDefault="00206ECA" w:rsidP="00240C75">
      <w:pPr>
        <w:spacing w:line="300" w:lineRule="atLeast"/>
        <w:rPr>
          <w:rFonts w:cs="Arial"/>
          <w:color w:val="000000"/>
          <w:sz w:val="22"/>
        </w:rPr>
      </w:pPr>
      <w:r w:rsidRPr="0029055C">
        <w:rPr>
          <w:rFonts w:cs="Arial"/>
          <w:color w:val="000000"/>
          <w:sz w:val="22"/>
        </w:rPr>
        <w:t xml:space="preserve">Στο πλαίσιο της 2ης Αναθεώρησης του Προγράμματος, προτείνεται η </w:t>
      </w:r>
      <w:r w:rsidRPr="0029055C">
        <w:rPr>
          <w:rFonts w:cs="Arial"/>
          <w:b/>
          <w:color w:val="000000"/>
          <w:sz w:val="22"/>
        </w:rPr>
        <w:t>μείωση της τιμής στόχου του δείκτη για το 2023 από 363 σε 356</w:t>
      </w:r>
      <w:r w:rsidRPr="0029055C">
        <w:rPr>
          <w:rFonts w:cs="Arial"/>
          <w:color w:val="000000"/>
          <w:sz w:val="22"/>
        </w:rPr>
        <w:t xml:space="preserve">. Η αρχική τιμή στόχος του δείκτη αφορούσε στην υλοποίηση δράσεων απλούστευσης εσωτερικών διαδικασιών σε 18 Υπουργεία, 7 Αποκεντρωμένες Διοικήσεις, </w:t>
      </w:r>
      <w:r w:rsidRPr="0029055C">
        <w:rPr>
          <w:rFonts w:cs="Arial"/>
          <w:color w:val="000000"/>
          <w:sz w:val="22"/>
        </w:rPr>
        <w:lastRenderedPageBreak/>
        <w:t>13 Περιφέρειες και 325 Δήμους. Με βάση τη νέα προσέγγιση του ΥΠΕΣ για την εφαρμογή ενός ολοκληρωμένου προγράμματος αναδιοργάνωσης και διοικητικής μεταρρύθμισης της Τοπικής Αυτοδιοίκησης α’ και β’ βαθμού, στο πλαίσιο του οποίου το ΕΠ ΜΔΤ θα χρηματοδοτήσει δράσεις στις Περιφέρειες και στους Δήμους, προτείνεται η απαλοιφή των 7 Αποκεντρωμένων Διοικήσεων από την τιμή στόχου του δείκτη.</w:t>
      </w:r>
    </w:p>
    <w:p w14:paraId="2D530776" w14:textId="77777777" w:rsidR="00206ECA" w:rsidRPr="0029055C" w:rsidRDefault="00206ECA" w:rsidP="00206ECA">
      <w:pPr>
        <w:pStyle w:val="Heading6"/>
      </w:pPr>
      <w:r w:rsidRPr="0029055C">
        <w:t>Τ4610: Αριθμός φορέων του δημόσιου τομέα που εφαρμόζουν συστήματα εσωτερικού ελέγχου</w:t>
      </w:r>
    </w:p>
    <w:p w14:paraId="655200D3" w14:textId="77777777" w:rsidR="00206ECA" w:rsidRPr="0029055C" w:rsidRDefault="00206ECA" w:rsidP="00240C75">
      <w:pPr>
        <w:spacing w:line="300" w:lineRule="atLeast"/>
        <w:rPr>
          <w:rFonts w:cs="Arial"/>
          <w:color w:val="000000"/>
          <w:sz w:val="22"/>
        </w:rPr>
      </w:pPr>
      <w:r w:rsidRPr="0029055C">
        <w:rPr>
          <w:rFonts w:cs="Arial"/>
          <w:color w:val="000000"/>
          <w:sz w:val="22"/>
        </w:rPr>
        <w:t xml:space="preserve">Στο πλαίσιο της 2ης Αναθεώρησης του Προγράμματος, προτείνεται η </w:t>
      </w:r>
      <w:r w:rsidRPr="0029055C">
        <w:rPr>
          <w:rFonts w:cs="Arial"/>
          <w:b/>
          <w:color w:val="000000"/>
          <w:sz w:val="22"/>
        </w:rPr>
        <w:t xml:space="preserve">αφαίρεση του δείκτη </w:t>
      </w:r>
      <w:r w:rsidRPr="0029055C">
        <w:rPr>
          <w:rFonts w:cs="Arial"/>
          <w:color w:val="000000"/>
          <w:sz w:val="22"/>
        </w:rPr>
        <w:t xml:space="preserve">Τ4610 από το σύστημα δεικτών του ΕΠ ΜΔΤ, δεδομένου ότι στον πρόσφατο ανασχεδιασμό της δομής 16 Υπουργείων (Π.Δ. έτους 2017 &amp; 2018) προβλέφθηκαν αυτοτελή τμήματα εσωτερικού ελέγχου σε κάθε Υπουργείο, για την οργάνωση και λειτουργία των οποίων δεν έχει προταθεί εξειδίκευση σχετικής δράσης προς συγχρηματοδότηση  από το Πρόγραμμα. </w:t>
      </w:r>
    </w:p>
    <w:p w14:paraId="15F67905" w14:textId="77777777" w:rsidR="00206ECA" w:rsidRPr="0029055C" w:rsidRDefault="00206ECA" w:rsidP="00206ECA">
      <w:pPr>
        <w:pStyle w:val="Heading5"/>
      </w:pPr>
      <w:r w:rsidRPr="0029055C">
        <w:t>Δείκτες Εκροής</w:t>
      </w:r>
    </w:p>
    <w:p w14:paraId="2B8D6A8B" w14:textId="77777777" w:rsidR="00206ECA" w:rsidRPr="0029055C" w:rsidRDefault="00206ECA" w:rsidP="00206ECA">
      <w:pPr>
        <w:pStyle w:val="Heading6"/>
      </w:pPr>
      <w:r w:rsidRPr="0029055C">
        <w:t>Τ4615: Αριθμός έργων επαναοριοθέτησης αρμοδιοτήτων των τεσσάρων επιπέδων διοίκησης</w:t>
      </w:r>
    </w:p>
    <w:p w14:paraId="6B3D1309" w14:textId="77777777" w:rsidR="00206ECA" w:rsidRPr="0029055C" w:rsidRDefault="00206ECA" w:rsidP="00206ECA">
      <w:pPr>
        <w:spacing w:line="300" w:lineRule="atLeast"/>
        <w:rPr>
          <w:rFonts w:cs="Arial"/>
          <w:color w:val="000000"/>
          <w:sz w:val="22"/>
        </w:rPr>
      </w:pPr>
      <w:r w:rsidRPr="0029055C">
        <w:rPr>
          <w:rFonts w:cs="Arial"/>
          <w:color w:val="000000"/>
          <w:sz w:val="22"/>
        </w:rPr>
        <w:t xml:space="preserve">Η τιμή στόχος του δείκτη για το έτος 2023 ήταν αρχικά 6 με μέσο κόστος υλοποίησης 250.000 € ανά έργο. Λαμβάνοντας υπόψη την πρόοδο εξειδίκευσης και εφαρμογής των σχετικών δράσεων στο πλαίσιο του ΕΠ ΜΔΤ 2014-2020, προτείνεται </w:t>
      </w:r>
      <w:r w:rsidRPr="0029055C">
        <w:rPr>
          <w:rFonts w:cs="Arial"/>
          <w:b/>
          <w:color w:val="000000"/>
          <w:sz w:val="22"/>
        </w:rPr>
        <w:t>μείωση του στόχου του συγκεκριμένου δείκτη για το 2023 σε 4</w:t>
      </w:r>
      <w:r w:rsidRPr="0029055C">
        <w:rPr>
          <w:rFonts w:cs="Arial"/>
          <w:color w:val="000000"/>
          <w:sz w:val="22"/>
        </w:rPr>
        <w:t xml:space="preserve">, χωρίς να μεταβληθεί το εκτιμώμενο μέσο κόστος ανά έργο. </w:t>
      </w:r>
    </w:p>
    <w:p w14:paraId="2110377C" w14:textId="77777777" w:rsidR="00854045" w:rsidRPr="0029055C" w:rsidRDefault="00854045" w:rsidP="00206ECA">
      <w:pPr>
        <w:pStyle w:val="Heading6"/>
      </w:pPr>
      <w:r w:rsidRPr="0029055C">
        <w:t>Τ4618: Αριθμός έργων κωδικοποίησης θεσμικού και νομοθετικού πλαισίου</w:t>
      </w:r>
    </w:p>
    <w:p w14:paraId="062D433A" w14:textId="77777777" w:rsidR="00E07D08" w:rsidRPr="0029055C" w:rsidRDefault="00854045" w:rsidP="00854045">
      <w:pPr>
        <w:spacing w:line="300" w:lineRule="atLeast"/>
        <w:rPr>
          <w:rFonts w:cs="Arial"/>
          <w:color w:val="000000"/>
          <w:sz w:val="22"/>
        </w:rPr>
      </w:pPr>
      <w:r w:rsidRPr="0029055C">
        <w:rPr>
          <w:rFonts w:cs="Arial"/>
          <w:color w:val="000000"/>
          <w:sz w:val="22"/>
        </w:rPr>
        <w:t xml:space="preserve">Για τον συγκεκριμένο δείκτη, ο οποίος περιλαμβάνεται και στο Πλαίσιο Επιδόσεων του ΕΠ ΜΔΤ, προτείνεται </w:t>
      </w:r>
      <w:r w:rsidRPr="0029055C">
        <w:rPr>
          <w:rFonts w:cs="Arial"/>
          <w:b/>
          <w:color w:val="000000"/>
          <w:sz w:val="22"/>
        </w:rPr>
        <w:t>μείωση του συνολικού ποσού της χρηματοδοτικής κατανομής των δράσεων κωδικοποίησης της νομοθεσίας και μείωσης της πολυνομίας και κακονομίας</w:t>
      </w:r>
      <w:r w:rsidRPr="0029055C">
        <w:rPr>
          <w:rFonts w:cs="Arial"/>
          <w:color w:val="000000"/>
          <w:sz w:val="22"/>
        </w:rPr>
        <w:t xml:space="preserve">, οι οποίες συμβάλλουν στη διαμόρφωση του δείκτη, με βάση το κόστος των σχετικών έργων που υλοποιούνται στο πλαίσιο του ΕΠ ΜΔΤ 2014-2020, χωρίς να μεταβληθεί </w:t>
      </w:r>
      <w:r w:rsidR="00976BC8" w:rsidRPr="0029055C">
        <w:rPr>
          <w:rFonts w:cs="Arial"/>
          <w:color w:val="000000"/>
          <w:sz w:val="22"/>
        </w:rPr>
        <w:t xml:space="preserve">η στοχοθεσία </w:t>
      </w:r>
      <w:r w:rsidRPr="0029055C">
        <w:rPr>
          <w:rFonts w:cs="Arial"/>
          <w:color w:val="000000"/>
          <w:sz w:val="22"/>
        </w:rPr>
        <w:t xml:space="preserve">του δείκτη </w:t>
      </w:r>
      <w:r w:rsidR="00976BC8" w:rsidRPr="0029055C">
        <w:rPr>
          <w:rFonts w:cs="Arial"/>
          <w:color w:val="000000"/>
          <w:sz w:val="22"/>
        </w:rPr>
        <w:t xml:space="preserve">(8 για το </w:t>
      </w:r>
      <w:r w:rsidRPr="0029055C">
        <w:rPr>
          <w:rFonts w:cs="Arial"/>
          <w:color w:val="000000"/>
          <w:sz w:val="22"/>
        </w:rPr>
        <w:t>έτος 20</w:t>
      </w:r>
      <w:r w:rsidR="00976BC8" w:rsidRPr="0029055C">
        <w:rPr>
          <w:rFonts w:cs="Arial"/>
          <w:color w:val="000000"/>
          <w:sz w:val="22"/>
        </w:rPr>
        <w:t>18 και 12 για το έτος 20</w:t>
      </w:r>
      <w:r w:rsidRPr="0029055C">
        <w:rPr>
          <w:rFonts w:cs="Arial"/>
          <w:color w:val="000000"/>
          <w:sz w:val="22"/>
        </w:rPr>
        <w:t>23). Το νέο εκτιμώμενο μοναδιαίο κόστος των σχετικών έργων ανέρχεται σε 670.000 € (από 800.000 €).</w:t>
      </w:r>
    </w:p>
    <w:p w14:paraId="1178BDDF" w14:textId="77777777" w:rsidR="002A7863" w:rsidRPr="0029055C" w:rsidRDefault="002A7863" w:rsidP="00206ECA">
      <w:pPr>
        <w:pStyle w:val="Heading6"/>
      </w:pPr>
      <w:r w:rsidRPr="0029055C">
        <w:t>Τ4619: Αριθμός εποπτευόμενων φορέων δημόσιου τομέα που αξιολογούνται</w:t>
      </w:r>
    </w:p>
    <w:p w14:paraId="6018D785" w14:textId="77777777" w:rsidR="002A7863" w:rsidRPr="0029055C" w:rsidRDefault="002A7863" w:rsidP="00854045">
      <w:pPr>
        <w:spacing w:line="300" w:lineRule="atLeast"/>
        <w:rPr>
          <w:rFonts w:cs="Arial"/>
          <w:color w:val="000000"/>
          <w:sz w:val="22"/>
        </w:rPr>
      </w:pPr>
      <w:r w:rsidRPr="0029055C">
        <w:rPr>
          <w:rFonts w:cs="Arial"/>
          <w:color w:val="000000"/>
          <w:sz w:val="22"/>
        </w:rPr>
        <w:t xml:space="preserve">Λαμβάνοντας υπόψη τη νέα προσέγγιση του ΥΠΕΣ για την εφαρμογή ενός ολοκληρωμένου προγράμματος αναδιοργάνωσης και διοικητικής μεταρρύθμισης της Τοπικής Αυτοδιοίκησης α’ και β’ βαθμού, στο πλαίσιο του οποίου το ΕΠ ΜΔΤ θα χρηματοδοτήσει την </w:t>
      </w:r>
      <w:r w:rsidRPr="0029055C">
        <w:rPr>
          <w:rFonts w:cs="Arial"/>
          <w:color w:val="000000"/>
          <w:sz w:val="22"/>
          <w:u w:val="single"/>
        </w:rPr>
        <w:t>πιλοτική εφαρμογή</w:t>
      </w:r>
      <w:r w:rsidRPr="0029055C">
        <w:rPr>
          <w:rFonts w:cs="Arial"/>
          <w:color w:val="000000"/>
          <w:sz w:val="22"/>
        </w:rPr>
        <w:t xml:space="preserve"> του σε 3 Περιφέρειες και 12 Δήμους, προτείνεται η </w:t>
      </w:r>
      <w:r w:rsidRPr="0029055C">
        <w:rPr>
          <w:rFonts w:cs="Arial"/>
          <w:b/>
          <w:color w:val="000000"/>
          <w:sz w:val="22"/>
        </w:rPr>
        <w:t>μείωση της τιμής στόχου του δείκτη από 445 σε 195</w:t>
      </w:r>
      <w:r w:rsidRPr="0029055C">
        <w:rPr>
          <w:rFonts w:cs="Arial"/>
          <w:color w:val="000000"/>
          <w:sz w:val="22"/>
        </w:rPr>
        <w:t>.</w:t>
      </w:r>
    </w:p>
    <w:p w14:paraId="3410FC68" w14:textId="77777777" w:rsidR="00D64C70" w:rsidRPr="0029055C" w:rsidRDefault="00D64C70" w:rsidP="00206ECA">
      <w:pPr>
        <w:pStyle w:val="Heading6"/>
      </w:pPr>
      <w:r w:rsidRPr="0029055C">
        <w:t>Τ4620: Αριθμός έργων απλοποίησης εσωτερικών διαδικασιών φορέων του δημοσίου τομέα</w:t>
      </w:r>
    </w:p>
    <w:p w14:paraId="0AAFFBA0" w14:textId="77777777" w:rsidR="00D64C70" w:rsidRPr="0029055C" w:rsidRDefault="00D64C70" w:rsidP="00854045">
      <w:pPr>
        <w:spacing w:line="300" w:lineRule="atLeast"/>
        <w:rPr>
          <w:rFonts w:cs="Arial"/>
          <w:color w:val="000000"/>
          <w:sz w:val="22"/>
        </w:rPr>
      </w:pPr>
      <w:r w:rsidRPr="0029055C">
        <w:rPr>
          <w:rFonts w:cs="Arial"/>
          <w:color w:val="000000"/>
          <w:sz w:val="22"/>
        </w:rPr>
        <w:t xml:space="preserve">Για τον συγκεκριμένο δείκτη, ο οποίος περιλαμβάνεται και στο Πλαίσιο Επιδόσεων του ΕΠ ΜΔΤ, προτείνεται </w:t>
      </w:r>
      <w:r w:rsidRPr="0029055C">
        <w:rPr>
          <w:rFonts w:cs="Arial"/>
          <w:b/>
          <w:color w:val="000000"/>
          <w:sz w:val="22"/>
        </w:rPr>
        <w:t>αύξηση της τιμής στόχου για το 2023</w:t>
      </w:r>
      <w:r w:rsidRPr="0029055C">
        <w:rPr>
          <w:rFonts w:cs="Arial"/>
          <w:color w:val="000000"/>
          <w:sz w:val="22"/>
        </w:rPr>
        <w:t xml:space="preserve">, από 20 σε </w:t>
      </w:r>
      <w:r w:rsidRPr="0029055C">
        <w:rPr>
          <w:rFonts w:cs="Arial"/>
          <w:b/>
          <w:color w:val="000000"/>
          <w:sz w:val="22"/>
        </w:rPr>
        <w:t>30</w:t>
      </w:r>
      <w:r w:rsidRPr="0029055C">
        <w:rPr>
          <w:rFonts w:cs="Arial"/>
          <w:color w:val="000000"/>
          <w:sz w:val="22"/>
        </w:rPr>
        <w:t>, διατηρώντας  με το ίδιο μέσο κόστος υλοποίησης (1.500.000 €) και με ανάλογη αύξηση των διαθέσιμων πόρων για δράσεις απλοποίησης εσωτερικών διαδικασιών φορέων του Δημόσιου Τομέα, λαμβάνοντας υπόψη το βαθμό εξειδίκευσης, την ωριμότητα και την πρόοδο υλοποίησης σχετικών δράσεων.</w:t>
      </w:r>
    </w:p>
    <w:p w14:paraId="1C54D470" w14:textId="77777777" w:rsidR="00B721DF" w:rsidRPr="0029055C" w:rsidRDefault="00B721DF" w:rsidP="00206ECA">
      <w:pPr>
        <w:pStyle w:val="Heading6"/>
      </w:pPr>
      <w:r w:rsidRPr="0029055C">
        <w:lastRenderedPageBreak/>
        <w:t xml:space="preserve">Τ4622: Αριθμός έργων εισαγωγής συστημάτων στοχοθεσίας και αξιολόγησης σε φορείς του δημόσιου τομέα </w:t>
      </w:r>
    </w:p>
    <w:p w14:paraId="7D667FB6" w14:textId="77777777" w:rsidR="00D64C70" w:rsidRPr="0029055C" w:rsidRDefault="00B721DF" w:rsidP="00854045">
      <w:pPr>
        <w:spacing w:line="300" w:lineRule="atLeast"/>
        <w:rPr>
          <w:rFonts w:cs="Arial"/>
          <w:color w:val="000000"/>
          <w:sz w:val="22"/>
        </w:rPr>
      </w:pPr>
      <w:r w:rsidRPr="0029055C">
        <w:rPr>
          <w:rFonts w:cs="Arial"/>
          <w:color w:val="000000"/>
          <w:sz w:val="22"/>
        </w:rPr>
        <w:t xml:space="preserve">Στο πλαίσιο της 2ης Αναθεώρησης του Προγράμματος προτείνεται </w:t>
      </w:r>
      <w:r w:rsidR="00CC33FB" w:rsidRPr="0029055C">
        <w:rPr>
          <w:rFonts w:cs="Arial"/>
          <w:b/>
          <w:color w:val="000000"/>
          <w:sz w:val="22"/>
        </w:rPr>
        <w:t>επαναδιατύπωση του δείκτη</w:t>
      </w:r>
      <w:r w:rsidR="00CC33FB" w:rsidRPr="0029055C">
        <w:rPr>
          <w:rFonts w:cs="Arial"/>
          <w:color w:val="000000"/>
          <w:sz w:val="22"/>
        </w:rPr>
        <w:t xml:space="preserve"> </w:t>
      </w:r>
      <w:r w:rsidRPr="0029055C">
        <w:rPr>
          <w:rFonts w:cs="Arial"/>
          <w:color w:val="000000"/>
          <w:sz w:val="22"/>
        </w:rPr>
        <w:t xml:space="preserve">σε </w:t>
      </w:r>
      <w:r w:rsidRPr="0029055C">
        <w:rPr>
          <w:rFonts w:cs="Arial"/>
          <w:b/>
          <w:i/>
          <w:color w:val="000000"/>
          <w:sz w:val="22"/>
        </w:rPr>
        <w:t>«Αριθμός φορέων του δημόσιου τομέα που εισάγουν συστήματα στοχοθεσίας και αξιολόγησης»</w:t>
      </w:r>
      <w:r w:rsidR="00CC33FB" w:rsidRPr="0029055C">
        <w:rPr>
          <w:rFonts w:cs="Arial"/>
          <w:b/>
          <w:color w:val="000000"/>
          <w:sz w:val="22"/>
        </w:rPr>
        <w:t>,</w:t>
      </w:r>
      <w:r w:rsidR="00CC33FB" w:rsidRPr="0029055C">
        <w:rPr>
          <w:rFonts w:cs="Arial"/>
          <w:color w:val="000000"/>
          <w:sz w:val="22"/>
        </w:rPr>
        <w:t xml:space="preserve"> προκειμένου να προσδιορίζει με ακρίβεια το</w:t>
      </w:r>
      <w:r w:rsidR="000177BF" w:rsidRPr="0029055C">
        <w:rPr>
          <w:rFonts w:cs="Arial"/>
          <w:color w:val="000000"/>
          <w:sz w:val="22"/>
        </w:rPr>
        <w:t>ν ορισμό και τη μέθοδο υπολογισμού του.</w:t>
      </w:r>
      <w:r w:rsidR="00CC33FB" w:rsidRPr="0029055C">
        <w:rPr>
          <w:rFonts w:cs="Arial"/>
          <w:color w:val="000000"/>
          <w:sz w:val="22"/>
        </w:rPr>
        <w:t xml:space="preserve"> </w:t>
      </w:r>
    </w:p>
    <w:p w14:paraId="603E5DB4" w14:textId="77777777" w:rsidR="000177BF" w:rsidRPr="0029055C" w:rsidRDefault="000177BF" w:rsidP="00854045">
      <w:pPr>
        <w:spacing w:line="300" w:lineRule="atLeast"/>
        <w:rPr>
          <w:rFonts w:cs="Arial"/>
          <w:color w:val="000000"/>
          <w:sz w:val="22"/>
        </w:rPr>
      </w:pPr>
      <w:r w:rsidRPr="0029055C">
        <w:rPr>
          <w:rFonts w:cs="Arial"/>
          <w:color w:val="000000"/>
          <w:sz w:val="22"/>
        </w:rPr>
        <w:t xml:space="preserve">Επιπρόσθετα, προτείνεται </w:t>
      </w:r>
      <w:r w:rsidRPr="0029055C">
        <w:rPr>
          <w:rFonts w:cs="Arial"/>
          <w:b/>
          <w:color w:val="000000"/>
          <w:sz w:val="22"/>
        </w:rPr>
        <w:t>μείωση του εκτιμώμενο</w:t>
      </w:r>
      <w:r w:rsidR="00131C98" w:rsidRPr="0029055C">
        <w:rPr>
          <w:rFonts w:cs="Arial"/>
          <w:b/>
          <w:color w:val="000000"/>
          <w:sz w:val="22"/>
        </w:rPr>
        <w:t>υ</w:t>
      </w:r>
      <w:r w:rsidRPr="0029055C">
        <w:rPr>
          <w:rFonts w:cs="Arial"/>
          <w:b/>
          <w:color w:val="000000"/>
          <w:sz w:val="22"/>
        </w:rPr>
        <w:t xml:space="preserve"> μέσου κόστους υλοποίησης</w:t>
      </w:r>
      <w:r w:rsidRPr="0029055C">
        <w:rPr>
          <w:rFonts w:cs="Arial"/>
          <w:color w:val="000000"/>
          <w:sz w:val="22"/>
        </w:rPr>
        <w:t xml:space="preserve"> των έργων εισαγωγής συστημάτων στοχοθεσίας και αξιολόγησης ανά φορέα του δημόσιου τομέα, από</w:t>
      </w:r>
      <w:r w:rsidRPr="0029055C">
        <w:rPr>
          <w:rFonts w:cs="Arial"/>
          <w:color w:val="000000"/>
          <w:sz w:val="22"/>
        </w:rPr>
        <w:br/>
        <w:t>150.000 € σε 35.000 €, με βάση τα προγραμματικά στοιχεία ένταξης των σχετικών πράξεων που τροφοδοτούν τον δείκτη.</w:t>
      </w:r>
    </w:p>
    <w:p w14:paraId="539DB481" w14:textId="77777777" w:rsidR="004A0726" w:rsidRPr="0029055C" w:rsidRDefault="004A0726" w:rsidP="00206ECA">
      <w:pPr>
        <w:pStyle w:val="Heading6"/>
      </w:pPr>
      <w:r w:rsidRPr="0029055C">
        <w:t>Τ4623: Αριθμός συστημάτων εσωτερικού ελέγχου φορέων του δημόσιου τομέα που δημιουργούνται ή αναβαθμίζονται</w:t>
      </w:r>
    </w:p>
    <w:p w14:paraId="6422AB34" w14:textId="77777777" w:rsidR="004A0726" w:rsidRPr="0029055C" w:rsidRDefault="004A0726" w:rsidP="004A0726">
      <w:pPr>
        <w:spacing w:line="300" w:lineRule="atLeast"/>
        <w:rPr>
          <w:rFonts w:cs="Arial"/>
          <w:color w:val="000000"/>
          <w:sz w:val="22"/>
        </w:rPr>
      </w:pPr>
      <w:r w:rsidRPr="0029055C">
        <w:rPr>
          <w:rFonts w:cs="Arial"/>
          <w:color w:val="000000"/>
          <w:sz w:val="22"/>
        </w:rPr>
        <w:t xml:space="preserve">Προτείνεται η </w:t>
      </w:r>
      <w:r w:rsidRPr="0029055C">
        <w:rPr>
          <w:rFonts w:cs="Arial"/>
          <w:b/>
          <w:color w:val="000000"/>
          <w:sz w:val="22"/>
        </w:rPr>
        <w:t>αφαίρεση του δείκτη</w:t>
      </w:r>
      <w:r w:rsidRPr="0029055C">
        <w:rPr>
          <w:rFonts w:cs="Arial"/>
          <w:color w:val="000000"/>
          <w:sz w:val="22"/>
        </w:rPr>
        <w:t xml:space="preserve"> Τ4623 από το σύστημα δεικτών του ΕΠ ΜΔΤ, δεδομένου ότι με τον πρόσφατο ανασχεδιασμό της δομής 16 Υπουργείων, ο οποίος πραγματοποιήθηκε χωρίς χρηματοδότηση από το ΕΠ ΜΔΤ (Π.Δ. Οργανισμών Υπουργείων έτους 2017 και 2018), προβλέφθηκαν αυτοτελή τμήματα εσωτερικού ελέγχου σε κάθε Υπουργείο, η λειτουργία των οποίων δεν απαιτεί πόρους από το Πρόγραμμα.  Για τον ίδιο λόγο προτείνεται και η αφαίρεση του αντίστοιχου δείκτη αποτελέσματος Τ4610, τον οποίο τροφοδοτεί.</w:t>
      </w:r>
    </w:p>
    <w:p w14:paraId="210ECAC6" w14:textId="77777777" w:rsidR="004A0726" w:rsidRPr="0029055C" w:rsidRDefault="004A0726" w:rsidP="00206ECA">
      <w:pPr>
        <w:pStyle w:val="Heading6"/>
      </w:pPr>
      <w:r w:rsidRPr="0029055C">
        <w:t xml:space="preserve">Τ4625: Αριθμός Σχεδίων αναβάθμισης της λειτουργίας ελεγκτικών φορέων </w:t>
      </w:r>
    </w:p>
    <w:p w14:paraId="4F85E273" w14:textId="77777777" w:rsidR="004A0726" w:rsidRPr="0029055C" w:rsidRDefault="004A0726" w:rsidP="004A0726">
      <w:pPr>
        <w:spacing w:line="300" w:lineRule="atLeast"/>
        <w:rPr>
          <w:rFonts w:cs="Arial"/>
          <w:color w:val="000000"/>
          <w:sz w:val="22"/>
        </w:rPr>
      </w:pPr>
      <w:r w:rsidRPr="0029055C">
        <w:rPr>
          <w:rFonts w:cs="Arial"/>
          <w:color w:val="000000"/>
          <w:sz w:val="22"/>
        </w:rPr>
        <w:t xml:space="preserve">Στο πλαίσιο της 2ης Αναθεώρησης του Προγράμματος προτείνεται </w:t>
      </w:r>
      <w:r w:rsidRPr="0029055C">
        <w:rPr>
          <w:rFonts w:cs="Arial"/>
          <w:b/>
          <w:color w:val="000000"/>
          <w:sz w:val="22"/>
        </w:rPr>
        <w:t>επαναδιατύπωση του δείκτη</w:t>
      </w:r>
      <w:r w:rsidRPr="0029055C">
        <w:rPr>
          <w:rFonts w:cs="Arial"/>
          <w:color w:val="000000"/>
          <w:sz w:val="22"/>
        </w:rPr>
        <w:t xml:space="preserve"> σε </w:t>
      </w:r>
      <w:r w:rsidRPr="0029055C">
        <w:rPr>
          <w:rFonts w:cs="Arial"/>
          <w:i/>
          <w:color w:val="000000"/>
          <w:sz w:val="22"/>
        </w:rPr>
        <w:t>«Αριθμός Έργων αναβάθμισης της λειτουργίας ελεγκτικών φορέων»</w:t>
      </w:r>
      <w:r w:rsidRPr="0029055C">
        <w:rPr>
          <w:rFonts w:cs="Arial"/>
          <w:color w:val="000000"/>
          <w:sz w:val="22"/>
        </w:rPr>
        <w:t xml:space="preserve">, προκειμένου να προσδιορίζει με ακρίβεια τον ορισμό και τη μέθοδο υπολογισμού του. </w:t>
      </w:r>
    </w:p>
    <w:p w14:paraId="5E4D2B6B" w14:textId="77777777" w:rsidR="0095546E" w:rsidRPr="0029055C" w:rsidRDefault="003B5059" w:rsidP="004A0726">
      <w:pPr>
        <w:spacing w:line="300" w:lineRule="atLeast"/>
        <w:rPr>
          <w:rFonts w:cs="Arial"/>
          <w:color w:val="000000"/>
          <w:sz w:val="22"/>
        </w:rPr>
      </w:pPr>
      <w:r w:rsidRPr="0029055C">
        <w:rPr>
          <w:rFonts w:cs="Arial"/>
          <w:color w:val="000000"/>
          <w:sz w:val="22"/>
        </w:rPr>
        <w:t xml:space="preserve">Η νέα στοχοθεσία του Θεματικού Άξονα </w:t>
      </w:r>
      <w:r w:rsidR="0086532E" w:rsidRPr="0029055C">
        <w:rPr>
          <w:rFonts w:cs="Arial"/>
          <w:color w:val="000000"/>
          <w:sz w:val="22"/>
        </w:rPr>
        <w:t>I</w:t>
      </w:r>
      <w:r w:rsidRPr="0029055C">
        <w:rPr>
          <w:rFonts w:cs="Arial"/>
          <w:color w:val="000000"/>
          <w:sz w:val="22"/>
        </w:rPr>
        <w:t xml:space="preserve"> παρατίθεται στον ακόλουθο Πίνακα</w:t>
      </w:r>
      <w:r w:rsidR="0095546E" w:rsidRPr="0029055C">
        <w:rPr>
          <w:rFonts w:cs="Arial"/>
          <w:color w:val="000000"/>
          <w:sz w:val="22"/>
        </w:rPr>
        <w:t>, στον οποίο:</w:t>
      </w:r>
    </w:p>
    <w:p w14:paraId="51879950" w14:textId="77777777" w:rsidR="0095546E" w:rsidRPr="0029055C" w:rsidRDefault="0095546E" w:rsidP="0095546E">
      <w:pPr>
        <w:pStyle w:val="ListParagraph"/>
        <w:numPr>
          <w:ilvl w:val="0"/>
          <w:numId w:val="21"/>
        </w:numPr>
        <w:spacing w:line="300" w:lineRule="atLeast"/>
        <w:rPr>
          <w:rFonts w:cs="Arial"/>
          <w:color w:val="000000"/>
          <w:sz w:val="22"/>
        </w:rPr>
      </w:pPr>
      <w:r w:rsidRPr="0029055C">
        <w:rPr>
          <w:rFonts w:cs="Arial"/>
          <w:color w:val="000000"/>
          <w:sz w:val="22"/>
        </w:rPr>
        <w:t>Οι δείκτες του Πλαισίου Επιδόσεων του ΕΠ ΜΔΤ επισημαίνονται με σκίαση</w:t>
      </w:r>
    </w:p>
    <w:p w14:paraId="5A116C0D" w14:textId="77777777" w:rsidR="004A0726" w:rsidRPr="0029055C" w:rsidRDefault="0095546E" w:rsidP="0095546E">
      <w:pPr>
        <w:pStyle w:val="ListParagraph"/>
        <w:numPr>
          <w:ilvl w:val="0"/>
          <w:numId w:val="21"/>
        </w:numPr>
        <w:spacing w:line="300" w:lineRule="atLeast"/>
        <w:rPr>
          <w:rFonts w:cs="Arial"/>
          <w:color w:val="000000"/>
          <w:sz w:val="22"/>
        </w:rPr>
      </w:pPr>
      <w:r w:rsidRPr="0029055C">
        <w:rPr>
          <w:rFonts w:cs="Arial"/>
          <w:color w:val="000000"/>
          <w:sz w:val="22"/>
        </w:rPr>
        <w:t>Οι προηγούμενες τιμές των δεικτών, εφόσον υπάρχει τροποποίηση, παρατίθενται σε παρένθεση.</w:t>
      </w:r>
    </w:p>
    <w:p w14:paraId="696B0E54" w14:textId="77777777" w:rsidR="0095546E" w:rsidRPr="0029055C" w:rsidRDefault="0095546E" w:rsidP="0095546E">
      <w:pPr>
        <w:pStyle w:val="ListParagraph"/>
        <w:numPr>
          <w:ilvl w:val="0"/>
          <w:numId w:val="21"/>
        </w:numPr>
        <w:spacing w:line="300" w:lineRule="atLeast"/>
        <w:rPr>
          <w:rFonts w:cs="Arial"/>
          <w:color w:val="000000"/>
          <w:sz w:val="22"/>
        </w:rPr>
      </w:pPr>
      <w:r w:rsidRPr="0029055C">
        <w:rPr>
          <w:rFonts w:cs="Arial"/>
          <w:color w:val="000000"/>
          <w:sz w:val="22"/>
        </w:rPr>
        <w:t xml:space="preserve">Οι δείκτες που αφαιρούνται από το σύστημα δεικτών του ΘΑ σημειώνονται με </w:t>
      </w:r>
      <w:r w:rsidRPr="0029055C">
        <w:rPr>
          <w:rFonts w:cs="Arial"/>
          <w:color w:val="C00000"/>
          <w:sz w:val="22"/>
        </w:rPr>
        <w:t>κόκκινη γραμματοσειρά</w:t>
      </w:r>
      <w:r w:rsidRPr="0029055C">
        <w:rPr>
          <w:rFonts w:cs="Arial"/>
          <w:color w:val="000000"/>
          <w:sz w:val="22"/>
        </w:rPr>
        <w:t>.</w:t>
      </w:r>
    </w:p>
    <w:p w14:paraId="4B11A407" w14:textId="77777777" w:rsidR="000E16AA" w:rsidRPr="0029055C" w:rsidRDefault="000E16AA" w:rsidP="000E16AA">
      <w:pPr>
        <w:pStyle w:val="Caption"/>
        <w:spacing w:before="240" w:after="120" w:line="280" w:lineRule="atLeast"/>
        <w:rPr>
          <w:b w:val="0"/>
          <w:sz w:val="22"/>
          <w:szCs w:val="22"/>
        </w:rPr>
      </w:pPr>
      <w:r w:rsidRPr="0029055C">
        <w:rPr>
          <w:sz w:val="22"/>
          <w:szCs w:val="22"/>
        </w:rPr>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2</w:t>
      </w:r>
      <w:r w:rsidRPr="0029055C">
        <w:rPr>
          <w:sz w:val="22"/>
          <w:szCs w:val="22"/>
        </w:rPr>
        <w:fldChar w:fldCharType="end"/>
      </w:r>
      <w:r w:rsidRPr="0029055C">
        <w:rPr>
          <w:b w:val="0"/>
          <w:sz w:val="22"/>
          <w:szCs w:val="22"/>
        </w:rPr>
        <w:t xml:space="preserve">. Δείκτες Θεματικού Άξονα </w:t>
      </w:r>
      <w:r w:rsidR="00B53959" w:rsidRPr="0029055C">
        <w:rPr>
          <w:b w:val="0"/>
          <w:sz w:val="22"/>
          <w:szCs w:val="22"/>
        </w:rPr>
        <w:t>I</w:t>
      </w:r>
      <w:r w:rsidR="0095546E" w:rsidRPr="0029055C">
        <w:rPr>
          <w:b w:val="0"/>
          <w:sz w:val="22"/>
          <w:szCs w:val="22"/>
        </w:rPr>
        <w:t xml:space="preserve"> </w:t>
      </w:r>
    </w:p>
    <w:tbl>
      <w:tblPr>
        <w:tblStyle w:val="GridTable6Colorful-Accent5"/>
        <w:tblW w:w="5000" w:type="pct"/>
        <w:jc w:val="center"/>
        <w:tblLayout w:type="fixed"/>
        <w:tblCellMar>
          <w:left w:w="28" w:type="dxa"/>
          <w:right w:w="28" w:type="dxa"/>
        </w:tblCellMar>
        <w:tblLook w:val="04A0" w:firstRow="1" w:lastRow="0" w:firstColumn="1" w:lastColumn="0" w:noHBand="0" w:noVBand="1"/>
      </w:tblPr>
      <w:tblGrid>
        <w:gridCol w:w="5663"/>
        <w:gridCol w:w="1133"/>
        <w:gridCol w:w="1133"/>
        <w:gridCol w:w="1131"/>
      </w:tblGrid>
      <w:tr w:rsidR="0095546E" w:rsidRPr="0029055C" w14:paraId="14901418" w14:textId="77777777" w:rsidTr="0095546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126" w:type="pct"/>
            <w:tcBorders>
              <w:bottom w:val="thickThinSmallGap" w:sz="24" w:space="0" w:color="92CDDC" w:themeColor="accent5" w:themeTint="99"/>
            </w:tcBorders>
            <w:noWrap/>
            <w:vAlign w:val="center"/>
            <w:hideMark/>
          </w:tcPr>
          <w:p w14:paraId="7ECE6F84" w14:textId="77777777" w:rsidR="0095546E" w:rsidRPr="0029055C" w:rsidRDefault="0095546E" w:rsidP="00A21165">
            <w:pPr>
              <w:spacing w:before="40" w:after="40" w:line="240" w:lineRule="auto"/>
              <w:jc w:val="center"/>
              <w:rPr>
                <w:rFonts w:asciiTheme="minorHAnsi" w:hAnsiTheme="minorHAnsi" w:cstheme="minorHAnsi"/>
                <w:sz w:val="18"/>
                <w:szCs w:val="20"/>
              </w:rPr>
            </w:pPr>
            <w:r w:rsidRPr="0029055C">
              <w:rPr>
                <w:rFonts w:asciiTheme="minorHAnsi" w:hAnsiTheme="minorHAnsi" w:cstheme="minorHAnsi"/>
                <w:sz w:val="18"/>
                <w:szCs w:val="20"/>
              </w:rPr>
              <w:t>Δείκτης</w:t>
            </w:r>
          </w:p>
        </w:tc>
        <w:tc>
          <w:tcPr>
            <w:tcW w:w="625" w:type="pct"/>
            <w:tcBorders>
              <w:bottom w:val="thickThinSmallGap" w:sz="24" w:space="0" w:color="92CDDC" w:themeColor="accent5" w:themeTint="99"/>
            </w:tcBorders>
            <w:vAlign w:val="center"/>
          </w:tcPr>
          <w:p w14:paraId="50990606" w14:textId="77777777" w:rsidR="0095546E" w:rsidRPr="0029055C" w:rsidRDefault="0095546E" w:rsidP="00A21165">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Τιμή Βάσης</w:t>
            </w:r>
            <w:r w:rsidRPr="0029055C">
              <w:rPr>
                <w:rStyle w:val="FootnoteReference"/>
                <w:rFonts w:asciiTheme="minorHAnsi" w:hAnsiTheme="minorHAnsi" w:cstheme="minorHAnsi"/>
                <w:sz w:val="18"/>
                <w:szCs w:val="20"/>
              </w:rPr>
              <w:footnoteReference w:id="2"/>
            </w:r>
          </w:p>
        </w:tc>
        <w:tc>
          <w:tcPr>
            <w:tcW w:w="625" w:type="pct"/>
            <w:tcBorders>
              <w:bottom w:val="thickThinSmallGap" w:sz="24" w:space="0" w:color="92CDDC" w:themeColor="accent5" w:themeTint="99"/>
            </w:tcBorders>
            <w:noWrap/>
            <w:vAlign w:val="center"/>
            <w:hideMark/>
          </w:tcPr>
          <w:p w14:paraId="198903C0" w14:textId="77777777" w:rsidR="0095546E" w:rsidRPr="0029055C" w:rsidRDefault="0095546E" w:rsidP="00A21165">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2018</w:t>
            </w:r>
            <w:r w:rsidRPr="0029055C">
              <w:rPr>
                <w:rStyle w:val="FootnoteReference"/>
                <w:rFonts w:asciiTheme="minorHAnsi" w:hAnsiTheme="minorHAnsi" w:cstheme="minorHAnsi"/>
                <w:sz w:val="18"/>
                <w:szCs w:val="20"/>
              </w:rPr>
              <w:footnoteReference w:id="3"/>
            </w:r>
          </w:p>
        </w:tc>
        <w:tc>
          <w:tcPr>
            <w:tcW w:w="625" w:type="pct"/>
            <w:tcBorders>
              <w:bottom w:val="thickThinSmallGap" w:sz="24" w:space="0" w:color="92CDDC" w:themeColor="accent5" w:themeTint="99"/>
            </w:tcBorders>
            <w:noWrap/>
            <w:vAlign w:val="center"/>
            <w:hideMark/>
          </w:tcPr>
          <w:p w14:paraId="3861A1FC" w14:textId="77777777" w:rsidR="0095546E" w:rsidRPr="0029055C" w:rsidRDefault="0095546E" w:rsidP="00A21165">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2023</w:t>
            </w:r>
          </w:p>
        </w:tc>
      </w:tr>
      <w:tr w:rsidR="0095546E" w:rsidRPr="0029055C" w14:paraId="4E369CCA" w14:textId="77777777" w:rsidTr="009554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44A9C4"/>
            <w:noWrap/>
            <w:vAlign w:val="center"/>
          </w:tcPr>
          <w:p w14:paraId="765FA47F" w14:textId="77777777" w:rsidR="0095546E" w:rsidRPr="0029055C" w:rsidRDefault="0095546E" w:rsidP="0095546E">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color w:val="FFFFFF" w:themeColor="background1"/>
                <w:sz w:val="18"/>
                <w:szCs w:val="20"/>
              </w:rPr>
              <w:t>ΔΕΙΚΤΕΣ ΕΚΡΟΗΣ</w:t>
            </w:r>
          </w:p>
        </w:tc>
      </w:tr>
      <w:tr w:rsidR="0095546E" w:rsidRPr="0029055C" w14:paraId="73E5DE4C" w14:textId="77777777" w:rsidTr="0095546E">
        <w:trPr>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2029C694"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T4615. </w:t>
            </w:r>
            <w:r w:rsidRPr="0029055C">
              <w:rPr>
                <w:rFonts w:asciiTheme="minorHAnsi" w:hAnsiTheme="minorHAnsi" w:cstheme="minorHAnsi"/>
                <w:b w:val="0"/>
                <w:sz w:val="18"/>
                <w:szCs w:val="20"/>
              </w:rPr>
              <w:t>Αριθμός έργων επαναοριοθέτησης αρμοδιοτήτων των τεσσάρων επιπέδων Διοίκησης</w:t>
            </w:r>
          </w:p>
        </w:tc>
        <w:tc>
          <w:tcPr>
            <w:tcW w:w="625" w:type="pct"/>
            <w:vAlign w:val="center"/>
          </w:tcPr>
          <w:p w14:paraId="7DB3E365"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79278C67"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7D424F37"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b/>
                <w:sz w:val="18"/>
                <w:szCs w:val="20"/>
              </w:rPr>
              <w:t xml:space="preserve">4 </w:t>
            </w:r>
            <w:r w:rsidRPr="0029055C">
              <w:rPr>
                <w:rFonts w:asciiTheme="minorHAnsi" w:hAnsiTheme="minorHAnsi" w:cstheme="minorHAnsi"/>
                <w:sz w:val="18"/>
                <w:szCs w:val="20"/>
              </w:rPr>
              <w:t>(6)</w:t>
            </w:r>
          </w:p>
        </w:tc>
      </w:tr>
      <w:tr w:rsidR="0095546E" w:rsidRPr="0029055C" w14:paraId="28900CBE" w14:textId="77777777" w:rsidTr="009554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548E0A69"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T4616. </w:t>
            </w:r>
            <w:r w:rsidRPr="0029055C">
              <w:rPr>
                <w:rFonts w:asciiTheme="minorHAnsi" w:hAnsiTheme="minorHAnsi" w:cstheme="minorHAnsi"/>
                <w:b w:val="0"/>
                <w:sz w:val="18"/>
                <w:szCs w:val="20"/>
              </w:rPr>
              <w:t>Αριθμός έργων ενίσχυσης επιτελικών λειτουργιών της Δημόσιας Διοίκησης, περιλαμβανομένων μηχανισμών και συστημάτων παρακολούθησης εφαρμογής δημόσιων πολιτικών</w:t>
            </w:r>
          </w:p>
        </w:tc>
        <w:tc>
          <w:tcPr>
            <w:tcW w:w="625" w:type="pct"/>
            <w:shd w:val="clear" w:color="auto" w:fill="auto"/>
            <w:vAlign w:val="center"/>
          </w:tcPr>
          <w:p w14:paraId="68324146"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6AFF002E"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53B6D82D"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6</w:t>
            </w:r>
          </w:p>
        </w:tc>
      </w:tr>
      <w:tr w:rsidR="0095546E" w:rsidRPr="0029055C" w14:paraId="64DE2BBE" w14:textId="77777777" w:rsidTr="0095546E">
        <w:trPr>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3945990F"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T4617. </w:t>
            </w:r>
            <w:r w:rsidRPr="0029055C">
              <w:rPr>
                <w:rFonts w:asciiTheme="minorHAnsi" w:hAnsiTheme="minorHAnsi" w:cstheme="minorHAnsi"/>
                <w:b w:val="0"/>
                <w:sz w:val="18"/>
                <w:szCs w:val="20"/>
              </w:rPr>
              <w:t>Αριθμός έργων δημιουργίας Παρατηρητηρίου για την Περιφερειακή διοίκηση και την Τοπική Αυτοδιοίκηση</w:t>
            </w:r>
          </w:p>
        </w:tc>
        <w:tc>
          <w:tcPr>
            <w:tcW w:w="625" w:type="pct"/>
            <w:vAlign w:val="center"/>
          </w:tcPr>
          <w:p w14:paraId="3E0DAB97"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2D7CA336"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218E22EA"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w:t>
            </w:r>
          </w:p>
        </w:tc>
      </w:tr>
      <w:tr w:rsidR="0095546E" w:rsidRPr="0029055C" w14:paraId="2060601D" w14:textId="77777777" w:rsidTr="009554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6" w:type="pct"/>
            <w:noWrap/>
            <w:vAlign w:val="center"/>
          </w:tcPr>
          <w:p w14:paraId="3A4115D4"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T4618. </w:t>
            </w:r>
            <w:r w:rsidRPr="0029055C">
              <w:rPr>
                <w:rFonts w:asciiTheme="minorHAnsi" w:hAnsiTheme="minorHAnsi" w:cstheme="minorHAnsi"/>
                <w:b w:val="0"/>
                <w:sz w:val="18"/>
                <w:szCs w:val="20"/>
              </w:rPr>
              <w:t>Αριθμός έργων κωδικοποίησης θεσμικού και νομοθετικού πλαισίου</w:t>
            </w:r>
          </w:p>
        </w:tc>
        <w:tc>
          <w:tcPr>
            <w:tcW w:w="625" w:type="pct"/>
          </w:tcPr>
          <w:p w14:paraId="6DEF3EE1"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noWrap/>
            <w:vAlign w:val="center"/>
          </w:tcPr>
          <w:p w14:paraId="0E4C27EA"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8</w:t>
            </w:r>
          </w:p>
        </w:tc>
        <w:tc>
          <w:tcPr>
            <w:tcW w:w="625" w:type="pct"/>
            <w:noWrap/>
            <w:vAlign w:val="center"/>
          </w:tcPr>
          <w:p w14:paraId="1AA3FE52"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12</w:t>
            </w:r>
          </w:p>
        </w:tc>
      </w:tr>
      <w:tr w:rsidR="0095546E" w:rsidRPr="0029055C" w14:paraId="65E2C9EF" w14:textId="77777777" w:rsidTr="0095546E">
        <w:trPr>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2C540796"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lastRenderedPageBreak/>
              <w:t xml:space="preserve">T4619. </w:t>
            </w:r>
            <w:r w:rsidRPr="0029055C">
              <w:rPr>
                <w:rFonts w:asciiTheme="minorHAnsi" w:hAnsiTheme="minorHAnsi" w:cstheme="minorHAnsi"/>
                <w:b w:val="0"/>
                <w:sz w:val="18"/>
                <w:szCs w:val="20"/>
              </w:rPr>
              <w:t>Αριθμός εποπτευόμενων φορέων δημόσιου τομέα που αξιολογούνται</w:t>
            </w:r>
            <w:r w:rsidRPr="0029055C">
              <w:rPr>
                <w:rFonts w:asciiTheme="minorHAnsi" w:hAnsiTheme="minorHAnsi" w:cstheme="minorHAnsi"/>
                <w:sz w:val="18"/>
                <w:szCs w:val="20"/>
              </w:rPr>
              <w:t xml:space="preserve">  </w:t>
            </w:r>
          </w:p>
        </w:tc>
        <w:tc>
          <w:tcPr>
            <w:tcW w:w="625" w:type="pct"/>
          </w:tcPr>
          <w:p w14:paraId="2EB3D12C"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436C49FE"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p>
        </w:tc>
        <w:tc>
          <w:tcPr>
            <w:tcW w:w="625" w:type="pct"/>
            <w:shd w:val="clear" w:color="auto" w:fill="auto"/>
            <w:noWrap/>
            <w:vAlign w:val="center"/>
          </w:tcPr>
          <w:p w14:paraId="2C5F7A47"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b/>
                <w:sz w:val="18"/>
                <w:szCs w:val="20"/>
              </w:rPr>
              <w:t>195</w:t>
            </w:r>
            <w:r w:rsidRPr="0029055C">
              <w:rPr>
                <w:rFonts w:asciiTheme="minorHAnsi" w:hAnsiTheme="minorHAnsi" w:cstheme="minorHAnsi"/>
                <w:sz w:val="18"/>
                <w:szCs w:val="20"/>
              </w:rPr>
              <w:t xml:space="preserve"> (445)</w:t>
            </w:r>
          </w:p>
        </w:tc>
      </w:tr>
      <w:tr w:rsidR="0095546E" w:rsidRPr="0029055C" w14:paraId="04914918" w14:textId="77777777" w:rsidTr="009554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6" w:type="pct"/>
            <w:noWrap/>
            <w:vAlign w:val="center"/>
          </w:tcPr>
          <w:p w14:paraId="4869D55A"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T4620. </w:t>
            </w:r>
            <w:r w:rsidRPr="0029055C">
              <w:rPr>
                <w:rFonts w:asciiTheme="minorHAnsi" w:hAnsiTheme="minorHAnsi" w:cstheme="minorHAnsi"/>
                <w:b w:val="0"/>
                <w:sz w:val="18"/>
                <w:szCs w:val="20"/>
              </w:rPr>
              <w:t>Αριθμός έργων απλοποίησης εσωτερικών διαδικασιών φορέων του δημοσίου τομέα</w:t>
            </w:r>
          </w:p>
        </w:tc>
        <w:tc>
          <w:tcPr>
            <w:tcW w:w="625" w:type="pct"/>
          </w:tcPr>
          <w:p w14:paraId="1F2ABD62"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noWrap/>
            <w:vAlign w:val="center"/>
          </w:tcPr>
          <w:p w14:paraId="45B00A5B"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10</w:t>
            </w:r>
          </w:p>
        </w:tc>
        <w:tc>
          <w:tcPr>
            <w:tcW w:w="625" w:type="pct"/>
            <w:noWrap/>
            <w:vAlign w:val="center"/>
          </w:tcPr>
          <w:p w14:paraId="0D8A0FEA"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b/>
                <w:sz w:val="18"/>
                <w:szCs w:val="20"/>
              </w:rPr>
              <w:t>30</w:t>
            </w:r>
            <w:r w:rsidRPr="0029055C">
              <w:rPr>
                <w:rFonts w:asciiTheme="minorHAnsi" w:hAnsiTheme="minorHAnsi" w:cstheme="minorHAnsi"/>
                <w:sz w:val="18"/>
                <w:szCs w:val="20"/>
              </w:rPr>
              <w:t xml:space="preserve"> (20)</w:t>
            </w:r>
          </w:p>
        </w:tc>
      </w:tr>
      <w:tr w:rsidR="0095546E" w:rsidRPr="0029055C" w14:paraId="64B2CDF7" w14:textId="77777777" w:rsidTr="0095546E">
        <w:trPr>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DAEEF3" w:themeFill="accent5" w:themeFillTint="33"/>
            <w:noWrap/>
            <w:vAlign w:val="center"/>
          </w:tcPr>
          <w:p w14:paraId="54ADE354"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T4621. </w:t>
            </w:r>
            <w:r w:rsidRPr="0029055C">
              <w:rPr>
                <w:rFonts w:asciiTheme="minorHAnsi" w:hAnsiTheme="minorHAnsi" w:cstheme="minorHAnsi"/>
                <w:b w:val="0"/>
                <w:sz w:val="18"/>
                <w:szCs w:val="20"/>
              </w:rPr>
              <w:t>Αριθμός έργων απλοποίησης διαδικασιών  και προτυποποίησης υπηρεσιών προς τους πολίτες</w:t>
            </w:r>
          </w:p>
        </w:tc>
        <w:tc>
          <w:tcPr>
            <w:tcW w:w="625" w:type="pct"/>
            <w:shd w:val="clear" w:color="auto" w:fill="DAEEF3" w:themeFill="accent5" w:themeFillTint="33"/>
          </w:tcPr>
          <w:p w14:paraId="2DF6DD8A"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DAEEF3" w:themeFill="accent5" w:themeFillTint="33"/>
            <w:noWrap/>
            <w:vAlign w:val="center"/>
          </w:tcPr>
          <w:p w14:paraId="729DD0AB"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10</w:t>
            </w:r>
          </w:p>
        </w:tc>
        <w:tc>
          <w:tcPr>
            <w:tcW w:w="625" w:type="pct"/>
            <w:shd w:val="clear" w:color="auto" w:fill="DAEEF3" w:themeFill="accent5" w:themeFillTint="33"/>
            <w:noWrap/>
            <w:vAlign w:val="center"/>
          </w:tcPr>
          <w:p w14:paraId="2B5B32A6"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15</w:t>
            </w:r>
          </w:p>
        </w:tc>
      </w:tr>
      <w:tr w:rsidR="0095546E" w:rsidRPr="0029055C" w14:paraId="366CFAF4" w14:textId="77777777" w:rsidTr="009554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3A945765"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Τ4651. </w:t>
            </w:r>
            <w:r w:rsidRPr="0029055C">
              <w:rPr>
                <w:rFonts w:asciiTheme="minorHAnsi" w:hAnsiTheme="minorHAnsi" w:cstheme="minorHAnsi"/>
                <w:b w:val="0"/>
                <w:sz w:val="18"/>
                <w:szCs w:val="20"/>
              </w:rPr>
              <w:t>Αριθμός Τοπικών Μονάδων Υγείας που δημιουργούνται</w:t>
            </w:r>
          </w:p>
        </w:tc>
        <w:tc>
          <w:tcPr>
            <w:tcW w:w="625" w:type="pct"/>
            <w:shd w:val="clear" w:color="auto" w:fill="auto"/>
          </w:tcPr>
          <w:p w14:paraId="67E98F49"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062ADC4F"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35526EAF"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239</w:t>
            </w:r>
          </w:p>
        </w:tc>
      </w:tr>
      <w:tr w:rsidR="0095546E" w:rsidRPr="0029055C" w14:paraId="0E2B1333" w14:textId="77777777" w:rsidTr="0095546E">
        <w:trPr>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0DE43225"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T4622. </w:t>
            </w:r>
            <w:r w:rsidRPr="0029055C">
              <w:rPr>
                <w:rFonts w:asciiTheme="minorHAnsi" w:hAnsiTheme="minorHAnsi" w:cstheme="minorHAnsi"/>
                <w:b w:val="0"/>
                <w:sz w:val="18"/>
                <w:szCs w:val="20"/>
              </w:rPr>
              <w:t>Αριθμός έργων εισαγωγής συστημάτων στοχοθεσίας και αξιολόγησης σε φορείς του δημόσιου τομέα</w:t>
            </w:r>
          </w:p>
        </w:tc>
        <w:tc>
          <w:tcPr>
            <w:tcW w:w="625" w:type="pct"/>
          </w:tcPr>
          <w:p w14:paraId="06645E35"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537EC389"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41204605"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26</w:t>
            </w:r>
          </w:p>
        </w:tc>
      </w:tr>
      <w:tr w:rsidR="0095546E" w:rsidRPr="0029055C" w14:paraId="7E85AB20" w14:textId="77777777" w:rsidTr="009554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258C35CA" w14:textId="77777777" w:rsidR="0095546E" w:rsidRPr="0029055C" w:rsidRDefault="0095546E" w:rsidP="00A21165">
            <w:pPr>
              <w:spacing w:before="40" w:after="40" w:line="240" w:lineRule="auto"/>
              <w:jc w:val="left"/>
              <w:rPr>
                <w:rFonts w:asciiTheme="minorHAnsi" w:hAnsiTheme="minorHAnsi" w:cstheme="minorHAnsi"/>
                <w:color w:val="C00000"/>
                <w:sz w:val="18"/>
                <w:szCs w:val="20"/>
              </w:rPr>
            </w:pPr>
            <w:r w:rsidRPr="0029055C">
              <w:rPr>
                <w:rFonts w:asciiTheme="minorHAnsi" w:hAnsiTheme="minorHAnsi" w:cstheme="minorHAnsi"/>
                <w:color w:val="C00000"/>
                <w:sz w:val="18"/>
                <w:szCs w:val="20"/>
              </w:rPr>
              <w:t xml:space="preserve">T4623. </w:t>
            </w:r>
            <w:r w:rsidRPr="0029055C">
              <w:rPr>
                <w:rFonts w:asciiTheme="minorHAnsi" w:hAnsiTheme="minorHAnsi" w:cstheme="minorHAnsi"/>
                <w:b w:val="0"/>
                <w:color w:val="C00000"/>
                <w:sz w:val="18"/>
                <w:szCs w:val="20"/>
              </w:rPr>
              <w:t>Αριθμός συστημάτων εσωτερικού ελέγχου φορέων του δημόσιου τομέα που δημιουργούνται ή αναβαθμίζονται</w:t>
            </w:r>
          </w:p>
        </w:tc>
        <w:tc>
          <w:tcPr>
            <w:tcW w:w="625" w:type="pct"/>
            <w:shd w:val="clear" w:color="auto" w:fill="auto"/>
          </w:tcPr>
          <w:p w14:paraId="0EF84AF2"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C00000"/>
                <w:sz w:val="18"/>
                <w:szCs w:val="20"/>
              </w:rPr>
            </w:pPr>
          </w:p>
        </w:tc>
        <w:tc>
          <w:tcPr>
            <w:tcW w:w="625" w:type="pct"/>
            <w:shd w:val="clear" w:color="auto" w:fill="auto"/>
            <w:noWrap/>
            <w:vAlign w:val="center"/>
          </w:tcPr>
          <w:p w14:paraId="665FE11B"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C00000"/>
                <w:sz w:val="18"/>
                <w:szCs w:val="20"/>
              </w:rPr>
            </w:pPr>
          </w:p>
        </w:tc>
        <w:tc>
          <w:tcPr>
            <w:tcW w:w="625" w:type="pct"/>
            <w:shd w:val="clear" w:color="auto" w:fill="auto"/>
            <w:noWrap/>
            <w:vAlign w:val="center"/>
          </w:tcPr>
          <w:p w14:paraId="074BB5AF"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C00000"/>
                <w:sz w:val="18"/>
                <w:szCs w:val="20"/>
              </w:rPr>
            </w:pPr>
            <w:r w:rsidRPr="0029055C">
              <w:rPr>
                <w:rFonts w:asciiTheme="minorHAnsi" w:hAnsiTheme="minorHAnsi" w:cstheme="minorHAnsi"/>
                <w:color w:val="C00000"/>
                <w:sz w:val="18"/>
                <w:szCs w:val="20"/>
              </w:rPr>
              <w:t>26</w:t>
            </w:r>
          </w:p>
        </w:tc>
      </w:tr>
      <w:tr w:rsidR="0095546E" w:rsidRPr="0029055C" w14:paraId="407DC1E4" w14:textId="77777777" w:rsidTr="0095546E">
        <w:trPr>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6902DF70"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T4624. </w:t>
            </w:r>
            <w:r w:rsidRPr="0029055C">
              <w:rPr>
                <w:rFonts w:asciiTheme="minorHAnsi" w:hAnsiTheme="minorHAnsi" w:cstheme="minorHAnsi"/>
                <w:b w:val="0"/>
                <w:sz w:val="18"/>
                <w:szCs w:val="20"/>
              </w:rPr>
              <w:t>Αριθμός έργων για τον επαναπροσδιορισμό των πεδίων ευθύνης και την αντιμετώπιση επικαλύψεων των ελεγκτικών φορέων και σωμάτων επιθεώρησης</w:t>
            </w:r>
          </w:p>
        </w:tc>
        <w:tc>
          <w:tcPr>
            <w:tcW w:w="625" w:type="pct"/>
          </w:tcPr>
          <w:p w14:paraId="2E42AC6C"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4EDD71D1"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20643CD0"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w:t>
            </w:r>
          </w:p>
        </w:tc>
      </w:tr>
      <w:tr w:rsidR="0095546E" w:rsidRPr="0029055C" w14:paraId="67F33B98" w14:textId="77777777" w:rsidTr="009554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338428DD"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T4625. </w:t>
            </w:r>
            <w:r w:rsidRPr="0029055C">
              <w:rPr>
                <w:rFonts w:asciiTheme="minorHAnsi" w:hAnsiTheme="minorHAnsi" w:cstheme="minorHAnsi"/>
                <w:b w:val="0"/>
                <w:sz w:val="18"/>
                <w:szCs w:val="20"/>
              </w:rPr>
              <w:t>Αριθμός Σχεδίων αναβάθμισης της λειτουργίας ελεγκτικών φορέων</w:t>
            </w:r>
          </w:p>
        </w:tc>
        <w:tc>
          <w:tcPr>
            <w:tcW w:w="625" w:type="pct"/>
            <w:shd w:val="clear" w:color="auto" w:fill="auto"/>
          </w:tcPr>
          <w:p w14:paraId="70206260"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256AF0A4"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129E8F7C"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9</w:t>
            </w:r>
          </w:p>
        </w:tc>
      </w:tr>
      <w:tr w:rsidR="0095546E" w:rsidRPr="0029055C" w14:paraId="594A6E9E" w14:textId="77777777" w:rsidTr="0095546E">
        <w:trPr>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79423538"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T4626. </w:t>
            </w:r>
            <w:r w:rsidRPr="0029055C">
              <w:rPr>
                <w:rFonts w:asciiTheme="minorHAnsi" w:hAnsiTheme="minorHAnsi" w:cstheme="minorHAnsi"/>
                <w:b w:val="0"/>
                <w:sz w:val="18"/>
                <w:szCs w:val="20"/>
              </w:rPr>
              <w:t>Αριθμός έργων που αφορούν στην ενίσχυση της συμμετοχής των πολιτών</w:t>
            </w:r>
          </w:p>
        </w:tc>
        <w:tc>
          <w:tcPr>
            <w:tcW w:w="625" w:type="pct"/>
          </w:tcPr>
          <w:p w14:paraId="7C00A0F9"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3F2C6592"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25416849"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3</w:t>
            </w:r>
          </w:p>
        </w:tc>
      </w:tr>
      <w:tr w:rsidR="0095546E" w:rsidRPr="0029055C" w14:paraId="04E01544" w14:textId="77777777" w:rsidTr="009554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44A9C4"/>
            <w:noWrap/>
            <w:vAlign w:val="center"/>
          </w:tcPr>
          <w:p w14:paraId="178282C9" w14:textId="77777777" w:rsidR="0095546E" w:rsidRPr="0029055C" w:rsidRDefault="0095546E" w:rsidP="0095546E">
            <w:pPr>
              <w:spacing w:before="40" w:after="40" w:line="240" w:lineRule="auto"/>
              <w:jc w:val="left"/>
              <w:rPr>
                <w:rFonts w:asciiTheme="minorHAnsi" w:hAnsiTheme="minorHAnsi" w:cstheme="minorHAnsi"/>
                <w:sz w:val="18"/>
                <w:szCs w:val="20"/>
              </w:rPr>
            </w:pPr>
            <w:r w:rsidRPr="0029055C">
              <w:rPr>
                <w:rFonts w:asciiTheme="minorHAnsi" w:hAnsiTheme="minorHAnsi" w:cstheme="minorHAnsi"/>
                <w:color w:val="FFFFFF" w:themeColor="background1"/>
                <w:sz w:val="18"/>
                <w:szCs w:val="20"/>
              </w:rPr>
              <w:t>ΔΕΙΚΤΕΣ ΑΠΟΤΕΛΕΣΜΑΤΟΣ</w:t>
            </w:r>
          </w:p>
        </w:tc>
      </w:tr>
      <w:tr w:rsidR="0095546E" w:rsidRPr="0029055C" w14:paraId="3E035EA2" w14:textId="77777777" w:rsidTr="0095546E">
        <w:trPr>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239C86AE"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T4604. </w:t>
            </w:r>
            <w:r w:rsidRPr="0029055C">
              <w:rPr>
                <w:rFonts w:asciiTheme="minorHAnsi" w:hAnsiTheme="minorHAnsi" w:cstheme="minorHAnsi"/>
                <w:b w:val="0"/>
                <w:sz w:val="18"/>
                <w:szCs w:val="20"/>
              </w:rPr>
              <w:t>Αριθμός τομέων δημόσιας πολιτικής στους οποίους εφαρμόστηκε κωδικοποίηση του ρυθμιστικού περιβάλλοντος, η οποία διατίθεται από το διαδίκτυο</w:t>
            </w:r>
          </w:p>
        </w:tc>
        <w:tc>
          <w:tcPr>
            <w:tcW w:w="625" w:type="pct"/>
            <w:vAlign w:val="center"/>
          </w:tcPr>
          <w:p w14:paraId="46E784CC"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3</w:t>
            </w:r>
          </w:p>
        </w:tc>
        <w:tc>
          <w:tcPr>
            <w:tcW w:w="625" w:type="pct"/>
            <w:shd w:val="clear" w:color="auto" w:fill="auto"/>
            <w:noWrap/>
            <w:vAlign w:val="center"/>
          </w:tcPr>
          <w:p w14:paraId="3ADE59CE"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p>
        </w:tc>
        <w:tc>
          <w:tcPr>
            <w:tcW w:w="625" w:type="pct"/>
            <w:shd w:val="clear" w:color="auto" w:fill="auto"/>
            <w:noWrap/>
            <w:vAlign w:val="center"/>
          </w:tcPr>
          <w:p w14:paraId="7F28098D"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7</w:t>
            </w:r>
          </w:p>
        </w:tc>
      </w:tr>
      <w:tr w:rsidR="0095546E" w:rsidRPr="0029055C" w14:paraId="2DE57D04" w14:textId="77777777" w:rsidTr="009554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225242CC"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T4605.  </w:t>
            </w:r>
            <w:r w:rsidRPr="0029055C">
              <w:rPr>
                <w:rFonts w:asciiTheme="minorHAnsi" w:hAnsiTheme="minorHAnsi" w:cstheme="minorHAnsi"/>
                <w:b w:val="0"/>
                <w:sz w:val="18"/>
                <w:szCs w:val="20"/>
              </w:rPr>
              <w:t>Αριθμός επιτελικών λειτουργιών της Δημόσιας Διοίκησης που ενισχύονται</w:t>
            </w:r>
          </w:p>
        </w:tc>
        <w:tc>
          <w:tcPr>
            <w:tcW w:w="625" w:type="pct"/>
            <w:shd w:val="clear" w:color="auto" w:fill="auto"/>
            <w:vAlign w:val="center"/>
          </w:tcPr>
          <w:p w14:paraId="48D94CB3"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2</w:t>
            </w:r>
          </w:p>
        </w:tc>
        <w:tc>
          <w:tcPr>
            <w:tcW w:w="625" w:type="pct"/>
            <w:shd w:val="clear" w:color="auto" w:fill="auto"/>
            <w:noWrap/>
            <w:vAlign w:val="center"/>
          </w:tcPr>
          <w:p w14:paraId="53603888"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2D659A84"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b/>
                <w:sz w:val="18"/>
                <w:szCs w:val="20"/>
              </w:rPr>
              <w:t>6</w:t>
            </w:r>
            <w:r w:rsidRPr="0029055C">
              <w:rPr>
                <w:rFonts w:asciiTheme="minorHAnsi" w:hAnsiTheme="minorHAnsi" w:cstheme="minorHAnsi"/>
                <w:sz w:val="18"/>
                <w:szCs w:val="20"/>
              </w:rPr>
              <w:t xml:space="preserve"> (8)</w:t>
            </w:r>
          </w:p>
        </w:tc>
      </w:tr>
      <w:tr w:rsidR="0095546E" w:rsidRPr="0029055C" w14:paraId="78F96861" w14:textId="77777777" w:rsidTr="0095546E">
        <w:trPr>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57F9CBBB"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T4606. </w:t>
            </w:r>
            <w:r w:rsidRPr="0029055C">
              <w:rPr>
                <w:rFonts w:asciiTheme="minorHAnsi" w:hAnsiTheme="minorHAnsi" w:cstheme="minorHAnsi"/>
                <w:b w:val="0"/>
                <w:sz w:val="18"/>
                <w:szCs w:val="20"/>
              </w:rPr>
              <w:t>Αριθμός λειτουργικών περιοχών στις οποίες εφαρμόζεται επαναοριοθέτηση αρμοδιοτήτων μεταξύ των τεσσάρων επιπέδων διοίκησης</w:t>
            </w:r>
            <w:r w:rsidRPr="0029055C">
              <w:rPr>
                <w:rFonts w:asciiTheme="minorHAnsi" w:hAnsiTheme="minorHAnsi" w:cstheme="minorHAnsi"/>
                <w:sz w:val="18"/>
                <w:szCs w:val="20"/>
              </w:rPr>
              <w:t xml:space="preserve"> </w:t>
            </w:r>
          </w:p>
        </w:tc>
        <w:tc>
          <w:tcPr>
            <w:tcW w:w="625" w:type="pct"/>
            <w:vAlign w:val="center"/>
          </w:tcPr>
          <w:p w14:paraId="2509B780"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3</w:t>
            </w:r>
          </w:p>
        </w:tc>
        <w:tc>
          <w:tcPr>
            <w:tcW w:w="625" w:type="pct"/>
            <w:shd w:val="clear" w:color="auto" w:fill="auto"/>
            <w:noWrap/>
            <w:vAlign w:val="center"/>
          </w:tcPr>
          <w:p w14:paraId="00D178EE"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7F18E440"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7</w:t>
            </w:r>
          </w:p>
        </w:tc>
      </w:tr>
      <w:tr w:rsidR="0095546E" w:rsidRPr="0029055C" w14:paraId="6BB2C742" w14:textId="77777777" w:rsidTr="009554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132643A8"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T4607. </w:t>
            </w:r>
            <w:r w:rsidRPr="0029055C">
              <w:rPr>
                <w:rFonts w:asciiTheme="minorHAnsi" w:hAnsiTheme="minorHAnsi" w:cstheme="minorHAnsi"/>
                <w:b w:val="0"/>
                <w:sz w:val="18"/>
                <w:szCs w:val="20"/>
              </w:rPr>
              <w:t>Αριθμός φορέων του δημόσιου τομέα που εφαρμόζουν απλοποιημένες εσωτερικές διαδικασίες</w:t>
            </w:r>
          </w:p>
        </w:tc>
        <w:tc>
          <w:tcPr>
            <w:tcW w:w="625" w:type="pct"/>
            <w:shd w:val="clear" w:color="auto" w:fill="auto"/>
            <w:vAlign w:val="center"/>
          </w:tcPr>
          <w:p w14:paraId="3DFE4598"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3</w:t>
            </w:r>
          </w:p>
        </w:tc>
        <w:tc>
          <w:tcPr>
            <w:tcW w:w="625" w:type="pct"/>
            <w:shd w:val="clear" w:color="auto" w:fill="auto"/>
            <w:noWrap/>
            <w:vAlign w:val="center"/>
          </w:tcPr>
          <w:p w14:paraId="5EC0AF95"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211CDF64"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b/>
                <w:sz w:val="18"/>
                <w:szCs w:val="20"/>
              </w:rPr>
              <w:t>356</w:t>
            </w:r>
            <w:r w:rsidRPr="0029055C">
              <w:rPr>
                <w:rFonts w:asciiTheme="minorHAnsi" w:hAnsiTheme="minorHAnsi" w:cstheme="minorHAnsi"/>
                <w:sz w:val="18"/>
                <w:szCs w:val="20"/>
              </w:rPr>
              <w:t xml:space="preserve"> (363)</w:t>
            </w:r>
          </w:p>
        </w:tc>
      </w:tr>
      <w:tr w:rsidR="0095546E" w:rsidRPr="0029055C" w14:paraId="5B786F60" w14:textId="77777777" w:rsidTr="0095546E">
        <w:trPr>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44931734"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T4608.  </w:t>
            </w:r>
            <w:r w:rsidRPr="0029055C">
              <w:rPr>
                <w:rFonts w:asciiTheme="minorHAnsi" w:hAnsiTheme="minorHAnsi" w:cstheme="minorHAnsi"/>
                <w:b w:val="0"/>
                <w:sz w:val="18"/>
                <w:szCs w:val="20"/>
              </w:rPr>
              <w:t>Αριθμός τομέων στους οποίους εφαρμόζεται απλοποίηση διαδικασιών και προτυποποίηση υπηρεσιών προς τους πολίτες</w:t>
            </w:r>
          </w:p>
        </w:tc>
        <w:tc>
          <w:tcPr>
            <w:tcW w:w="625" w:type="pct"/>
            <w:vAlign w:val="center"/>
          </w:tcPr>
          <w:p w14:paraId="59EDF2D7"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10</w:t>
            </w:r>
          </w:p>
        </w:tc>
        <w:tc>
          <w:tcPr>
            <w:tcW w:w="625" w:type="pct"/>
            <w:shd w:val="clear" w:color="auto" w:fill="auto"/>
            <w:noWrap/>
            <w:vAlign w:val="center"/>
          </w:tcPr>
          <w:p w14:paraId="188A10DA"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03B54082"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18</w:t>
            </w:r>
          </w:p>
        </w:tc>
      </w:tr>
      <w:tr w:rsidR="0095546E" w:rsidRPr="0029055C" w14:paraId="7B16FBCD" w14:textId="77777777" w:rsidTr="009554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36559FE6"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T4609. </w:t>
            </w:r>
            <w:r w:rsidRPr="0029055C">
              <w:rPr>
                <w:rFonts w:asciiTheme="minorHAnsi" w:hAnsiTheme="minorHAnsi" w:cstheme="minorHAnsi"/>
                <w:b w:val="0"/>
                <w:sz w:val="18"/>
                <w:szCs w:val="20"/>
              </w:rPr>
              <w:t>Αριθμός φορέων που εφαρμόζουν συστήματα στοχοθεσίας και αξιολόγησης</w:t>
            </w:r>
          </w:p>
        </w:tc>
        <w:tc>
          <w:tcPr>
            <w:tcW w:w="625" w:type="pct"/>
            <w:shd w:val="clear" w:color="auto" w:fill="auto"/>
            <w:vAlign w:val="center"/>
          </w:tcPr>
          <w:p w14:paraId="0DE41539"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6</w:t>
            </w:r>
          </w:p>
        </w:tc>
        <w:tc>
          <w:tcPr>
            <w:tcW w:w="625" w:type="pct"/>
            <w:shd w:val="clear" w:color="auto" w:fill="auto"/>
            <w:noWrap/>
            <w:vAlign w:val="center"/>
          </w:tcPr>
          <w:p w14:paraId="020ED6F2"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0E58ADFA"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25</w:t>
            </w:r>
          </w:p>
        </w:tc>
      </w:tr>
      <w:tr w:rsidR="0095546E" w:rsidRPr="0029055C" w14:paraId="6FFA4647" w14:textId="77777777" w:rsidTr="0095546E">
        <w:trPr>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3BC6F038" w14:textId="77777777" w:rsidR="0095546E" w:rsidRPr="0029055C" w:rsidRDefault="0095546E" w:rsidP="00A21165">
            <w:pPr>
              <w:spacing w:before="40" w:after="40" w:line="240" w:lineRule="auto"/>
              <w:jc w:val="left"/>
              <w:rPr>
                <w:rFonts w:asciiTheme="minorHAnsi" w:hAnsiTheme="minorHAnsi" w:cstheme="minorHAnsi"/>
                <w:color w:val="C00000"/>
                <w:sz w:val="18"/>
                <w:szCs w:val="20"/>
              </w:rPr>
            </w:pPr>
            <w:r w:rsidRPr="0029055C">
              <w:rPr>
                <w:rFonts w:asciiTheme="minorHAnsi" w:hAnsiTheme="minorHAnsi" w:cstheme="minorHAnsi"/>
                <w:color w:val="C00000"/>
                <w:sz w:val="18"/>
                <w:szCs w:val="20"/>
              </w:rPr>
              <w:t xml:space="preserve">T4610. </w:t>
            </w:r>
            <w:r w:rsidRPr="0029055C">
              <w:rPr>
                <w:rFonts w:asciiTheme="minorHAnsi" w:hAnsiTheme="minorHAnsi" w:cstheme="minorHAnsi"/>
                <w:b w:val="0"/>
                <w:color w:val="C00000"/>
                <w:sz w:val="18"/>
                <w:szCs w:val="20"/>
              </w:rPr>
              <w:t>Αριθμός φορέων του δημόσιου τομέα που εφαρμόζουν συστήματα εσωτερικού ελέγχου</w:t>
            </w:r>
          </w:p>
        </w:tc>
        <w:tc>
          <w:tcPr>
            <w:tcW w:w="625" w:type="pct"/>
            <w:vAlign w:val="center"/>
          </w:tcPr>
          <w:p w14:paraId="59FA5ADA"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C00000"/>
                <w:sz w:val="18"/>
                <w:szCs w:val="20"/>
              </w:rPr>
            </w:pPr>
            <w:r w:rsidRPr="0029055C">
              <w:rPr>
                <w:rFonts w:asciiTheme="minorHAnsi" w:hAnsiTheme="minorHAnsi" w:cstheme="minorHAnsi"/>
                <w:bCs/>
                <w:color w:val="C00000"/>
                <w:sz w:val="18"/>
                <w:szCs w:val="20"/>
              </w:rPr>
              <w:t>1</w:t>
            </w:r>
          </w:p>
        </w:tc>
        <w:tc>
          <w:tcPr>
            <w:tcW w:w="625" w:type="pct"/>
            <w:shd w:val="clear" w:color="auto" w:fill="auto"/>
            <w:noWrap/>
            <w:vAlign w:val="center"/>
          </w:tcPr>
          <w:p w14:paraId="747C341C"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C00000"/>
                <w:sz w:val="18"/>
                <w:szCs w:val="20"/>
              </w:rPr>
            </w:pPr>
          </w:p>
        </w:tc>
        <w:tc>
          <w:tcPr>
            <w:tcW w:w="625" w:type="pct"/>
            <w:shd w:val="clear" w:color="auto" w:fill="auto"/>
            <w:noWrap/>
            <w:vAlign w:val="center"/>
          </w:tcPr>
          <w:p w14:paraId="5BE80AFC" w14:textId="77777777" w:rsidR="0095546E" w:rsidRPr="0029055C" w:rsidRDefault="0095546E" w:rsidP="00A2116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C00000"/>
                <w:sz w:val="18"/>
                <w:szCs w:val="20"/>
              </w:rPr>
            </w:pPr>
            <w:r w:rsidRPr="0029055C">
              <w:rPr>
                <w:rFonts w:asciiTheme="minorHAnsi" w:hAnsiTheme="minorHAnsi" w:cstheme="minorHAnsi"/>
                <w:color w:val="C00000"/>
                <w:sz w:val="18"/>
                <w:szCs w:val="20"/>
              </w:rPr>
              <w:t>26</w:t>
            </w:r>
          </w:p>
        </w:tc>
      </w:tr>
      <w:tr w:rsidR="0095546E" w:rsidRPr="0029055C" w14:paraId="007E6D5A" w14:textId="77777777" w:rsidTr="009554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6" w:type="pct"/>
            <w:shd w:val="clear" w:color="auto" w:fill="auto"/>
            <w:noWrap/>
            <w:vAlign w:val="center"/>
          </w:tcPr>
          <w:p w14:paraId="6F66FEBC" w14:textId="77777777" w:rsidR="0095546E" w:rsidRPr="0029055C" w:rsidRDefault="0095546E" w:rsidP="00A2116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T4611. </w:t>
            </w:r>
            <w:r w:rsidRPr="0029055C">
              <w:rPr>
                <w:rFonts w:asciiTheme="minorHAnsi" w:hAnsiTheme="minorHAnsi" w:cstheme="minorHAnsi"/>
                <w:b w:val="0"/>
                <w:sz w:val="18"/>
                <w:szCs w:val="20"/>
              </w:rPr>
              <w:t>Αριθμός ελεγκτικών φορέων στους οποίους εφαρμόζονται δράσεις αναβάθμισης της λειτουργίας τους</w:t>
            </w:r>
          </w:p>
        </w:tc>
        <w:tc>
          <w:tcPr>
            <w:tcW w:w="625" w:type="pct"/>
            <w:shd w:val="clear" w:color="auto" w:fill="auto"/>
            <w:vAlign w:val="center"/>
          </w:tcPr>
          <w:p w14:paraId="5D4776B2"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1</w:t>
            </w:r>
          </w:p>
        </w:tc>
        <w:tc>
          <w:tcPr>
            <w:tcW w:w="625" w:type="pct"/>
            <w:shd w:val="clear" w:color="auto" w:fill="auto"/>
            <w:noWrap/>
            <w:vAlign w:val="center"/>
          </w:tcPr>
          <w:p w14:paraId="19A16302"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5F5FFD1F" w14:textId="77777777" w:rsidR="0095546E" w:rsidRPr="0029055C" w:rsidRDefault="0095546E" w:rsidP="00A2116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9</w:t>
            </w:r>
          </w:p>
        </w:tc>
      </w:tr>
    </w:tbl>
    <w:p w14:paraId="0D35B611" w14:textId="77777777" w:rsidR="00C97DDE" w:rsidRPr="0029055C" w:rsidRDefault="00C97DDE" w:rsidP="00EC0536">
      <w:pPr>
        <w:pStyle w:val="Heading4"/>
        <w:pageBreakBefore/>
        <w:ind w:hanging="720"/>
      </w:pPr>
      <w:r w:rsidRPr="0029055C">
        <w:lastRenderedPageBreak/>
        <w:t xml:space="preserve">Θεματικός Άξονας </w:t>
      </w:r>
      <w:r w:rsidR="00B53959" w:rsidRPr="0029055C">
        <w:t>II</w:t>
      </w:r>
      <w:r w:rsidRPr="0029055C">
        <w:t xml:space="preserve"> «Ενίσχυση της ηλεκτρονικής διακυβέρνησης» – Ταμείο ΕΤΠΑ (Άξονες Προτεραιότητας 4, 5 &amp; 6)</w:t>
      </w:r>
    </w:p>
    <w:p w14:paraId="60966FA2" w14:textId="77777777" w:rsidR="00C97DDE" w:rsidRPr="0029055C" w:rsidRDefault="00C97DDE" w:rsidP="00C97DDE">
      <w:pPr>
        <w:spacing w:line="300" w:lineRule="atLeast"/>
        <w:rPr>
          <w:rFonts w:cs="Arial"/>
          <w:color w:val="000000"/>
          <w:sz w:val="22"/>
        </w:rPr>
      </w:pPr>
      <w:r w:rsidRPr="0029055C">
        <w:rPr>
          <w:rFonts w:cs="Arial"/>
          <w:color w:val="000000"/>
          <w:sz w:val="22"/>
        </w:rPr>
        <w:t xml:space="preserve">Ο Θεματικός Άξονας </w:t>
      </w:r>
      <w:r w:rsidR="00B53959" w:rsidRPr="0029055C">
        <w:rPr>
          <w:rFonts w:cs="Arial"/>
          <w:color w:val="000000"/>
          <w:sz w:val="22"/>
        </w:rPr>
        <w:t>II</w:t>
      </w:r>
      <w:r w:rsidRPr="0029055C">
        <w:rPr>
          <w:rFonts w:cs="Arial"/>
          <w:color w:val="000000"/>
          <w:sz w:val="22"/>
        </w:rPr>
        <w:t xml:space="preserve"> αφορά δράσεις που χρηματοδοτούνται από το ΕΤΠΑ, στο πλαίσιο του Θεματικού Στόχου 2, και έχουν ως κύριο στόχο τον εκσυγχρονισμό του Δημόσιου Τομέα, με όχημα τις Τεχνολογίες Πληροφορικής και Επικοινωνιών (ΤΠΕ), για τον μετασχηματισμό των υφιστάμενων διαδικασιών και την αναβάθμιση των παρεχόμενων υπηρεσιών σε υπηρεσίες προστιθέμενης αξίας, προκειμένου η Διοίκηση να καταστεί αποτελεσματικότερη και αποδοτικότερη, εξασφαλίζοντας την ικανοποίηση των αναγκών του κοινωνικού συνόλου και προάγοντας την ενεργή ενεργό συμμετοχή των πολιτών. </w:t>
      </w:r>
    </w:p>
    <w:p w14:paraId="06458DCF" w14:textId="77777777" w:rsidR="00C97DDE" w:rsidRPr="0029055C" w:rsidRDefault="00C97DDE" w:rsidP="00C97DDE">
      <w:pPr>
        <w:spacing w:line="300" w:lineRule="atLeast"/>
        <w:rPr>
          <w:rFonts w:cs="Arial"/>
          <w:color w:val="000000"/>
          <w:sz w:val="22"/>
        </w:rPr>
      </w:pPr>
      <w:r w:rsidRPr="0029055C">
        <w:rPr>
          <w:rFonts w:cs="Arial"/>
          <w:color w:val="000000"/>
          <w:sz w:val="22"/>
        </w:rPr>
        <w:t>Στο πλαίσιο της 2ης Αναθεώρησης του ΕΠ ΜΔΤ, προτείνονται οι ακόλουθες τροποποιήσεις:</w:t>
      </w:r>
    </w:p>
    <w:p w14:paraId="355DE1DE" w14:textId="0CFA9921" w:rsidR="00C97DDE" w:rsidRPr="00BB0FDB" w:rsidRDefault="00C97DDE" w:rsidP="00B53959">
      <w:pPr>
        <w:pStyle w:val="ListParagraph"/>
        <w:numPr>
          <w:ilvl w:val="0"/>
          <w:numId w:val="13"/>
        </w:numPr>
        <w:spacing w:line="280" w:lineRule="atLeast"/>
        <w:ind w:left="763"/>
        <w:contextualSpacing w:val="0"/>
        <w:rPr>
          <w:rFonts w:cs="Arial"/>
          <w:color w:val="000000"/>
          <w:sz w:val="22"/>
        </w:rPr>
      </w:pPr>
      <w:r w:rsidRPr="0029055C">
        <w:rPr>
          <w:rFonts w:cs="Arial"/>
          <w:b/>
          <w:color w:val="000000"/>
          <w:sz w:val="22"/>
        </w:rPr>
        <w:t>Αύξηση των διαθέσιμων πόρων της Κατηγορίας Δράσης Β.1.1</w:t>
      </w:r>
      <w:r w:rsidRPr="0029055C">
        <w:rPr>
          <w:rFonts w:cs="Arial"/>
          <w:color w:val="000000"/>
          <w:sz w:val="22"/>
        </w:rPr>
        <w:t xml:space="preserve"> </w:t>
      </w:r>
      <w:r w:rsidRPr="0029055C">
        <w:rPr>
          <w:rFonts w:cs="Arial"/>
          <w:i/>
          <w:color w:val="000000"/>
          <w:sz w:val="22"/>
        </w:rPr>
        <w:t>«Δράσεις αναβάθμισης, ανάπτυξης και λειτουργίας συστημάτων ΤΠΕ για την υποστήριξη της καλύτερης οργάνωσης και λειτουργίας του Δημοσίου Τομέα»</w:t>
      </w:r>
      <w:r w:rsidRPr="0029055C">
        <w:rPr>
          <w:rFonts w:cs="Arial"/>
          <w:color w:val="000000"/>
          <w:sz w:val="22"/>
        </w:rPr>
        <w:t xml:space="preserve"> </w:t>
      </w:r>
      <w:r w:rsidRPr="0029055C">
        <w:rPr>
          <w:rFonts w:cs="Arial"/>
          <w:b/>
          <w:color w:val="000000"/>
          <w:sz w:val="22"/>
        </w:rPr>
        <w:t>κατά 80.000</w:t>
      </w:r>
      <w:r w:rsidRPr="00BB0FDB">
        <w:rPr>
          <w:rFonts w:cs="Arial"/>
          <w:b/>
          <w:color w:val="000000"/>
          <w:sz w:val="22"/>
        </w:rPr>
        <w:t xml:space="preserve">.000 € </w:t>
      </w:r>
      <w:r w:rsidRPr="00BB0FDB">
        <w:rPr>
          <w:rFonts w:cs="Arial"/>
          <w:color w:val="000000"/>
          <w:sz w:val="22"/>
        </w:rPr>
        <w:t xml:space="preserve">Δ.Δ., με μεταφορά από το ΕΠΑνΕΚ, για τη χρηματοδότηση  του </w:t>
      </w:r>
      <w:r w:rsidR="00131C98" w:rsidRPr="00BB0FDB">
        <w:rPr>
          <w:rFonts w:cs="Arial"/>
          <w:color w:val="000000"/>
          <w:sz w:val="22"/>
        </w:rPr>
        <w:t>Μ</w:t>
      </w:r>
      <w:r w:rsidRPr="00BB0FDB">
        <w:rPr>
          <w:rFonts w:cs="Arial"/>
          <w:color w:val="000000"/>
          <w:sz w:val="22"/>
        </w:rPr>
        <w:t xml:space="preserve">εγάλου </w:t>
      </w:r>
      <w:r w:rsidR="00131C98" w:rsidRPr="00BB0FDB">
        <w:rPr>
          <w:rFonts w:cs="Arial"/>
          <w:color w:val="000000"/>
          <w:sz w:val="22"/>
        </w:rPr>
        <w:t>Έ</w:t>
      </w:r>
      <w:r w:rsidRPr="00BB0FDB">
        <w:rPr>
          <w:rFonts w:cs="Arial"/>
          <w:color w:val="000000"/>
          <w:sz w:val="22"/>
        </w:rPr>
        <w:t>ργου «ΣΥΖΕΥΞΙΣ ΙΙ» (βλ. Πίνακα</w:t>
      </w:r>
      <w:r w:rsidR="0029055C" w:rsidRPr="00BB0FDB">
        <w:rPr>
          <w:rFonts w:cs="Arial"/>
          <w:color w:val="000000"/>
          <w:sz w:val="22"/>
          <w:lang w:val="en-US"/>
        </w:rPr>
        <w:t xml:space="preserve"> 3</w:t>
      </w:r>
      <w:r w:rsidRPr="00BB0FDB">
        <w:rPr>
          <w:rFonts w:cs="Arial"/>
          <w:color w:val="000000"/>
          <w:sz w:val="22"/>
        </w:rPr>
        <w:t>)</w:t>
      </w:r>
    </w:p>
    <w:p w14:paraId="6DAEC6CE" w14:textId="3544EF55" w:rsidR="00C97DDE" w:rsidRPr="00BB0FDB" w:rsidRDefault="00C97DDE" w:rsidP="00B53959">
      <w:pPr>
        <w:pStyle w:val="ListParagraph"/>
        <w:numPr>
          <w:ilvl w:val="0"/>
          <w:numId w:val="13"/>
        </w:numPr>
        <w:spacing w:line="280" w:lineRule="atLeast"/>
        <w:ind w:left="763"/>
        <w:contextualSpacing w:val="0"/>
        <w:rPr>
          <w:rFonts w:cs="Arial"/>
          <w:color w:val="000000"/>
          <w:sz w:val="22"/>
        </w:rPr>
      </w:pPr>
      <w:r w:rsidRPr="00BB0FDB">
        <w:rPr>
          <w:rFonts w:cs="Arial"/>
          <w:b/>
          <w:color w:val="000000"/>
          <w:sz w:val="22"/>
        </w:rPr>
        <w:t>Ανακατανομή πόρων μεταξύ των Ειδικών Στόχων Β1 και Β2, με μεταφορά ποσού 15.000.000€ από την Κατηγορία Δράσης Β.1.2</w:t>
      </w:r>
      <w:r w:rsidRPr="00BB0FDB">
        <w:rPr>
          <w:rFonts w:cs="Arial"/>
          <w:color w:val="000000"/>
          <w:sz w:val="22"/>
        </w:rPr>
        <w:t xml:space="preserve"> </w:t>
      </w:r>
      <w:r w:rsidRPr="00BB0FDB">
        <w:rPr>
          <w:rFonts w:cs="Arial"/>
          <w:i/>
          <w:color w:val="000000"/>
          <w:sz w:val="22"/>
        </w:rPr>
        <w:t>«Δράσεις διασφάλισης του ορθού σχεδιασμού, της ανοιχτής διάθεσης, της ορθής διαχείρισης, της ασφάλειας και της διαλειτουργικότητας δεδομένων και συστημάτων ΤΠΕ στο Δημόσιο Τομέα»</w:t>
      </w:r>
      <w:r w:rsidRPr="00BB0FDB">
        <w:rPr>
          <w:rFonts w:cs="Arial"/>
          <w:color w:val="000000"/>
          <w:sz w:val="22"/>
        </w:rPr>
        <w:t xml:space="preserve"> </w:t>
      </w:r>
      <w:r w:rsidRPr="00BB0FDB">
        <w:rPr>
          <w:rFonts w:cs="Arial"/>
          <w:b/>
          <w:color w:val="000000"/>
          <w:sz w:val="22"/>
        </w:rPr>
        <w:t xml:space="preserve">στην κατηγορία Δράσης Β.2.1 </w:t>
      </w:r>
      <w:r w:rsidRPr="00BB0FDB">
        <w:rPr>
          <w:rFonts w:cs="Arial"/>
          <w:i/>
          <w:color w:val="000000"/>
          <w:sz w:val="22"/>
        </w:rPr>
        <w:t xml:space="preserve">«Δράσεις αναβάθμισης, ανάπτυξης και λειτουργίας εργαλείων ΤΠΕ για την παροχή ηλεκτρονικών υπηρεσιών στους πολίτες» </w:t>
      </w:r>
      <w:r w:rsidRPr="00BB0FDB">
        <w:rPr>
          <w:rFonts w:cs="Arial"/>
          <w:color w:val="000000"/>
          <w:sz w:val="22"/>
        </w:rPr>
        <w:t>(βλ. Πίνακα</w:t>
      </w:r>
      <w:r w:rsidR="0029055C" w:rsidRPr="00BB0FDB">
        <w:rPr>
          <w:rFonts w:cs="Arial"/>
          <w:color w:val="000000"/>
          <w:sz w:val="22"/>
          <w:lang w:val="en-US"/>
        </w:rPr>
        <w:t xml:space="preserve"> 3</w:t>
      </w:r>
      <w:r w:rsidRPr="00BB0FDB">
        <w:rPr>
          <w:rFonts w:cs="Arial"/>
          <w:color w:val="000000"/>
          <w:sz w:val="22"/>
        </w:rPr>
        <w:t>).</w:t>
      </w:r>
    </w:p>
    <w:p w14:paraId="650DBFC6" w14:textId="77777777" w:rsidR="00C97DDE" w:rsidRPr="0029055C" w:rsidRDefault="00C97DDE" w:rsidP="00C97DDE">
      <w:pPr>
        <w:spacing w:line="280" w:lineRule="atLeast"/>
        <w:rPr>
          <w:rFonts w:cs="Arial"/>
          <w:color w:val="000000"/>
          <w:sz w:val="22"/>
        </w:rPr>
      </w:pPr>
      <w:r w:rsidRPr="0029055C">
        <w:rPr>
          <w:rFonts w:cs="Arial"/>
          <w:color w:val="000000"/>
          <w:sz w:val="22"/>
        </w:rPr>
        <w:t>Οι ανωτέρω τροποποιήσεις επιβάλλονται από τα ακόλουθα:</w:t>
      </w:r>
    </w:p>
    <w:p w14:paraId="5B830158" w14:textId="77777777" w:rsidR="00131C98" w:rsidRPr="0029055C" w:rsidRDefault="00131C98" w:rsidP="0029055C">
      <w:pPr>
        <w:pStyle w:val="ListParagraph"/>
        <w:numPr>
          <w:ilvl w:val="0"/>
          <w:numId w:val="14"/>
        </w:numPr>
        <w:spacing w:line="280" w:lineRule="atLeast"/>
        <w:ind w:left="714" w:hanging="357"/>
        <w:contextualSpacing w:val="0"/>
        <w:rPr>
          <w:rFonts w:cs="Arial"/>
          <w:color w:val="000000"/>
          <w:sz w:val="22"/>
        </w:rPr>
      </w:pPr>
      <w:r w:rsidRPr="0029055C">
        <w:rPr>
          <w:rFonts w:cs="Arial"/>
          <w:color w:val="000000"/>
          <w:sz w:val="22"/>
        </w:rPr>
        <w:t>την ανάγκη διασφάλισης της αποτελεσματικότερης παρακολούθησης και συντονισμού της υλοποίησης του Μεγάλου Έργου «ΣΥΖΕΥΞΙΣ ΙΙ», με τη συγκέντρωση των απαιτούμενων πόρων για την υλοποίησή του στο ΕΠ ΜΔΤ.</w:t>
      </w:r>
    </w:p>
    <w:p w14:paraId="4BD774D2" w14:textId="478C907F" w:rsidR="00C97DDE" w:rsidRPr="00BB0FDB" w:rsidRDefault="00C97DDE" w:rsidP="0029055C">
      <w:pPr>
        <w:pStyle w:val="ListParagraph"/>
        <w:numPr>
          <w:ilvl w:val="0"/>
          <w:numId w:val="14"/>
        </w:numPr>
        <w:spacing w:line="280" w:lineRule="atLeast"/>
        <w:ind w:left="714" w:hanging="357"/>
        <w:contextualSpacing w:val="0"/>
        <w:rPr>
          <w:rFonts w:cs="Arial"/>
          <w:color w:val="000000"/>
          <w:sz w:val="22"/>
        </w:rPr>
      </w:pPr>
      <w:r w:rsidRPr="0029055C">
        <w:rPr>
          <w:rFonts w:cs="Arial"/>
          <w:color w:val="000000"/>
          <w:sz w:val="22"/>
        </w:rPr>
        <w:t>το</w:t>
      </w:r>
      <w:r w:rsidR="005B45B3" w:rsidRPr="0029055C">
        <w:rPr>
          <w:rFonts w:cs="Arial"/>
          <w:color w:val="000000"/>
          <w:sz w:val="22"/>
        </w:rPr>
        <w:t>ν</w:t>
      </w:r>
      <w:r w:rsidRPr="0029055C">
        <w:rPr>
          <w:rFonts w:cs="Arial"/>
          <w:color w:val="000000"/>
          <w:sz w:val="22"/>
        </w:rPr>
        <w:t xml:space="preserve"> χαμηλό βαθμό υλοποίησης και τη μειωμένη ζήτηση των παρεμβάσεων της Κατηγορίας Δράσης Β.1.2 </w:t>
      </w:r>
      <w:r w:rsidRPr="0029055C">
        <w:rPr>
          <w:rFonts w:cs="Arial"/>
          <w:i/>
          <w:color w:val="000000"/>
          <w:sz w:val="22"/>
        </w:rPr>
        <w:t>«Δράσεις διασφάλισης του ορθού σχεδιασμού, της ανοιχτής διάθεσης, της ορθής διαχείρισης, της ασφάλειας και της διαλειτουργικότητας δεδομένων και συστημάτων ΤΠΕ στο Δημόσιο Τομέα»</w:t>
      </w:r>
      <w:r w:rsidRPr="0029055C">
        <w:rPr>
          <w:rFonts w:cs="Arial"/>
          <w:color w:val="000000"/>
          <w:sz w:val="22"/>
        </w:rPr>
        <w:t xml:space="preserve">, σε σχέση με την αντίστοιχη </w:t>
      </w:r>
      <w:r w:rsidRPr="00BB0FDB">
        <w:rPr>
          <w:rFonts w:cs="Arial"/>
          <w:color w:val="000000"/>
          <w:sz w:val="22"/>
        </w:rPr>
        <w:t xml:space="preserve">πρόοδο και ζήτηση των παρεμβάσεων της Κατηγορίας Δράσης Β.2.1 </w:t>
      </w:r>
      <w:r w:rsidRPr="00BB0FDB">
        <w:rPr>
          <w:rFonts w:cs="Arial"/>
          <w:i/>
          <w:color w:val="000000"/>
          <w:sz w:val="22"/>
        </w:rPr>
        <w:t xml:space="preserve">«Δράσεις αναβάθμισης, ανάπτυξης και λειτουργίας εργαλείων ΤΠΕ για την παροχή ηλεκτρονικών υπηρεσιών στους πολίτες» </w:t>
      </w:r>
      <w:r w:rsidRPr="00BB0FDB">
        <w:rPr>
          <w:rFonts w:cs="Arial"/>
          <w:color w:val="000000"/>
          <w:sz w:val="22"/>
        </w:rPr>
        <w:t xml:space="preserve">(βλ. παρ. </w:t>
      </w:r>
      <w:r w:rsidR="001B3747" w:rsidRPr="00BB0FDB">
        <w:rPr>
          <w:rFonts w:cs="Arial"/>
          <w:color w:val="000000"/>
          <w:sz w:val="22"/>
        </w:rPr>
        <w:t>3</w:t>
      </w:r>
      <w:r w:rsidRPr="00BB0FDB">
        <w:rPr>
          <w:rFonts w:cs="Arial"/>
          <w:color w:val="000000"/>
          <w:sz w:val="22"/>
        </w:rPr>
        <w:t>.1.2).</w:t>
      </w:r>
    </w:p>
    <w:p w14:paraId="23A96CB0" w14:textId="77777777" w:rsidR="00C97DDE" w:rsidRPr="0029055C" w:rsidRDefault="00C97DDE" w:rsidP="00C97DDE">
      <w:pPr>
        <w:pStyle w:val="Caption"/>
        <w:spacing w:before="240" w:after="120" w:line="280" w:lineRule="atLeast"/>
        <w:rPr>
          <w:rFonts w:cs="Arial"/>
          <w:color w:val="000000"/>
          <w:sz w:val="22"/>
        </w:rPr>
      </w:pPr>
      <w:r w:rsidRPr="00BB0FDB">
        <w:rPr>
          <w:sz w:val="22"/>
          <w:szCs w:val="22"/>
        </w:rPr>
        <w:t xml:space="preserve">Πίνακας </w:t>
      </w:r>
      <w:r w:rsidRPr="00BB0FDB">
        <w:rPr>
          <w:sz w:val="22"/>
          <w:szCs w:val="22"/>
        </w:rPr>
        <w:fldChar w:fldCharType="begin"/>
      </w:r>
      <w:r w:rsidRPr="00BB0FDB">
        <w:rPr>
          <w:sz w:val="22"/>
          <w:szCs w:val="22"/>
        </w:rPr>
        <w:instrText xml:space="preserve"> SEQ Πίνακας \* ARABIC </w:instrText>
      </w:r>
      <w:r w:rsidRPr="00BB0FDB">
        <w:rPr>
          <w:sz w:val="22"/>
          <w:szCs w:val="22"/>
        </w:rPr>
        <w:fldChar w:fldCharType="separate"/>
      </w:r>
      <w:r w:rsidR="00292BCA">
        <w:rPr>
          <w:noProof/>
          <w:sz w:val="22"/>
          <w:szCs w:val="22"/>
        </w:rPr>
        <w:t>3</w:t>
      </w:r>
      <w:r w:rsidRPr="00BB0FDB">
        <w:rPr>
          <w:sz w:val="22"/>
          <w:szCs w:val="22"/>
        </w:rPr>
        <w:fldChar w:fldCharType="end"/>
      </w:r>
      <w:r w:rsidRPr="00BB0FDB">
        <w:rPr>
          <w:b w:val="0"/>
          <w:sz w:val="22"/>
          <w:szCs w:val="22"/>
        </w:rPr>
        <w:t xml:space="preserve">. Κατανομή νέου προϋπολογισμού του Θεματικού Άξονα </w:t>
      </w:r>
      <w:r w:rsidR="00B53959" w:rsidRPr="00BB0FDB">
        <w:rPr>
          <w:b w:val="0"/>
          <w:sz w:val="22"/>
          <w:szCs w:val="22"/>
        </w:rPr>
        <w:t>II</w:t>
      </w:r>
      <w:r w:rsidRPr="00BB0FDB">
        <w:rPr>
          <w:b w:val="0"/>
          <w:sz w:val="22"/>
          <w:szCs w:val="22"/>
        </w:rPr>
        <w:t xml:space="preserve"> στους Ειδικούς Στόχους</w:t>
      </w:r>
      <w:r w:rsidRPr="0029055C">
        <w:rPr>
          <w:b w:val="0"/>
          <w:sz w:val="22"/>
          <w:szCs w:val="22"/>
        </w:rPr>
        <w:t xml:space="preserve"> και τις Κατηγορίες Δράσης (ποσά σε ΔΔ) </w:t>
      </w:r>
    </w:p>
    <w:tbl>
      <w:tblPr>
        <w:tblStyle w:val="GridTable4-Accent5"/>
        <w:tblW w:w="5000" w:type="pct"/>
        <w:tblLayout w:type="fixed"/>
        <w:tblCellMar>
          <w:left w:w="28" w:type="dxa"/>
          <w:right w:w="28" w:type="dxa"/>
        </w:tblCellMar>
        <w:tblLook w:val="06A0" w:firstRow="1" w:lastRow="0" w:firstColumn="1" w:lastColumn="0" w:noHBand="1" w:noVBand="1"/>
      </w:tblPr>
      <w:tblGrid>
        <w:gridCol w:w="1027"/>
        <w:gridCol w:w="1094"/>
        <w:gridCol w:w="1488"/>
        <w:gridCol w:w="1489"/>
        <w:gridCol w:w="1276"/>
        <w:gridCol w:w="1343"/>
        <w:gridCol w:w="1343"/>
      </w:tblGrid>
      <w:tr w:rsidR="00C97DDE" w:rsidRPr="0029055C" w14:paraId="774B7B63" w14:textId="77777777" w:rsidTr="00507AF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7" w:type="pct"/>
            <w:tcBorders>
              <w:right w:val="single" w:sz="4" w:space="0" w:color="FFFFFF" w:themeColor="background1"/>
            </w:tcBorders>
            <w:noWrap/>
            <w:vAlign w:val="center"/>
            <w:hideMark/>
          </w:tcPr>
          <w:p w14:paraId="35BB71F5" w14:textId="77777777" w:rsidR="00C97DDE" w:rsidRPr="0029055C" w:rsidRDefault="00C97DDE" w:rsidP="00507AF3">
            <w:pPr>
              <w:spacing w:before="0" w:after="0" w:line="240" w:lineRule="auto"/>
              <w:jc w:val="center"/>
              <w:rPr>
                <w:rFonts w:cs="Calibri"/>
                <w:sz w:val="18"/>
                <w:szCs w:val="18"/>
              </w:rPr>
            </w:pPr>
            <w:r w:rsidRPr="0029055C">
              <w:rPr>
                <w:rFonts w:cs="Calibri"/>
                <w:sz w:val="18"/>
                <w:szCs w:val="18"/>
              </w:rPr>
              <w:t>Ειδικός</w:t>
            </w:r>
            <w:r w:rsidRPr="0029055C">
              <w:rPr>
                <w:rFonts w:cs="Calibri"/>
                <w:sz w:val="18"/>
                <w:szCs w:val="18"/>
              </w:rPr>
              <w:br/>
              <w:t>Στόχος</w:t>
            </w:r>
          </w:p>
        </w:tc>
        <w:tc>
          <w:tcPr>
            <w:tcW w:w="604" w:type="pct"/>
            <w:tcBorders>
              <w:left w:val="single" w:sz="4" w:space="0" w:color="FFFFFF" w:themeColor="background1"/>
              <w:right w:val="single" w:sz="4" w:space="0" w:color="FFFFFF" w:themeColor="background1"/>
            </w:tcBorders>
            <w:noWrap/>
            <w:vAlign w:val="center"/>
            <w:hideMark/>
          </w:tcPr>
          <w:p w14:paraId="730F8B8F" w14:textId="77777777" w:rsidR="00C97DDE" w:rsidRPr="0029055C" w:rsidRDefault="00C97DDE" w:rsidP="00507AF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 xml:space="preserve">Κατηγορία </w:t>
            </w:r>
            <w:r w:rsidRPr="0029055C">
              <w:rPr>
                <w:rFonts w:cs="Calibri"/>
                <w:sz w:val="18"/>
                <w:szCs w:val="18"/>
              </w:rPr>
              <w:br/>
              <w:t>Δράσης</w:t>
            </w:r>
          </w:p>
        </w:tc>
        <w:tc>
          <w:tcPr>
            <w:tcW w:w="821" w:type="pct"/>
            <w:tcBorders>
              <w:left w:val="single" w:sz="4" w:space="0" w:color="FFFFFF" w:themeColor="background1"/>
              <w:right w:val="single" w:sz="4" w:space="0" w:color="FFFFFF" w:themeColor="background1"/>
            </w:tcBorders>
            <w:noWrap/>
            <w:vAlign w:val="center"/>
            <w:hideMark/>
          </w:tcPr>
          <w:p w14:paraId="3669D8B2" w14:textId="77777777" w:rsidR="00C97DDE" w:rsidRPr="0029055C" w:rsidRDefault="00C97DDE" w:rsidP="00507AF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 xml:space="preserve">Π/Υ </w:t>
            </w:r>
            <w:r w:rsidRPr="0029055C">
              <w:rPr>
                <w:rFonts w:cs="Calibri"/>
                <w:b w:val="0"/>
                <w:sz w:val="18"/>
                <w:szCs w:val="18"/>
              </w:rPr>
              <w:t>(με βάση την  1η Αναθεώρηση)</w:t>
            </w:r>
          </w:p>
        </w:tc>
        <w:tc>
          <w:tcPr>
            <w:tcW w:w="822" w:type="pct"/>
            <w:tcBorders>
              <w:left w:val="single" w:sz="4" w:space="0" w:color="FFFFFF" w:themeColor="background1"/>
              <w:right w:val="single" w:sz="4" w:space="0" w:color="FFFFFF" w:themeColor="background1"/>
            </w:tcBorders>
            <w:vAlign w:val="center"/>
            <w:hideMark/>
          </w:tcPr>
          <w:p w14:paraId="15AB064C" w14:textId="77777777" w:rsidR="00C97DDE" w:rsidRPr="0029055C" w:rsidRDefault="00C97DDE" w:rsidP="00507AF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Νέος Π/Y</w:t>
            </w:r>
          </w:p>
        </w:tc>
        <w:tc>
          <w:tcPr>
            <w:tcW w:w="704" w:type="pct"/>
            <w:tcBorders>
              <w:left w:val="single" w:sz="4" w:space="0" w:color="FFFFFF" w:themeColor="background1"/>
              <w:right w:val="single" w:sz="4" w:space="0" w:color="FFFFFF" w:themeColor="background1"/>
            </w:tcBorders>
            <w:noWrap/>
            <w:vAlign w:val="center"/>
            <w:hideMark/>
          </w:tcPr>
          <w:p w14:paraId="5D1D5F15" w14:textId="77777777" w:rsidR="00C97DDE" w:rsidRPr="0029055C" w:rsidRDefault="00C97DDE" w:rsidP="00507AF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w:t>
            </w:r>
            <w:r w:rsidRPr="0029055C">
              <w:rPr>
                <w:rFonts w:cs="Calibri"/>
                <w:sz w:val="18"/>
                <w:szCs w:val="18"/>
              </w:rPr>
              <w:br/>
              <w:t xml:space="preserve"> Μεταβολής Π/Υ</w:t>
            </w:r>
          </w:p>
        </w:tc>
        <w:tc>
          <w:tcPr>
            <w:tcW w:w="741" w:type="pct"/>
            <w:tcBorders>
              <w:left w:val="single" w:sz="4" w:space="0" w:color="FFFFFF" w:themeColor="background1"/>
              <w:right w:val="single" w:sz="4" w:space="0" w:color="FFFFFF" w:themeColor="background1"/>
            </w:tcBorders>
            <w:vAlign w:val="center"/>
            <w:hideMark/>
          </w:tcPr>
          <w:p w14:paraId="4AD5A1CA" w14:textId="77777777" w:rsidR="00C97DDE" w:rsidRPr="0029055C" w:rsidRDefault="00C97DDE" w:rsidP="00507AF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Αρχική χρηματοδοτική βαρύτητα</w:t>
            </w:r>
            <w:r w:rsidRPr="0029055C">
              <w:rPr>
                <w:rStyle w:val="FootnoteReference"/>
                <w:rFonts w:cs="Calibri"/>
                <w:sz w:val="18"/>
                <w:szCs w:val="18"/>
              </w:rPr>
              <w:footnoteReference w:id="4"/>
            </w:r>
          </w:p>
        </w:tc>
        <w:tc>
          <w:tcPr>
            <w:tcW w:w="741" w:type="pct"/>
            <w:tcBorders>
              <w:left w:val="single" w:sz="4" w:space="0" w:color="FFFFFF" w:themeColor="background1"/>
            </w:tcBorders>
            <w:vAlign w:val="center"/>
            <w:hideMark/>
          </w:tcPr>
          <w:p w14:paraId="00AC9136" w14:textId="77777777" w:rsidR="00C97DDE" w:rsidRPr="0029055C" w:rsidRDefault="00C97DDE" w:rsidP="00507AF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Νέα χρηματοδοτική βαρύτητα</w:t>
            </w:r>
            <w:r w:rsidRPr="0029055C">
              <w:rPr>
                <w:rFonts w:cs="Calibri"/>
                <w:sz w:val="18"/>
                <w:szCs w:val="18"/>
                <w:vertAlign w:val="superscript"/>
              </w:rPr>
              <w:t>1</w:t>
            </w:r>
          </w:p>
        </w:tc>
      </w:tr>
      <w:tr w:rsidR="00C97DDE" w:rsidRPr="0029055C" w14:paraId="04A0A26A" w14:textId="77777777" w:rsidTr="00507AF3">
        <w:trPr>
          <w:trHeight w:val="300"/>
        </w:trPr>
        <w:tc>
          <w:tcPr>
            <w:cnfStyle w:val="001000000000" w:firstRow="0" w:lastRow="0" w:firstColumn="1" w:lastColumn="0" w:oddVBand="0" w:evenVBand="0" w:oddHBand="0" w:evenHBand="0" w:firstRowFirstColumn="0" w:firstRowLastColumn="0" w:lastRowFirstColumn="0" w:lastRowLastColumn="0"/>
            <w:tcW w:w="567" w:type="pct"/>
            <w:noWrap/>
            <w:vAlign w:val="center"/>
            <w:hideMark/>
          </w:tcPr>
          <w:p w14:paraId="25C97CB4" w14:textId="77777777" w:rsidR="00C97DDE" w:rsidRPr="0029055C" w:rsidRDefault="00C97DDE" w:rsidP="00507AF3">
            <w:pPr>
              <w:spacing w:before="0" w:after="0" w:line="240" w:lineRule="auto"/>
              <w:jc w:val="left"/>
              <w:rPr>
                <w:rFonts w:cs="Calibri"/>
                <w:b w:val="0"/>
                <w:color w:val="000000"/>
                <w:sz w:val="18"/>
                <w:szCs w:val="18"/>
              </w:rPr>
            </w:pPr>
            <w:r w:rsidRPr="0029055C">
              <w:rPr>
                <w:rFonts w:cs="Calibri"/>
                <w:b w:val="0"/>
                <w:bCs w:val="0"/>
                <w:color w:val="000000"/>
                <w:sz w:val="18"/>
                <w:szCs w:val="18"/>
              </w:rPr>
              <w:t>Β.1.</w:t>
            </w:r>
          </w:p>
        </w:tc>
        <w:tc>
          <w:tcPr>
            <w:tcW w:w="604" w:type="pct"/>
            <w:noWrap/>
            <w:vAlign w:val="center"/>
            <w:hideMark/>
          </w:tcPr>
          <w:p w14:paraId="3DC1CE72" w14:textId="77777777" w:rsidR="00C97DDE" w:rsidRPr="0029055C" w:rsidRDefault="00C97DDE" w:rsidP="00507A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00000"/>
                <w:sz w:val="18"/>
                <w:szCs w:val="18"/>
              </w:rPr>
            </w:pPr>
            <w:r w:rsidRPr="0029055C">
              <w:rPr>
                <w:rFonts w:cs="Calibri"/>
                <w:bCs/>
                <w:color w:val="000000"/>
                <w:sz w:val="18"/>
                <w:szCs w:val="18"/>
              </w:rPr>
              <w:t>Β.1.1.</w:t>
            </w:r>
          </w:p>
        </w:tc>
        <w:tc>
          <w:tcPr>
            <w:tcW w:w="821" w:type="pct"/>
            <w:noWrap/>
            <w:vAlign w:val="center"/>
            <w:hideMark/>
          </w:tcPr>
          <w:p w14:paraId="4F19C913"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105.000.000,00</w:t>
            </w:r>
          </w:p>
        </w:tc>
        <w:tc>
          <w:tcPr>
            <w:tcW w:w="822" w:type="pct"/>
            <w:noWrap/>
            <w:vAlign w:val="center"/>
            <w:hideMark/>
          </w:tcPr>
          <w:p w14:paraId="2B43B9B1"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185.000.000,00</w:t>
            </w:r>
          </w:p>
        </w:tc>
        <w:tc>
          <w:tcPr>
            <w:tcW w:w="704" w:type="pct"/>
            <w:noWrap/>
            <w:vAlign w:val="center"/>
            <w:hideMark/>
          </w:tcPr>
          <w:p w14:paraId="60378255" w14:textId="77777777" w:rsidR="00C97DDE" w:rsidRPr="0029055C" w:rsidRDefault="00C97DDE" w:rsidP="00507AF3">
            <w:pPr>
              <w:pStyle w:val="ListParagraph"/>
              <w:numPr>
                <w:ilvl w:val="0"/>
                <w:numId w:val="18"/>
              </w:numPr>
              <w:spacing w:before="0" w:after="0" w:line="240" w:lineRule="auto"/>
              <w:ind w:left="398" w:hanging="284"/>
              <w:jc w:val="lef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 xml:space="preserve"> 76,2%</w:t>
            </w:r>
          </w:p>
        </w:tc>
        <w:tc>
          <w:tcPr>
            <w:tcW w:w="741" w:type="pct"/>
            <w:noWrap/>
            <w:vAlign w:val="bottom"/>
            <w:hideMark/>
          </w:tcPr>
          <w:p w14:paraId="4C8FD836"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77,8%</w:t>
            </w:r>
          </w:p>
        </w:tc>
        <w:tc>
          <w:tcPr>
            <w:tcW w:w="741" w:type="pct"/>
            <w:noWrap/>
            <w:vAlign w:val="bottom"/>
            <w:hideMark/>
          </w:tcPr>
          <w:p w14:paraId="45666795"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92,5%</w:t>
            </w:r>
          </w:p>
        </w:tc>
      </w:tr>
      <w:tr w:rsidR="00C97DDE" w:rsidRPr="0029055C" w14:paraId="0C0D52EC" w14:textId="77777777" w:rsidTr="00507AF3">
        <w:trPr>
          <w:trHeight w:val="300"/>
        </w:trPr>
        <w:tc>
          <w:tcPr>
            <w:cnfStyle w:val="001000000000" w:firstRow="0" w:lastRow="0" w:firstColumn="1" w:lastColumn="0" w:oddVBand="0" w:evenVBand="0" w:oddHBand="0" w:evenHBand="0" w:firstRowFirstColumn="0" w:firstRowLastColumn="0" w:lastRowFirstColumn="0" w:lastRowLastColumn="0"/>
            <w:tcW w:w="567" w:type="pct"/>
            <w:noWrap/>
            <w:vAlign w:val="bottom"/>
            <w:hideMark/>
          </w:tcPr>
          <w:p w14:paraId="21836379" w14:textId="77777777" w:rsidR="00C97DDE" w:rsidRPr="0029055C" w:rsidRDefault="00C97DDE" w:rsidP="00507AF3">
            <w:pPr>
              <w:spacing w:before="0" w:after="0" w:line="240" w:lineRule="auto"/>
              <w:jc w:val="left"/>
              <w:rPr>
                <w:rFonts w:cs="Calibri"/>
                <w:b w:val="0"/>
                <w:color w:val="000000"/>
                <w:sz w:val="18"/>
                <w:szCs w:val="18"/>
              </w:rPr>
            </w:pPr>
            <w:r w:rsidRPr="0029055C">
              <w:rPr>
                <w:rFonts w:cs="Calibri"/>
                <w:b w:val="0"/>
                <w:bCs w:val="0"/>
                <w:color w:val="000000"/>
                <w:sz w:val="18"/>
                <w:szCs w:val="18"/>
              </w:rPr>
              <w:t> </w:t>
            </w:r>
          </w:p>
        </w:tc>
        <w:tc>
          <w:tcPr>
            <w:tcW w:w="604" w:type="pct"/>
            <w:noWrap/>
            <w:vAlign w:val="center"/>
            <w:hideMark/>
          </w:tcPr>
          <w:p w14:paraId="488BDDD1" w14:textId="77777777" w:rsidR="00C97DDE" w:rsidRPr="0029055C" w:rsidRDefault="00C97DDE" w:rsidP="00507A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00000"/>
                <w:sz w:val="18"/>
                <w:szCs w:val="18"/>
              </w:rPr>
            </w:pPr>
            <w:r w:rsidRPr="0029055C">
              <w:rPr>
                <w:rFonts w:cs="Calibri"/>
                <w:bCs/>
                <w:color w:val="000000"/>
                <w:sz w:val="18"/>
                <w:szCs w:val="18"/>
              </w:rPr>
              <w:t>Β.1.2.</w:t>
            </w:r>
          </w:p>
        </w:tc>
        <w:tc>
          <w:tcPr>
            <w:tcW w:w="821" w:type="pct"/>
            <w:noWrap/>
            <w:vAlign w:val="center"/>
            <w:hideMark/>
          </w:tcPr>
          <w:p w14:paraId="38C971FE"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30.000.000,00</w:t>
            </w:r>
          </w:p>
        </w:tc>
        <w:tc>
          <w:tcPr>
            <w:tcW w:w="822" w:type="pct"/>
            <w:noWrap/>
            <w:vAlign w:val="center"/>
            <w:hideMark/>
          </w:tcPr>
          <w:p w14:paraId="2326F9A9"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15.000.000,00</w:t>
            </w:r>
          </w:p>
        </w:tc>
        <w:tc>
          <w:tcPr>
            <w:tcW w:w="704" w:type="pct"/>
            <w:noWrap/>
            <w:vAlign w:val="center"/>
            <w:hideMark/>
          </w:tcPr>
          <w:p w14:paraId="2944A0D0" w14:textId="77777777" w:rsidR="00C97DDE" w:rsidRPr="0029055C" w:rsidRDefault="00C97DDE" w:rsidP="00507AF3">
            <w:pPr>
              <w:pStyle w:val="ListParagraph"/>
              <w:numPr>
                <w:ilvl w:val="0"/>
                <w:numId w:val="19"/>
              </w:numPr>
              <w:spacing w:before="0" w:after="0" w:line="240" w:lineRule="auto"/>
              <w:ind w:left="398" w:hanging="284"/>
              <w:jc w:val="lef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-50,0%</w:t>
            </w:r>
          </w:p>
        </w:tc>
        <w:tc>
          <w:tcPr>
            <w:tcW w:w="741" w:type="pct"/>
            <w:noWrap/>
            <w:vAlign w:val="bottom"/>
            <w:hideMark/>
          </w:tcPr>
          <w:p w14:paraId="48DA0BED"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22,2%</w:t>
            </w:r>
          </w:p>
        </w:tc>
        <w:tc>
          <w:tcPr>
            <w:tcW w:w="741" w:type="pct"/>
            <w:noWrap/>
            <w:vAlign w:val="bottom"/>
            <w:hideMark/>
          </w:tcPr>
          <w:p w14:paraId="70085E0F"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7,5%</w:t>
            </w:r>
          </w:p>
        </w:tc>
      </w:tr>
      <w:tr w:rsidR="00C97DDE" w:rsidRPr="0029055C" w14:paraId="39ADEE7C" w14:textId="77777777" w:rsidTr="00507AF3">
        <w:trPr>
          <w:trHeight w:val="300"/>
        </w:trPr>
        <w:tc>
          <w:tcPr>
            <w:cnfStyle w:val="001000000000" w:firstRow="0" w:lastRow="0" w:firstColumn="1" w:lastColumn="0" w:oddVBand="0" w:evenVBand="0" w:oddHBand="0" w:evenHBand="0" w:firstRowFirstColumn="0" w:firstRowLastColumn="0" w:lastRowFirstColumn="0" w:lastRowLastColumn="0"/>
            <w:tcW w:w="1171" w:type="pct"/>
            <w:gridSpan w:val="2"/>
            <w:shd w:val="clear" w:color="auto" w:fill="DAEEF3" w:themeFill="accent5" w:themeFillTint="33"/>
            <w:noWrap/>
            <w:vAlign w:val="center"/>
            <w:hideMark/>
          </w:tcPr>
          <w:p w14:paraId="7632E9BE" w14:textId="77777777" w:rsidR="00C97DDE" w:rsidRPr="0029055C" w:rsidRDefault="00C97DDE" w:rsidP="00507AF3">
            <w:pPr>
              <w:spacing w:before="0" w:after="0" w:line="240" w:lineRule="auto"/>
              <w:jc w:val="left"/>
              <w:rPr>
                <w:rFonts w:cs="Calibri"/>
                <w:color w:val="000000"/>
                <w:sz w:val="18"/>
                <w:szCs w:val="18"/>
              </w:rPr>
            </w:pPr>
            <w:r w:rsidRPr="0029055C">
              <w:rPr>
                <w:rFonts w:cs="Calibri"/>
                <w:color w:val="000000"/>
                <w:sz w:val="18"/>
                <w:szCs w:val="18"/>
              </w:rPr>
              <w:t>Σύνολο B.1.</w:t>
            </w:r>
          </w:p>
        </w:tc>
        <w:tc>
          <w:tcPr>
            <w:tcW w:w="821" w:type="pct"/>
            <w:shd w:val="clear" w:color="auto" w:fill="DAEEF3" w:themeFill="accent5" w:themeFillTint="33"/>
            <w:noWrap/>
            <w:vAlign w:val="center"/>
            <w:hideMark/>
          </w:tcPr>
          <w:p w14:paraId="1A3E1F34"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135.000.000,00</w:t>
            </w:r>
          </w:p>
        </w:tc>
        <w:tc>
          <w:tcPr>
            <w:tcW w:w="822" w:type="pct"/>
            <w:shd w:val="clear" w:color="auto" w:fill="DAEEF3" w:themeFill="accent5" w:themeFillTint="33"/>
            <w:noWrap/>
            <w:vAlign w:val="center"/>
            <w:hideMark/>
          </w:tcPr>
          <w:p w14:paraId="5C3FC70F"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200.000.000,00</w:t>
            </w:r>
          </w:p>
        </w:tc>
        <w:tc>
          <w:tcPr>
            <w:tcW w:w="704" w:type="pct"/>
            <w:shd w:val="clear" w:color="auto" w:fill="DAEEF3" w:themeFill="accent5" w:themeFillTint="33"/>
            <w:noWrap/>
            <w:vAlign w:val="center"/>
            <w:hideMark/>
          </w:tcPr>
          <w:p w14:paraId="15C47AFF" w14:textId="77777777" w:rsidR="00C97DDE" w:rsidRPr="0029055C" w:rsidRDefault="00C97DDE" w:rsidP="00C97DDE">
            <w:pPr>
              <w:pStyle w:val="ListParagraph"/>
              <w:numPr>
                <w:ilvl w:val="0"/>
                <w:numId w:val="28"/>
              </w:numPr>
              <w:spacing w:before="0" w:after="0" w:line="240" w:lineRule="auto"/>
              <w:ind w:left="394" w:hanging="284"/>
              <w:jc w:val="left"/>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29055C">
              <w:rPr>
                <w:rFonts w:cs="Calibri"/>
                <w:b/>
                <w:color w:val="000000"/>
                <w:sz w:val="18"/>
                <w:szCs w:val="18"/>
              </w:rPr>
              <w:t xml:space="preserve"> 48,1%</w:t>
            </w:r>
          </w:p>
        </w:tc>
        <w:tc>
          <w:tcPr>
            <w:tcW w:w="741" w:type="pct"/>
            <w:shd w:val="clear" w:color="auto" w:fill="DAEEF3" w:themeFill="accent5" w:themeFillTint="33"/>
            <w:noWrap/>
            <w:vAlign w:val="bottom"/>
            <w:hideMark/>
          </w:tcPr>
          <w:p w14:paraId="2DAF355F" w14:textId="77777777" w:rsidR="00C97DDE" w:rsidRPr="0029055C" w:rsidRDefault="00C97DDE" w:rsidP="00507A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60,5%</w:t>
            </w:r>
          </w:p>
        </w:tc>
        <w:tc>
          <w:tcPr>
            <w:tcW w:w="741" w:type="pct"/>
            <w:shd w:val="clear" w:color="auto" w:fill="DAEEF3" w:themeFill="accent5" w:themeFillTint="33"/>
            <w:noWrap/>
            <w:vAlign w:val="bottom"/>
            <w:hideMark/>
          </w:tcPr>
          <w:p w14:paraId="359F41D9" w14:textId="77777777" w:rsidR="00C97DDE" w:rsidRPr="0029055C" w:rsidRDefault="00C97DDE" w:rsidP="00507A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66,0%</w:t>
            </w:r>
          </w:p>
        </w:tc>
      </w:tr>
      <w:tr w:rsidR="00C97DDE" w:rsidRPr="0029055C" w14:paraId="13C00F0D" w14:textId="77777777" w:rsidTr="00507AF3">
        <w:trPr>
          <w:trHeight w:val="300"/>
        </w:trPr>
        <w:tc>
          <w:tcPr>
            <w:cnfStyle w:val="001000000000" w:firstRow="0" w:lastRow="0" w:firstColumn="1" w:lastColumn="0" w:oddVBand="0" w:evenVBand="0" w:oddHBand="0" w:evenHBand="0" w:firstRowFirstColumn="0" w:firstRowLastColumn="0" w:lastRowFirstColumn="0" w:lastRowLastColumn="0"/>
            <w:tcW w:w="567" w:type="pct"/>
            <w:noWrap/>
            <w:vAlign w:val="center"/>
            <w:hideMark/>
          </w:tcPr>
          <w:p w14:paraId="60A2DDEA" w14:textId="77777777" w:rsidR="00C97DDE" w:rsidRPr="0029055C" w:rsidRDefault="00C97DDE" w:rsidP="00507AF3">
            <w:pPr>
              <w:spacing w:before="0" w:after="0" w:line="240" w:lineRule="auto"/>
              <w:jc w:val="left"/>
              <w:rPr>
                <w:rFonts w:cs="Calibri"/>
                <w:b w:val="0"/>
                <w:color w:val="000000"/>
                <w:sz w:val="18"/>
                <w:szCs w:val="18"/>
              </w:rPr>
            </w:pPr>
            <w:r w:rsidRPr="0029055C">
              <w:rPr>
                <w:rFonts w:cs="Calibri"/>
                <w:b w:val="0"/>
                <w:color w:val="000000"/>
                <w:sz w:val="18"/>
                <w:szCs w:val="18"/>
              </w:rPr>
              <w:t>B.2.</w:t>
            </w:r>
          </w:p>
        </w:tc>
        <w:tc>
          <w:tcPr>
            <w:tcW w:w="604" w:type="pct"/>
            <w:noWrap/>
            <w:vAlign w:val="center"/>
            <w:hideMark/>
          </w:tcPr>
          <w:p w14:paraId="6328562A" w14:textId="77777777" w:rsidR="00C97DDE" w:rsidRPr="0029055C" w:rsidRDefault="00C97DDE" w:rsidP="00507A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00000"/>
                <w:sz w:val="18"/>
                <w:szCs w:val="18"/>
              </w:rPr>
            </w:pPr>
            <w:r w:rsidRPr="0029055C">
              <w:rPr>
                <w:rFonts w:cs="Calibri"/>
                <w:bCs/>
                <w:color w:val="000000"/>
                <w:sz w:val="18"/>
                <w:szCs w:val="18"/>
              </w:rPr>
              <w:t>B.2.1.</w:t>
            </w:r>
          </w:p>
        </w:tc>
        <w:tc>
          <w:tcPr>
            <w:tcW w:w="821" w:type="pct"/>
            <w:noWrap/>
            <w:vAlign w:val="center"/>
            <w:hideMark/>
          </w:tcPr>
          <w:p w14:paraId="1D7E6246"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sz w:val="18"/>
              </w:rPr>
              <w:t>88.137.222,00</w:t>
            </w:r>
          </w:p>
        </w:tc>
        <w:tc>
          <w:tcPr>
            <w:tcW w:w="822" w:type="pct"/>
            <w:noWrap/>
            <w:vAlign w:val="center"/>
            <w:hideMark/>
          </w:tcPr>
          <w:p w14:paraId="148CE92E"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sz w:val="18"/>
              </w:rPr>
              <w:t>103.137.222,00</w:t>
            </w:r>
          </w:p>
        </w:tc>
        <w:tc>
          <w:tcPr>
            <w:tcW w:w="704" w:type="pct"/>
            <w:noWrap/>
            <w:vAlign w:val="center"/>
            <w:hideMark/>
          </w:tcPr>
          <w:p w14:paraId="7CDA43B4" w14:textId="77777777" w:rsidR="00C97DDE" w:rsidRPr="0029055C" w:rsidRDefault="00C97DDE" w:rsidP="00C97DDE">
            <w:pPr>
              <w:pStyle w:val="ListParagraph"/>
              <w:numPr>
                <w:ilvl w:val="0"/>
                <w:numId w:val="28"/>
              </w:numPr>
              <w:spacing w:before="0" w:after="0" w:line="240" w:lineRule="auto"/>
              <w:ind w:left="394" w:hanging="284"/>
              <w:jc w:val="lef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 xml:space="preserve"> 17,0%</w:t>
            </w:r>
          </w:p>
        </w:tc>
        <w:tc>
          <w:tcPr>
            <w:tcW w:w="741" w:type="pct"/>
            <w:noWrap/>
            <w:vAlign w:val="bottom"/>
            <w:hideMark/>
          </w:tcPr>
          <w:p w14:paraId="5C6440DB"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100,0%</w:t>
            </w:r>
          </w:p>
        </w:tc>
        <w:tc>
          <w:tcPr>
            <w:tcW w:w="741" w:type="pct"/>
            <w:noWrap/>
            <w:vAlign w:val="bottom"/>
            <w:hideMark/>
          </w:tcPr>
          <w:p w14:paraId="0D190421"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100,0%</w:t>
            </w:r>
          </w:p>
        </w:tc>
      </w:tr>
      <w:tr w:rsidR="00C97DDE" w:rsidRPr="0029055C" w14:paraId="498B1901" w14:textId="77777777" w:rsidTr="00507AF3">
        <w:trPr>
          <w:trHeight w:val="300"/>
        </w:trPr>
        <w:tc>
          <w:tcPr>
            <w:cnfStyle w:val="001000000000" w:firstRow="0" w:lastRow="0" w:firstColumn="1" w:lastColumn="0" w:oddVBand="0" w:evenVBand="0" w:oddHBand="0" w:evenHBand="0" w:firstRowFirstColumn="0" w:firstRowLastColumn="0" w:lastRowFirstColumn="0" w:lastRowLastColumn="0"/>
            <w:tcW w:w="1171" w:type="pct"/>
            <w:gridSpan w:val="2"/>
            <w:shd w:val="clear" w:color="auto" w:fill="DAEEF3" w:themeFill="accent5" w:themeFillTint="33"/>
            <w:noWrap/>
            <w:vAlign w:val="center"/>
            <w:hideMark/>
          </w:tcPr>
          <w:p w14:paraId="4A0E2DE1" w14:textId="77777777" w:rsidR="00C97DDE" w:rsidRPr="0029055C" w:rsidRDefault="00C97DDE" w:rsidP="00507AF3">
            <w:pPr>
              <w:spacing w:before="0" w:after="0" w:line="240" w:lineRule="auto"/>
              <w:jc w:val="left"/>
              <w:rPr>
                <w:rFonts w:cs="Calibri"/>
                <w:color w:val="000000"/>
                <w:sz w:val="18"/>
                <w:szCs w:val="18"/>
              </w:rPr>
            </w:pPr>
            <w:r w:rsidRPr="0029055C">
              <w:rPr>
                <w:rFonts w:cs="Calibri"/>
                <w:color w:val="000000"/>
                <w:sz w:val="18"/>
                <w:szCs w:val="18"/>
              </w:rPr>
              <w:t>Σύνολο B.2.</w:t>
            </w:r>
          </w:p>
        </w:tc>
        <w:tc>
          <w:tcPr>
            <w:tcW w:w="821" w:type="pct"/>
            <w:shd w:val="clear" w:color="auto" w:fill="DAEEF3" w:themeFill="accent5" w:themeFillTint="33"/>
            <w:noWrap/>
            <w:vAlign w:val="center"/>
            <w:hideMark/>
          </w:tcPr>
          <w:p w14:paraId="1D02E782"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b/>
                <w:sz w:val="18"/>
              </w:rPr>
              <w:t>88.137.222,00</w:t>
            </w:r>
          </w:p>
        </w:tc>
        <w:tc>
          <w:tcPr>
            <w:tcW w:w="822" w:type="pct"/>
            <w:shd w:val="clear" w:color="auto" w:fill="DAEEF3" w:themeFill="accent5" w:themeFillTint="33"/>
            <w:noWrap/>
            <w:vAlign w:val="center"/>
            <w:hideMark/>
          </w:tcPr>
          <w:p w14:paraId="137826BE"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b/>
                <w:sz w:val="18"/>
              </w:rPr>
              <w:t>103.137.222,00</w:t>
            </w:r>
          </w:p>
        </w:tc>
        <w:tc>
          <w:tcPr>
            <w:tcW w:w="704" w:type="pct"/>
            <w:shd w:val="clear" w:color="auto" w:fill="DAEEF3" w:themeFill="accent5" w:themeFillTint="33"/>
            <w:noWrap/>
            <w:vAlign w:val="center"/>
            <w:hideMark/>
          </w:tcPr>
          <w:p w14:paraId="03730990" w14:textId="77777777" w:rsidR="00C97DDE" w:rsidRPr="0029055C" w:rsidRDefault="00C97DDE" w:rsidP="00C97DDE">
            <w:pPr>
              <w:pStyle w:val="ListParagraph"/>
              <w:numPr>
                <w:ilvl w:val="0"/>
                <w:numId w:val="28"/>
              </w:numPr>
              <w:spacing w:before="0" w:after="0" w:line="240" w:lineRule="auto"/>
              <w:ind w:left="394" w:hanging="284"/>
              <w:jc w:val="left"/>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29055C">
              <w:rPr>
                <w:rFonts w:cs="Calibri"/>
                <w:b/>
                <w:color w:val="000000"/>
                <w:sz w:val="18"/>
                <w:szCs w:val="18"/>
              </w:rPr>
              <w:t xml:space="preserve"> 17,0%</w:t>
            </w:r>
          </w:p>
        </w:tc>
        <w:tc>
          <w:tcPr>
            <w:tcW w:w="741" w:type="pct"/>
            <w:shd w:val="clear" w:color="auto" w:fill="DAEEF3" w:themeFill="accent5" w:themeFillTint="33"/>
            <w:noWrap/>
            <w:vAlign w:val="center"/>
            <w:hideMark/>
          </w:tcPr>
          <w:p w14:paraId="6F42982D" w14:textId="77777777" w:rsidR="00C97DDE" w:rsidRPr="0029055C" w:rsidRDefault="00C97DDE" w:rsidP="00507A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39,5%</w:t>
            </w:r>
          </w:p>
        </w:tc>
        <w:tc>
          <w:tcPr>
            <w:tcW w:w="741" w:type="pct"/>
            <w:shd w:val="clear" w:color="auto" w:fill="DAEEF3" w:themeFill="accent5" w:themeFillTint="33"/>
            <w:noWrap/>
            <w:vAlign w:val="center"/>
            <w:hideMark/>
          </w:tcPr>
          <w:p w14:paraId="68D4DF65" w14:textId="77777777" w:rsidR="00C97DDE" w:rsidRPr="0029055C" w:rsidRDefault="00C97DDE" w:rsidP="00507A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34,0%</w:t>
            </w:r>
          </w:p>
        </w:tc>
      </w:tr>
      <w:tr w:rsidR="00C97DDE" w:rsidRPr="0029055C" w14:paraId="0DF0ECFE" w14:textId="77777777" w:rsidTr="00507AF3">
        <w:trPr>
          <w:trHeight w:val="300"/>
        </w:trPr>
        <w:tc>
          <w:tcPr>
            <w:cnfStyle w:val="001000000000" w:firstRow="0" w:lastRow="0" w:firstColumn="1" w:lastColumn="0" w:oddVBand="0" w:evenVBand="0" w:oddHBand="0" w:evenHBand="0" w:firstRowFirstColumn="0" w:firstRowLastColumn="0" w:lastRowFirstColumn="0" w:lastRowLastColumn="0"/>
            <w:tcW w:w="1171" w:type="pct"/>
            <w:gridSpan w:val="2"/>
            <w:tcBorders>
              <w:right w:val="single" w:sz="4" w:space="0" w:color="FFFFFF" w:themeColor="background1"/>
            </w:tcBorders>
            <w:shd w:val="clear" w:color="auto" w:fill="92CDDC" w:themeFill="accent5" w:themeFillTint="99"/>
            <w:noWrap/>
            <w:vAlign w:val="center"/>
            <w:hideMark/>
          </w:tcPr>
          <w:p w14:paraId="784B2A1B" w14:textId="77777777" w:rsidR="00C97DDE" w:rsidRPr="0029055C" w:rsidRDefault="00C97DDE" w:rsidP="00507AF3">
            <w:pPr>
              <w:spacing w:before="0" w:after="0" w:line="240" w:lineRule="auto"/>
              <w:jc w:val="left"/>
              <w:rPr>
                <w:rFonts w:cs="Calibri"/>
                <w:b w:val="0"/>
                <w:bCs w:val="0"/>
                <w:color w:val="000000"/>
                <w:sz w:val="18"/>
                <w:szCs w:val="18"/>
              </w:rPr>
            </w:pPr>
            <w:r w:rsidRPr="0029055C">
              <w:rPr>
                <w:rFonts w:cs="Calibri"/>
                <w:color w:val="000000"/>
                <w:sz w:val="18"/>
                <w:szCs w:val="18"/>
              </w:rPr>
              <w:t xml:space="preserve">Σύνολο ΘΑ </w:t>
            </w:r>
            <w:r w:rsidR="005B45B3" w:rsidRPr="0029055C">
              <w:rPr>
                <w:rFonts w:cs="Calibri"/>
                <w:color w:val="000000"/>
                <w:sz w:val="18"/>
                <w:szCs w:val="18"/>
              </w:rPr>
              <w:t>ΙΙ</w:t>
            </w:r>
          </w:p>
        </w:tc>
        <w:tc>
          <w:tcPr>
            <w:tcW w:w="821" w:type="pct"/>
            <w:tcBorders>
              <w:left w:val="single" w:sz="4" w:space="0" w:color="FFFFFF" w:themeColor="background1"/>
              <w:right w:val="single" w:sz="4" w:space="0" w:color="FFFFFF" w:themeColor="background1"/>
            </w:tcBorders>
            <w:shd w:val="clear" w:color="auto" w:fill="92CDDC" w:themeFill="accent5" w:themeFillTint="99"/>
            <w:noWrap/>
            <w:vAlign w:val="center"/>
            <w:hideMark/>
          </w:tcPr>
          <w:p w14:paraId="769B397A"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223.137.222,00</w:t>
            </w:r>
          </w:p>
        </w:tc>
        <w:tc>
          <w:tcPr>
            <w:tcW w:w="822" w:type="pct"/>
            <w:tcBorders>
              <w:left w:val="single" w:sz="4" w:space="0" w:color="FFFFFF" w:themeColor="background1"/>
              <w:right w:val="single" w:sz="4" w:space="0" w:color="FFFFFF" w:themeColor="background1"/>
            </w:tcBorders>
            <w:shd w:val="clear" w:color="auto" w:fill="92CDDC" w:themeFill="accent5" w:themeFillTint="99"/>
            <w:noWrap/>
            <w:vAlign w:val="center"/>
            <w:hideMark/>
          </w:tcPr>
          <w:p w14:paraId="3BF8FE46" w14:textId="77777777" w:rsidR="00C97DDE" w:rsidRPr="0029055C" w:rsidRDefault="00C97DDE" w:rsidP="00507A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303.137.222,00</w:t>
            </w:r>
          </w:p>
        </w:tc>
        <w:tc>
          <w:tcPr>
            <w:tcW w:w="704" w:type="pct"/>
            <w:tcBorders>
              <w:left w:val="single" w:sz="4" w:space="0" w:color="FFFFFF" w:themeColor="background1"/>
              <w:right w:val="single" w:sz="4" w:space="0" w:color="FFFFFF" w:themeColor="background1"/>
            </w:tcBorders>
            <w:shd w:val="clear" w:color="auto" w:fill="92CDDC" w:themeFill="accent5" w:themeFillTint="99"/>
            <w:noWrap/>
            <w:vAlign w:val="center"/>
            <w:hideMark/>
          </w:tcPr>
          <w:p w14:paraId="5A3F8E22" w14:textId="77777777" w:rsidR="00C97DDE" w:rsidRPr="0029055C" w:rsidRDefault="00C97DDE" w:rsidP="00C97DDE">
            <w:pPr>
              <w:pStyle w:val="ListParagraph"/>
              <w:numPr>
                <w:ilvl w:val="0"/>
                <w:numId w:val="28"/>
              </w:numPr>
              <w:spacing w:before="0" w:after="0" w:line="240" w:lineRule="auto"/>
              <w:ind w:left="394" w:hanging="284"/>
              <w:jc w:val="left"/>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29055C">
              <w:rPr>
                <w:rFonts w:cs="Calibri"/>
                <w:b/>
                <w:color w:val="000000"/>
                <w:sz w:val="18"/>
                <w:szCs w:val="18"/>
              </w:rPr>
              <w:t xml:space="preserve"> 35,9%</w:t>
            </w:r>
          </w:p>
        </w:tc>
        <w:tc>
          <w:tcPr>
            <w:tcW w:w="741" w:type="pct"/>
            <w:tcBorders>
              <w:left w:val="single" w:sz="4" w:space="0" w:color="FFFFFF" w:themeColor="background1"/>
              <w:right w:val="single" w:sz="4" w:space="0" w:color="FFFFFF" w:themeColor="background1"/>
            </w:tcBorders>
            <w:shd w:val="clear" w:color="auto" w:fill="92CDDC" w:themeFill="accent5" w:themeFillTint="99"/>
            <w:noWrap/>
            <w:vAlign w:val="center"/>
            <w:hideMark/>
          </w:tcPr>
          <w:p w14:paraId="533C8BDC" w14:textId="77777777" w:rsidR="00C97DDE" w:rsidRPr="0029055C" w:rsidRDefault="00C97DDE" w:rsidP="00507A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43,2%</w:t>
            </w:r>
          </w:p>
        </w:tc>
        <w:tc>
          <w:tcPr>
            <w:tcW w:w="741" w:type="pct"/>
            <w:tcBorders>
              <w:left w:val="single" w:sz="4" w:space="0" w:color="FFFFFF" w:themeColor="background1"/>
            </w:tcBorders>
            <w:shd w:val="clear" w:color="auto" w:fill="92CDDC" w:themeFill="accent5" w:themeFillTint="99"/>
            <w:noWrap/>
            <w:vAlign w:val="center"/>
            <w:hideMark/>
          </w:tcPr>
          <w:p w14:paraId="54CE6B22" w14:textId="77777777" w:rsidR="00C97DDE" w:rsidRPr="0029055C" w:rsidRDefault="00C97DDE" w:rsidP="00507A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50,8%</w:t>
            </w:r>
          </w:p>
        </w:tc>
      </w:tr>
    </w:tbl>
    <w:p w14:paraId="6AF46EC8" w14:textId="77777777" w:rsidR="00C97DDE" w:rsidRPr="0029055C" w:rsidRDefault="00C97DDE" w:rsidP="00C97DDE">
      <w:pPr>
        <w:spacing w:line="300" w:lineRule="atLeast"/>
        <w:rPr>
          <w:rFonts w:cs="Arial"/>
          <w:color w:val="000000"/>
          <w:sz w:val="22"/>
        </w:rPr>
      </w:pPr>
      <w:r w:rsidRPr="0029055C">
        <w:rPr>
          <w:rFonts w:cs="Arial"/>
          <w:color w:val="000000"/>
          <w:sz w:val="22"/>
        </w:rPr>
        <w:lastRenderedPageBreak/>
        <w:t xml:space="preserve">Αναφορικά με το σύστημα δεικτών του ΘΑ </w:t>
      </w:r>
      <w:r w:rsidR="00B53959" w:rsidRPr="0029055C">
        <w:rPr>
          <w:rFonts w:cs="Arial"/>
          <w:color w:val="000000"/>
          <w:sz w:val="22"/>
        </w:rPr>
        <w:t>II</w:t>
      </w:r>
      <w:r w:rsidRPr="0029055C">
        <w:rPr>
          <w:rFonts w:cs="Arial"/>
          <w:color w:val="000000"/>
          <w:sz w:val="22"/>
        </w:rPr>
        <w:t>, πέρα από την επικαιροποίηση των δράσεων που τροφοδοτούν τους επιμέρους δείκτες με βάση την πρόοδο εξειδίκευσης και εφαρμογής του Προγράμματος, προτείνονται και οι ακόλουθες τροποποιήσεις:</w:t>
      </w:r>
    </w:p>
    <w:p w14:paraId="57D1ECAC" w14:textId="77777777" w:rsidR="00C97DDE" w:rsidRPr="0029055C" w:rsidRDefault="00C97DDE" w:rsidP="0029055C">
      <w:pPr>
        <w:pStyle w:val="Heading5"/>
      </w:pPr>
      <w:r w:rsidRPr="0029055C">
        <w:t>Δείκτες Αποτελέσματος</w:t>
      </w:r>
    </w:p>
    <w:p w14:paraId="2B717188" w14:textId="77777777" w:rsidR="00C97DDE" w:rsidRPr="0029055C" w:rsidRDefault="00C97DDE" w:rsidP="00C97DDE">
      <w:pPr>
        <w:pStyle w:val="Heading6"/>
      </w:pPr>
      <w:r w:rsidRPr="0029055C">
        <w:t>Τ4640: Αριθμός πολιτών που έχουν προσωποποιημένη πρόσβαση στο ενιαίο σημείο πρόσβασης των πολιτών</w:t>
      </w:r>
    </w:p>
    <w:p w14:paraId="3A1D293A" w14:textId="77777777" w:rsidR="00C97DDE" w:rsidRPr="0029055C" w:rsidRDefault="00C97DDE" w:rsidP="00C97DDE">
      <w:pPr>
        <w:spacing w:line="300" w:lineRule="atLeast"/>
        <w:rPr>
          <w:rFonts w:cs="Arial"/>
          <w:color w:val="000000"/>
          <w:sz w:val="22"/>
        </w:rPr>
      </w:pPr>
      <w:r w:rsidRPr="0029055C">
        <w:rPr>
          <w:rFonts w:cs="Arial"/>
          <w:b/>
          <w:color w:val="000000"/>
          <w:sz w:val="22"/>
        </w:rPr>
        <w:t>Αύξηση της τιμής στόχου του δείκτη για το 2023 από 150.000 σε 500.000,</w:t>
      </w:r>
      <w:r w:rsidRPr="0029055C">
        <w:rPr>
          <w:rFonts w:cs="Arial"/>
          <w:color w:val="000000"/>
          <w:sz w:val="22"/>
        </w:rPr>
        <w:t xml:space="preserve"> λαμβάνοντας υπόψη ότι ήδη ο αριθμός των πιστοποιημένων χρηστών στην πύλη ΕΡΜΗΣ ανέρχεται σε 400.000.</w:t>
      </w:r>
    </w:p>
    <w:p w14:paraId="0BC3601A" w14:textId="77777777" w:rsidR="00C97DDE" w:rsidRPr="0029055C" w:rsidRDefault="00C97DDE" w:rsidP="00C97DDE">
      <w:pPr>
        <w:pStyle w:val="Heading5"/>
      </w:pPr>
      <w:r w:rsidRPr="0029055C">
        <w:t>Δείκτες Εκροής</w:t>
      </w:r>
    </w:p>
    <w:p w14:paraId="614A8A9A" w14:textId="77777777" w:rsidR="00C97DDE" w:rsidRPr="0029055C" w:rsidRDefault="00C97DDE" w:rsidP="00C97DDE">
      <w:pPr>
        <w:pStyle w:val="Heading6"/>
      </w:pPr>
      <w:r w:rsidRPr="0029055C">
        <w:t>Τ4627: Αριθμός έργων δημιουργίας ή αναβάθμισης συστημάτων ΤΠΕ για την υποστήριξη οριζόντιων λειτουργιών των δημόσιων φορέων</w:t>
      </w:r>
    </w:p>
    <w:p w14:paraId="03B428E4" w14:textId="77777777" w:rsidR="00C97DDE" w:rsidRPr="0029055C" w:rsidRDefault="00C97DDE" w:rsidP="00C97DDE">
      <w:pPr>
        <w:spacing w:line="300" w:lineRule="atLeast"/>
        <w:rPr>
          <w:rFonts w:cs="Arial"/>
          <w:color w:val="000000"/>
          <w:sz w:val="22"/>
        </w:rPr>
      </w:pPr>
      <w:r w:rsidRPr="0029055C">
        <w:rPr>
          <w:rFonts w:cs="Arial"/>
          <w:color w:val="000000"/>
          <w:sz w:val="22"/>
        </w:rPr>
        <w:t xml:space="preserve">Η τιμή στόχος του δείκτη για το έτος 2023 ήταν αρχικά 13 με μέσο κόστος υλοποίησης 6.500.000 € ανά έργο. Λαμβάνοντας υπόψη την πρόοδο εξειδίκευσης και εφαρμογής των σχετικών δράσεων στο πλαίσιο του ΕΠ ΜΔΤ 2014-2020 και με ανάλογη αύξηση των διαθέσιμων πόρων, προτείνεται </w:t>
      </w:r>
      <w:r w:rsidRPr="0029055C">
        <w:rPr>
          <w:rFonts w:cs="Arial"/>
          <w:b/>
          <w:color w:val="000000"/>
          <w:sz w:val="22"/>
        </w:rPr>
        <w:t>αύξηση του στόχου του συγκεκριμένου δείκτη για το 2023 σε 17</w:t>
      </w:r>
      <w:r w:rsidRPr="0029055C">
        <w:rPr>
          <w:rFonts w:cs="Arial"/>
          <w:color w:val="000000"/>
          <w:sz w:val="22"/>
        </w:rPr>
        <w:t xml:space="preserve">, χωρίς να μεταβληθεί το εκτιμώμενο μέσο κόστος ανά έργο. </w:t>
      </w:r>
    </w:p>
    <w:p w14:paraId="3191585E" w14:textId="77777777" w:rsidR="00C97DDE" w:rsidRPr="0029055C" w:rsidRDefault="00C97DDE" w:rsidP="00C97DDE">
      <w:pPr>
        <w:pStyle w:val="Heading6"/>
      </w:pPr>
      <w:r w:rsidRPr="0029055C">
        <w:t>Τ4652: Αριθμός σημείων παρουσίας (κτήρια) του έργου ΣΥΖΕΥΞΙΣ ΙΙ για την υποστήριξη της λειτουργίας των δημόσιων φορέων</w:t>
      </w:r>
    </w:p>
    <w:p w14:paraId="2FF7E810" w14:textId="77777777" w:rsidR="00C97DDE" w:rsidRPr="0029055C" w:rsidRDefault="00C97DDE" w:rsidP="00C97DDE">
      <w:pPr>
        <w:spacing w:line="300" w:lineRule="atLeast"/>
        <w:rPr>
          <w:rFonts w:cs="Arial"/>
          <w:color w:val="000000"/>
          <w:sz w:val="22"/>
        </w:rPr>
      </w:pPr>
      <w:r w:rsidRPr="0029055C">
        <w:rPr>
          <w:rFonts w:cs="Arial"/>
          <w:b/>
          <w:color w:val="000000"/>
          <w:sz w:val="22"/>
        </w:rPr>
        <w:t>Προσθήκη του συγκεκριμένου δείκτη</w:t>
      </w:r>
      <w:r w:rsidRPr="0029055C">
        <w:rPr>
          <w:rFonts w:cs="Arial"/>
          <w:color w:val="000000"/>
          <w:sz w:val="22"/>
        </w:rPr>
        <w:t xml:space="preserve">, ο οποίος συνδέεται με το </w:t>
      </w:r>
      <w:r w:rsidR="005B45B3" w:rsidRPr="0029055C">
        <w:rPr>
          <w:rFonts w:cs="Arial"/>
          <w:color w:val="000000"/>
          <w:sz w:val="22"/>
        </w:rPr>
        <w:t>Μ</w:t>
      </w:r>
      <w:r w:rsidRPr="0029055C">
        <w:rPr>
          <w:rFonts w:cs="Arial"/>
          <w:color w:val="000000"/>
          <w:sz w:val="22"/>
        </w:rPr>
        <w:t xml:space="preserve">εγάλο </w:t>
      </w:r>
      <w:r w:rsidR="005B45B3" w:rsidRPr="0029055C">
        <w:rPr>
          <w:rFonts w:cs="Arial"/>
          <w:color w:val="000000"/>
          <w:sz w:val="22"/>
        </w:rPr>
        <w:t>Έ</w:t>
      </w:r>
      <w:r w:rsidRPr="0029055C">
        <w:rPr>
          <w:rFonts w:cs="Arial"/>
          <w:color w:val="000000"/>
          <w:sz w:val="22"/>
        </w:rPr>
        <w:t xml:space="preserve">ργο </w:t>
      </w:r>
      <w:r w:rsidR="005B45B3" w:rsidRPr="0029055C">
        <w:rPr>
          <w:rFonts w:cs="Arial"/>
          <w:color w:val="000000"/>
          <w:sz w:val="22"/>
        </w:rPr>
        <w:t>«</w:t>
      </w:r>
      <w:r w:rsidRPr="0029055C">
        <w:rPr>
          <w:rFonts w:cs="Arial"/>
          <w:color w:val="000000"/>
          <w:sz w:val="22"/>
        </w:rPr>
        <w:t>ΣΥΖΕΥΞΙΣ ΙΙ</w:t>
      </w:r>
      <w:r w:rsidR="005B45B3" w:rsidRPr="0029055C">
        <w:rPr>
          <w:rFonts w:cs="Arial"/>
          <w:color w:val="000000"/>
          <w:sz w:val="22"/>
        </w:rPr>
        <w:t>»</w:t>
      </w:r>
      <w:r w:rsidRPr="0029055C">
        <w:rPr>
          <w:rFonts w:cs="Arial"/>
          <w:color w:val="000000"/>
          <w:sz w:val="22"/>
        </w:rPr>
        <w:t xml:space="preserve"> και την αύξηση του </w:t>
      </w:r>
      <w:r w:rsidR="005B45B3" w:rsidRPr="0029055C">
        <w:rPr>
          <w:rFonts w:cs="Arial"/>
          <w:color w:val="000000"/>
          <w:sz w:val="22"/>
        </w:rPr>
        <w:t>προϋπολογισμού</w:t>
      </w:r>
      <w:r w:rsidRPr="0029055C">
        <w:rPr>
          <w:rFonts w:cs="Arial"/>
          <w:color w:val="000000"/>
          <w:sz w:val="22"/>
        </w:rPr>
        <w:t xml:space="preserve"> του ΕΤΠΑ κατά 80.000.000€ Δ.Δ. Η τιμή βάσης για το έτος 2018 ανέρχεται σε 4.359 και αφορά σε σημεία (κτήρια) που χρησιμοποιούν τις υπηρεσίες του ΣΥΖΕΥΞΙΣ Ι. Η τιμή στόχος του δείκτη για το 2023 ανέρχεται σε </w:t>
      </w:r>
      <w:r w:rsidRPr="0029055C">
        <w:rPr>
          <w:rFonts w:cs="Arial"/>
          <w:b/>
          <w:color w:val="000000"/>
          <w:sz w:val="22"/>
        </w:rPr>
        <w:t>34.500</w:t>
      </w:r>
      <w:r w:rsidRPr="0029055C">
        <w:rPr>
          <w:rFonts w:cs="Arial"/>
          <w:color w:val="000000"/>
          <w:sz w:val="22"/>
        </w:rPr>
        <w:t>, συμπεριλαμβανομένης της τιμής βάσης,  και αφορά στα σημεία πρόσβασης (κτήρια) του δημόσιου τομέα τα οποία θα ενταχθούν στο δίκτυο του ΣΥΖΕΥΞΙΣ ΙΙ.</w:t>
      </w:r>
    </w:p>
    <w:p w14:paraId="548E8674" w14:textId="77777777" w:rsidR="00C97DDE" w:rsidRPr="0029055C" w:rsidRDefault="00C97DDE" w:rsidP="00C97DDE">
      <w:pPr>
        <w:pStyle w:val="Heading6"/>
      </w:pPr>
      <w:r w:rsidRPr="0029055C">
        <w:t>Τ4630: Αριθμός έργων ανάπτυξης ή αναβάθμισης βασικών υπηρεσιών της δημόσιας διοίκησης που παρέχονται πλήρως ηλεκτρονικά</w:t>
      </w:r>
    </w:p>
    <w:p w14:paraId="7AC8E568" w14:textId="77777777" w:rsidR="00C97DDE" w:rsidRPr="0029055C" w:rsidRDefault="00C97DDE" w:rsidP="00C97DDE">
      <w:pPr>
        <w:spacing w:line="300" w:lineRule="atLeast"/>
        <w:rPr>
          <w:rFonts w:cs="Arial"/>
          <w:color w:val="000000"/>
          <w:sz w:val="22"/>
        </w:rPr>
      </w:pPr>
      <w:r w:rsidRPr="0029055C">
        <w:rPr>
          <w:rFonts w:cs="Arial"/>
          <w:color w:val="000000"/>
          <w:sz w:val="22"/>
        </w:rPr>
        <w:t xml:space="preserve">Στο πλαίσιο της 2ης Αναθεώρησης του Προγράμματος, αφαιρείται από τον τίτλο του δείκτη ο προσδιορισμός «βασικές» υπηρεσίες, προκειμένου να συνάδει με το eGovernment Benchmark Framework της Ευρωπαϊκής Στρατηγικής για την «Ψηφιακή Ενιαία Αγορά». </w:t>
      </w:r>
    </w:p>
    <w:p w14:paraId="0815BBC0" w14:textId="77777777" w:rsidR="00C97DDE" w:rsidRPr="0029055C" w:rsidRDefault="00C97DDE" w:rsidP="00C97DDE">
      <w:pPr>
        <w:spacing w:line="300" w:lineRule="atLeast"/>
        <w:rPr>
          <w:rFonts w:cs="Arial"/>
          <w:color w:val="000000"/>
          <w:sz w:val="22"/>
        </w:rPr>
      </w:pPr>
      <w:r w:rsidRPr="0029055C">
        <w:rPr>
          <w:rFonts w:cs="Arial"/>
          <w:color w:val="000000"/>
          <w:sz w:val="22"/>
        </w:rPr>
        <w:t xml:space="preserve">Η τιμή στόχος του δείκτη για το έτος 2023 </w:t>
      </w:r>
      <w:r w:rsidRPr="0029055C">
        <w:rPr>
          <w:rFonts w:cs="Arial"/>
          <w:b/>
          <w:color w:val="000000"/>
          <w:sz w:val="22"/>
        </w:rPr>
        <w:t>αυξάνεται από 2 σε 4</w:t>
      </w:r>
      <w:r w:rsidRPr="0029055C">
        <w:rPr>
          <w:rFonts w:cs="Arial"/>
          <w:color w:val="000000"/>
          <w:sz w:val="22"/>
        </w:rPr>
        <w:t>, δεδομένου ότι διευρύνεται το πεδίο ορισμού του δείκτη, έτσι ώστε να συμπεριλάβει ευρύτερο φάσμα υπηρεσιών της δημόσιας διοίκησης που παρέχονται πλήρως ηλεκτρονικά.</w:t>
      </w:r>
    </w:p>
    <w:p w14:paraId="079AA902" w14:textId="77777777" w:rsidR="00C97DDE" w:rsidRPr="0029055C" w:rsidRDefault="00C97DDE" w:rsidP="00C97DDE">
      <w:pPr>
        <w:spacing w:line="300" w:lineRule="atLeast"/>
        <w:rPr>
          <w:rFonts w:cs="Arial"/>
          <w:color w:val="000000"/>
          <w:sz w:val="22"/>
        </w:rPr>
      </w:pPr>
      <w:r w:rsidRPr="0029055C">
        <w:rPr>
          <w:rFonts w:cs="Arial"/>
          <w:color w:val="000000"/>
          <w:sz w:val="22"/>
        </w:rPr>
        <w:t xml:space="preserve">Η νέα στοχοθεσία του Θεματικού Άξονα </w:t>
      </w:r>
      <w:r w:rsidR="00B53959" w:rsidRPr="0029055C">
        <w:rPr>
          <w:rFonts w:cs="Arial"/>
          <w:color w:val="000000"/>
          <w:sz w:val="22"/>
        </w:rPr>
        <w:t>II</w:t>
      </w:r>
      <w:r w:rsidRPr="0029055C">
        <w:rPr>
          <w:rFonts w:cs="Arial"/>
          <w:color w:val="000000"/>
          <w:sz w:val="22"/>
        </w:rPr>
        <w:t xml:space="preserve"> παρατίθεται στον ακόλουθο Πίνακα, στον οποίο:</w:t>
      </w:r>
    </w:p>
    <w:p w14:paraId="535269FF" w14:textId="77777777" w:rsidR="00C97DDE" w:rsidRPr="0029055C" w:rsidRDefault="00C97DDE" w:rsidP="00C97DDE">
      <w:pPr>
        <w:pStyle w:val="ListParagraph"/>
        <w:numPr>
          <w:ilvl w:val="0"/>
          <w:numId w:val="21"/>
        </w:numPr>
        <w:spacing w:line="300" w:lineRule="atLeast"/>
        <w:rPr>
          <w:rFonts w:cs="Arial"/>
          <w:color w:val="000000"/>
          <w:sz w:val="22"/>
        </w:rPr>
      </w:pPr>
      <w:r w:rsidRPr="0029055C">
        <w:rPr>
          <w:rFonts w:cs="Arial"/>
          <w:color w:val="000000"/>
          <w:sz w:val="22"/>
        </w:rPr>
        <w:t>Οι δείκτες του Πλαισίου Επιδόσεων του ΕΠ ΜΔΤ επισημαίνονται με σκίαση</w:t>
      </w:r>
    </w:p>
    <w:p w14:paraId="1BB9454A" w14:textId="77777777" w:rsidR="00C97DDE" w:rsidRPr="0029055C" w:rsidRDefault="00C97DDE" w:rsidP="00C97DDE">
      <w:pPr>
        <w:pStyle w:val="ListParagraph"/>
        <w:numPr>
          <w:ilvl w:val="0"/>
          <w:numId w:val="21"/>
        </w:numPr>
        <w:spacing w:line="300" w:lineRule="atLeast"/>
        <w:rPr>
          <w:rFonts w:cs="Arial"/>
          <w:color w:val="000000"/>
          <w:sz w:val="22"/>
        </w:rPr>
      </w:pPr>
      <w:r w:rsidRPr="0029055C">
        <w:rPr>
          <w:rFonts w:cs="Arial"/>
          <w:color w:val="000000"/>
          <w:sz w:val="22"/>
        </w:rPr>
        <w:t>Οι προηγούμενες τιμές των δεικτών, εφόσον υπάρχει τροποποίηση, παρατίθενται σε παρένθεση.</w:t>
      </w:r>
    </w:p>
    <w:p w14:paraId="2DA3DFB5" w14:textId="77777777" w:rsidR="00C97DDE" w:rsidRPr="0029055C" w:rsidRDefault="00C97DDE" w:rsidP="00C97DDE">
      <w:pPr>
        <w:pStyle w:val="ListParagraph"/>
        <w:numPr>
          <w:ilvl w:val="0"/>
          <w:numId w:val="21"/>
        </w:numPr>
        <w:spacing w:line="300" w:lineRule="atLeast"/>
        <w:rPr>
          <w:rFonts w:cs="Arial"/>
          <w:color w:val="000000"/>
          <w:sz w:val="22"/>
        </w:rPr>
      </w:pPr>
      <w:r w:rsidRPr="0029055C">
        <w:rPr>
          <w:rFonts w:cs="Arial"/>
          <w:color w:val="000000"/>
          <w:sz w:val="22"/>
        </w:rPr>
        <w:t xml:space="preserve">Οι δείκτες που προστίθενται στο σύστημα δεικτών του ΘΑ σημειώνονται με </w:t>
      </w:r>
      <w:r w:rsidRPr="0029055C">
        <w:rPr>
          <w:rFonts w:cs="Arial"/>
          <w:color w:val="00B050"/>
          <w:sz w:val="22"/>
        </w:rPr>
        <w:t>πράσινη γραμματοσειρά.</w:t>
      </w:r>
    </w:p>
    <w:p w14:paraId="02C9E299" w14:textId="77777777" w:rsidR="00C97DDE" w:rsidRPr="0029055C" w:rsidRDefault="00C97DDE" w:rsidP="00C97DDE">
      <w:pPr>
        <w:pStyle w:val="Caption"/>
        <w:spacing w:before="240" w:after="120" w:line="280" w:lineRule="atLeast"/>
        <w:rPr>
          <w:b w:val="0"/>
          <w:sz w:val="22"/>
          <w:szCs w:val="22"/>
        </w:rPr>
      </w:pPr>
      <w:r w:rsidRPr="0029055C">
        <w:rPr>
          <w:sz w:val="22"/>
          <w:szCs w:val="22"/>
        </w:rPr>
        <w:lastRenderedPageBreak/>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4</w:t>
      </w:r>
      <w:r w:rsidRPr="0029055C">
        <w:rPr>
          <w:sz w:val="22"/>
          <w:szCs w:val="22"/>
        </w:rPr>
        <w:fldChar w:fldCharType="end"/>
      </w:r>
      <w:r w:rsidRPr="0029055C">
        <w:rPr>
          <w:b w:val="0"/>
          <w:sz w:val="22"/>
          <w:szCs w:val="22"/>
        </w:rPr>
        <w:t xml:space="preserve">. Δείκτες Θεματικού Άξονα </w:t>
      </w:r>
      <w:r w:rsidR="00AC462E" w:rsidRPr="0029055C">
        <w:rPr>
          <w:b w:val="0"/>
          <w:sz w:val="22"/>
          <w:szCs w:val="22"/>
        </w:rPr>
        <w:t>II</w:t>
      </w:r>
    </w:p>
    <w:tbl>
      <w:tblPr>
        <w:tblStyle w:val="GridTable6Colorful-Accent5"/>
        <w:tblW w:w="5000" w:type="pct"/>
        <w:jc w:val="center"/>
        <w:tblLayout w:type="fixed"/>
        <w:tblCellMar>
          <w:left w:w="28" w:type="dxa"/>
          <w:right w:w="28" w:type="dxa"/>
        </w:tblCellMar>
        <w:tblLook w:val="04A0" w:firstRow="1" w:lastRow="0" w:firstColumn="1" w:lastColumn="0" w:noHBand="0" w:noVBand="1"/>
      </w:tblPr>
      <w:tblGrid>
        <w:gridCol w:w="5662"/>
        <w:gridCol w:w="1132"/>
        <w:gridCol w:w="1133"/>
        <w:gridCol w:w="1133"/>
      </w:tblGrid>
      <w:tr w:rsidR="00C97DDE" w:rsidRPr="0029055C" w14:paraId="2AFEB9A0" w14:textId="77777777" w:rsidTr="00507AF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125" w:type="pct"/>
            <w:tcBorders>
              <w:bottom w:val="thickThinSmallGap" w:sz="24" w:space="0" w:color="92CDDC" w:themeColor="accent5" w:themeTint="99"/>
            </w:tcBorders>
            <w:noWrap/>
            <w:vAlign w:val="center"/>
            <w:hideMark/>
          </w:tcPr>
          <w:p w14:paraId="1606B1C5" w14:textId="77777777" w:rsidR="00C97DDE" w:rsidRPr="0029055C" w:rsidRDefault="00C97DDE" w:rsidP="00507AF3">
            <w:pPr>
              <w:spacing w:before="40" w:after="40" w:line="240" w:lineRule="auto"/>
              <w:jc w:val="center"/>
              <w:rPr>
                <w:rFonts w:asciiTheme="minorHAnsi" w:hAnsiTheme="minorHAnsi" w:cstheme="minorHAnsi"/>
                <w:sz w:val="18"/>
                <w:szCs w:val="20"/>
              </w:rPr>
            </w:pPr>
            <w:r w:rsidRPr="0029055C">
              <w:rPr>
                <w:rFonts w:asciiTheme="minorHAnsi" w:hAnsiTheme="minorHAnsi" w:cstheme="minorHAnsi"/>
                <w:sz w:val="18"/>
                <w:szCs w:val="20"/>
              </w:rPr>
              <w:t>Δείκτης</w:t>
            </w:r>
          </w:p>
        </w:tc>
        <w:tc>
          <w:tcPr>
            <w:tcW w:w="625" w:type="pct"/>
            <w:tcBorders>
              <w:bottom w:val="thickThinSmallGap" w:sz="24" w:space="0" w:color="92CDDC" w:themeColor="accent5" w:themeTint="99"/>
            </w:tcBorders>
            <w:vAlign w:val="center"/>
          </w:tcPr>
          <w:p w14:paraId="19DE902A"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Τιμή Βάσης</w:t>
            </w:r>
            <w:r w:rsidRPr="0029055C">
              <w:rPr>
                <w:rStyle w:val="FootnoteReference"/>
                <w:rFonts w:asciiTheme="minorHAnsi" w:hAnsiTheme="minorHAnsi" w:cstheme="minorHAnsi"/>
                <w:sz w:val="18"/>
                <w:szCs w:val="20"/>
              </w:rPr>
              <w:footnoteReference w:id="5"/>
            </w:r>
          </w:p>
        </w:tc>
        <w:tc>
          <w:tcPr>
            <w:tcW w:w="625" w:type="pct"/>
            <w:tcBorders>
              <w:bottom w:val="thickThinSmallGap" w:sz="24" w:space="0" w:color="92CDDC" w:themeColor="accent5" w:themeTint="99"/>
            </w:tcBorders>
            <w:noWrap/>
            <w:vAlign w:val="center"/>
            <w:hideMark/>
          </w:tcPr>
          <w:p w14:paraId="0A4D4B37"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2018</w:t>
            </w:r>
            <w:r w:rsidRPr="0029055C">
              <w:rPr>
                <w:rStyle w:val="FootnoteReference"/>
                <w:rFonts w:asciiTheme="minorHAnsi" w:hAnsiTheme="minorHAnsi" w:cstheme="minorHAnsi"/>
                <w:sz w:val="18"/>
                <w:szCs w:val="20"/>
              </w:rPr>
              <w:footnoteReference w:id="6"/>
            </w:r>
          </w:p>
        </w:tc>
        <w:tc>
          <w:tcPr>
            <w:tcW w:w="625" w:type="pct"/>
            <w:tcBorders>
              <w:bottom w:val="thickThinSmallGap" w:sz="24" w:space="0" w:color="92CDDC" w:themeColor="accent5" w:themeTint="99"/>
            </w:tcBorders>
            <w:noWrap/>
            <w:vAlign w:val="center"/>
            <w:hideMark/>
          </w:tcPr>
          <w:p w14:paraId="524B3A0C"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2023</w:t>
            </w:r>
          </w:p>
        </w:tc>
      </w:tr>
      <w:tr w:rsidR="00C97DDE" w:rsidRPr="0029055C" w14:paraId="4217AFD7" w14:textId="77777777" w:rsidTr="00507A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44A9C4"/>
            <w:noWrap/>
            <w:vAlign w:val="center"/>
          </w:tcPr>
          <w:p w14:paraId="0923EBBF" w14:textId="77777777" w:rsidR="00C97DDE" w:rsidRPr="0029055C" w:rsidRDefault="00C97DDE" w:rsidP="00507AF3">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color w:val="FFFFFF" w:themeColor="background1"/>
                <w:sz w:val="18"/>
                <w:szCs w:val="20"/>
              </w:rPr>
              <w:t>ΔΕΙΚΤΕΣ ΕΚΡΟΗΣ</w:t>
            </w:r>
          </w:p>
        </w:tc>
      </w:tr>
      <w:tr w:rsidR="00C97DDE" w:rsidRPr="0029055C" w14:paraId="5256DC21" w14:textId="77777777" w:rsidTr="00507AF3">
        <w:trPr>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DAEEF3" w:themeFill="accent5" w:themeFillTint="33"/>
            <w:noWrap/>
            <w:vAlign w:val="center"/>
          </w:tcPr>
          <w:p w14:paraId="21C1A073" w14:textId="77777777" w:rsidR="00C97DDE" w:rsidRPr="0029055C" w:rsidRDefault="00C97DDE" w:rsidP="00507AF3">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sz w:val="18"/>
                <w:szCs w:val="20"/>
              </w:rPr>
              <w:t xml:space="preserve">T4627. </w:t>
            </w:r>
            <w:r w:rsidRPr="0029055C">
              <w:rPr>
                <w:rFonts w:asciiTheme="minorHAnsi" w:hAnsiTheme="minorHAnsi" w:cstheme="minorHAnsi"/>
                <w:b w:val="0"/>
                <w:sz w:val="18"/>
                <w:szCs w:val="20"/>
              </w:rPr>
              <w:t>Αριθμός έργων δημιουργίας ή αναβάθμισης συστημάτων ΤΠΕ για την υποστήριξη οριζόντιων λειτουργιών των δημόσιων φορέων</w:t>
            </w:r>
          </w:p>
        </w:tc>
        <w:tc>
          <w:tcPr>
            <w:tcW w:w="625" w:type="pct"/>
            <w:shd w:val="clear" w:color="auto" w:fill="DAEEF3" w:themeFill="accent5" w:themeFillTint="33"/>
            <w:vAlign w:val="center"/>
          </w:tcPr>
          <w:p w14:paraId="1C353159"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DAEEF3" w:themeFill="accent5" w:themeFillTint="33"/>
            <w:noWrap/>
            <w:vAlign w:val="center"/>
          </w:tcPr>
          <w:p w14:paraId="3FB2E771"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8</w:t>
            </w:r>
          </w:p>
        </w:tc>
        <w:tc>
          <w:tcPr>
            <w:tcW w:w="625" w:type="pct"/>
            <w:shd w:val="clear" w:color="auto" w:fill="DAEEF3" w:themeFill="accent5" w:themeFillTint="33"/>
            <w:noWrap/>
            <w:vAlign w:val="center"/>
          </w:tcPr>
          <w:p w14:paraId="4D65B829"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b/>
                <w:sz w:val="18"/>
                <w:szCs w:val="20"/>
              </w:rPr>
              <w:t>17</w:t>
            </w:r>
            <w:r w:rsidRPr="0029055C">
              <w:rPr>
                <w:rFonts w:asciiTheme="minorHAnsi" w:hAnsiTheme="minorHAnsi" w:cstheme="minorHAnsi"/>
                <w:sz w:val="18"/>
                <w:szCs w:val="20"/>
              </w:rPr>
              <w:t xml:space="preserve"> (13)</w:t>
            </w:r>
          </w:p>
        </w:tc>
      </w:tr>
      <w:tr w:rsidR="00C97DDE" w:rsidRPr="0029055C" w14:paraId="69FDA250" w14:textId="77777777" w:rsidTr="00507A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5" w:type="pct"/>
            <w:noWrap/>
            <w:vAlign w:val="center"/>
          </w:tcPr>
          <w:p w14:paraId="6947B2A8" w14:textId="77777777" w:rsidR="00C97DDE" w:rsidRPr="0029055C" w:rsidRDefault="00C97DDE" w:rsidP="00507AF3">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sz w:val="18"/>
                <w:szCs w:val="20"/>
              </w:rPr>
              <w:t xml:space="preserve">T4628. </w:t>
            </w:r>
            <w:r w:rsidRPr="0029055C">
              <w:rPr>
                <w:rFonts w:asciiTheme="minorHAnsi" w:hAnsiTheme="minorHAnsi" w:cstheme="minorHAnsi"/>
                <w:b w:val="0"/>
                <w:sz w:val="18"/>
                <w:szCs w:val="20"/>
              </w:rPr>
              <w:t>Αριθμός έργων ενίσχυσης της διαλειτουργικότητας μητρώων και υπηρεσιών του Δημόσιου Τομέα</w:t>
            </w:r>
          </w:p>
        </w:tc>
        <w:tc>
          <w:tcPr>
            <w:tcW w:w="625" w:type="pct"/>
            <w:vAlign w:val="center"/>
          </w:tcPr>
          <w:p w14:paraId="7E9DBA9C"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noWrap/>
            <w:vAlign w:val="center"/>
          </w:tcPr>
          <w:p w14:paraId="040CDBE0"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5</w:t>
            </w:r>
          </w:p>
        </w:tc>
        <w:tc>
          <w:tcPr>
            <w:tcW w:w="625" w:type="pct"/>
            <w:noWrap/>
            <w:vAlign w:val="center"/>
          </w:tcPr>
          <w:p w14:paraId="7C5BD4BF"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9</w:t>
            </w:r>
          </w:p>
        </w:tc>
      </w:tr>
      <w:tr w:rsidR="00C97DDE" w:rsidRPr="0029055C" w14:paraId="076B6900" w14:textId="77777777" w:rsidTr="00507AF3">
        <w:trPr>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vAlign w:val="center"/>
          </w:tcPr>
          <w:p w14:paraId="4248CBE0" w14:textId="77777777" w:rsidR="00C97DDE" w:rsidRPr="0029055C" w:rsidRDefault="00C97DDE" w:rsidP="00507AF3">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sz w:val="18"/>
                <w:szCs w:val="20"/>
              </w:rPr>
              <w:t xml:space="preserve">T4629. </w:t>
            </w:r>
            <w:r w:rsidRPr="0029055C">
              <w:rPr>
                <w:rFonts w:asciiTheme="minorHAnsi" w:hAnsiTheme="minorHAnsi" w:cstheme="minorHAnsi"/>
                <w:b w:val="0"/>
                <w:sz w:val="18"/>
                <w:szCs w:val="20"/>
              </w:rPr>
              <w:t>Αριθμός έργων αναβάθμισης της λειτουργίας του ενιαίου σημείου πρόσβασης των πολιτών στις υπηρεσίες του δημόσιου τομέα</w:t>
            </w:r>
          </w:p>
        </w:tc>
        <w:tc>
          <w:tcPr>
            <w:tcW w:w="625" w:type="pct"/>
            <w:vAlign w:val="center"/>
          </w:tcPr>
          <w:p w14:paraId="7DC23107"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1DDFE5E3"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cs="Calibri"/>
                <w:color w:val="000000"/>
                <w:sz w:val="16"/>
                <w:szCs w:val="16"/>
              </w:rPr>
              <w:t> </w:t>
            </w:r>
          </w:p>
        </w:tc>
        <w:tc>
          <w:tcPr>
            <w:tcW w:w="625" w:type="pct"/>
            <w:shd w:val="clear" w:color="auto" w:fill="auto"/>
            <w:noWrap/>
            <w:vAlign w:val="center"/>
          </w:tcPr>
          <w:p w14:paraId="3182F12F"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2</w:t>
            </w:r>
          </w:p>
        </w:tc>
      </w:tr>
      <w:tr w:rsidR="00C97DDE" w:rsidRPr="0029055C" w14:paraId="52FF28C5" w14:textId="77777777" w:rsidTr="00507A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5" w:type="pct"/>
            <w:noWrap/>
            <w:vAlign w:val="center"/>
          </w:tcPr>
          <w:p w14:paraId="3EA7DF12" w14:textId="77777777" w:rsidR="00C97DDE" w:rsidRPr="0029055C" w:rsidRDefault="00C97DDE" w:rsidP="00B53959">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sz w:val="18"/>
                <w:szCs w:val="20"/>
              </w:rPr>
              <w:t xml:space="preserve">T4630. </w:t>
            </w:r>
            <w:r w:rsidRPr="0029055C">
              <w:rPr>
                <w:rFonts w:asciiTheme="minorHAnsi" w:hAnsiTheme="minorHAnsi" w:cstheme="minorHAnsi"/>
                <w:b w:val="0"/>
                <w:sz w:val="18"/>
                <w:szCs w:val="20"/>
              </w:rPr>
              <w:t>Αριθμός έργων ανάπτυξης ή αναβάθμισης υπηρεσιών δημόσιας διοίκησης που παρέχονται πλήρως ηλεκτρονικά</w:t>
            </w:r>
          </w:p>
        </w:tc>
        <w:tc>
          <w:tcPr>
            <w:tcW w:w="625" w:type="pct"/>
            <w:vAlign w:val="center"/>
          </w:tcPr>
          <w:p w14:paraId="4925869C"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noWrap/>
            <w:vAlign w:val="center"/>
          </w:tcPr>
          <w:p w14:paraId="3FA9FD0B"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
                <w:sz w:val="18"/>
                <w:szCs w:val="20"/>
              </w:rPr>
              <w:t>1</w:t>
            </w:r>
          </w:p>
        </w:tc>
        <w:tc>
          <w:tcPr>
            <w:tcW w:w="625" w:type="pct"/>
            <w:noWrap/>
            <w:vAlign w:val="center"/>
          </w:tcPr>
          <w:p w14:paraId="775D57D3"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b/>
                <w:sz w:val="18"/>
                <w:szCs w:val="20"/>
              </w:rPr>
              <w:t>4</w:t>
            </w:r>
            <w:r w:rsidRPr="0029055C">
              <w:rPr>
                <w:rFonts w:asciiTheme="minorHAnsi" w:hAnsiTheme="minorHAnsi" w:cstheme="minorHAnsi"/>
                <w:sz w:val="18"/>
                <w:szCs w:val="20"/>
              </w:rPr>
              <w:t xml:space="preserve"> (2)</w:t>
            </w:r>
          </w:p>
        </w:tc>
      </w:tr>
      <w:tr w:rsidR="00C97DDE" w:rsidRPr="0029055C" w14:paraId="1B889974" w14:textId="77777777" w:rsidTr="00507AF3">
        <w:trPr>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vAlign w:val="center"/>
          </w:tcPr>
          <w:p w14:paraId="21CBF5CB" w14:textId="77777777" w:rsidR="00C97DDE" w:rsidRPr="0029055C" w:rsidRDefault="00C97DDE" w:rsidP="00507AF3">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sz w:val="18"/>
                <w:szCs w:val="20"/>
              </w:rPr>
              <w:t xml:space="preserve">T4631. </w:t>
            </w:r>
            <w:r w:rsidRPr="0029055C">
              <w:rPr>
                <w:rFonts w:asciiTheme="minorHAnsi" w:hAnsiTheme="minorHAnsi" w:cstheme="minorHAnsi"/>
                <w:b w:val="0"/>
                <w:sz w:val="18"/>
                <w:szCs w:val="20"/>
              </w:rPr>
              <w:t xml:space="preserve">Αριθμός έργων ενίσχυσης της πληροφόρησης και της συμμετοχής των πολιτών </w:t>
            </w:r>
          </w:p>
        </w:tc>
        <w:tc>
          <w:tcPr>
            <w:tcW w:w="625" w:type="pct"/>
            <w:vAlign w:val="center"/>
          </w:tcPr>
          <w:p w14:paraId="28A139A0"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4C2C7089"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cs="Calibri"/>
                <w:color w:val="000000"/>
                <w:sz w:val="16"/>
                <w:szCs w:val="16"/>
              </w:rPr>
              <w:t> </w:t>
            </w:r>
          </w:p>
        </w:tc>
        <w:tc>
          <w:tcPr>
            <w:tcW w:w="625" w:type="pct"/>
            <w:shd w:val="clear" w:color="auto" w:fill="auto"/>
            <w:noWrap/>
            <w:vAlign w:val="center"/>
          </w:tcPr>
          <w:p w14:paraId="5FE62790"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3</w:t>
            </w:r>
          </w:p>
        </w:tc>
      </w:tr>
      <w:tr w:rsidR="00C97DDE" w:rsidRPr="0029055C" w14:paraId="4C656DBC" w14:textId="77777777" w:rsidTr="00507A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5" w:type="pct"/>
            <w:noWrap/>
            <w:vAlign w:val="center"/>
          </w:tcPr>
          <w:p w14:paraId="6273BE52" w14:textId="77777777" w:rsidR="00C97DDE" w:rsidRPr="0029055C" w:rsidRDefault="00C97DDE" w:rsidP="00507AF3">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sz w:val="18"/>
                <w:szCs w:val="20"/>
              </w:rPr>
              <w:t xml:space="preserve">T4632. </w:t>
            </w:r>
            <w:r w:rsidRPr="0029055C">
              <w:rPr>
                <w:rFonts w:asciiTheme="minorHAnsi" w:hAnsiTheme="minorHAnsi" w:cstheme="minorHAnsi"/>
                <w:b w:val="0"/>
                <w:sz w:val="18"/>
                <w:szCs w:val="20"/>
              </w:rPr>
              <w:t>Αριθμός έργων ΤΠΕ που υποστηρίζουν την αναβάθμιση της λειτουργίας τομέων προτεραιότητας του ΕΠ για την παροχή υπηρεσιών προς πολίτες</w:t>
            </w:r>
          </w:p>
        </w:tc>
        <w:tc>
          <w:tcPr>
            <w:tcW w:w="625" w:type="pct"/>
            <w:vAlign w:val="center"/>
          </w:tcPr>
          <w:p w14:paraId="0D593F10"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noWrap/>
            <w:vAlign w:val="center"/>
          </w:tcPr>
          <w:p w14:paraId="33D4F22D"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
                <w:sz w:val="18"/>
                <w:szCs w:val="20"/>
              </w:rPr>
              <w:t>7</w:t>
            </w:r>
          </w:p>
        </w:tc>
        <w:tc>
          <w:tcPr>
            <w:tcW w:w="625" w:type="pct"/>
            <w:noWrap/>
            <w:vAlign w:val="center"/>
          </w:tcPr>
          <w:p w14:paraId="0B5B6604"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13</w:t>
            </w:r>
          </w:p>
        </w:tc>
      </w:tr>
      <w:tr w:rsidR="00C97DDE" w:rsidRPr="0029055C" w14:paraId="3DFF84DC" w14:textId="77777777" w:rsidTr="00507AF3">
        <w:trPr>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vAlign w:val="center"/>
          </w:tcPr>
          <w:p w14:paraId="6A2FADAB" w14:textId="77777777" w:rsidR="00C97DDE" w:rsidRPr="0029055C" w:rsidRDefault="00C97DDE" w:rsidP="00507AF3">
            <w:pPr>
              <w:spacing w:before="40" w:after="40" w:line="240" w:lineRule="auto"/>
              <w:jc w:val="left"/>
              <w:rPr>
                <w:rFonts w:asciiTheme="minorHAnsi" w:hAnsiTheme="minorHAnsi" w:cstheme="minorHAnsi"/>
                <w:b w:val="0"/>
                <w:color w:val="00B050"/>
                <w:sz w:val="18"/>
                <w:szCs w:val="20"/>
              </w:rPr>
            </w:pPr>
            <w:r w:rsidRPr="0029055C">
              <w:rPr>
                <w:rFonts w:asciiTheme="minorHAnsi" w:hAnsiTheme="minorHAnsi" w:cstheme="minorHAnsi"/>
                <w:color w:val="00B050"/>
                <w:sz w:val="18"/>
                <w:szCs w:val="20"/>
              </w:rPr>
              <w:t xml:space="preserve">T4652. </w:t>
            </w:r>
            <w:r w:rsidRPr="0029055C">
              <w:rPr>
                <w:rFonts w:asciiTheme="minorHAnsi" w:hAnsiTheme="minorHAnsi" w:cstheme="minorHAnsi"/>
                <w:b w:val="0"/>
                <w:color w:val="00B050"/>
                <w:sz w:val="18"/>
                <w:szCs w:val="20"/>
              </w:rPr>
              <w:t>Αριθμός σημείων παρουσίας (κτήρια) του έργου ΣΥΖΕΥΞΙΣ ΙΙ για την υποστήριξη της λειτουργίας των δημόσιων φορέων</w:t>
            </w:r>
          </w:p>
        </w:tc>
        <w:tc>
          <w:tcPr>
            <w:tcW w:w="625" w:type="pct"/>
            <w:vAlign w:val="center"/>
          </w:tcPr>
          <w:p w14:paraId="42267A4C"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592E9524"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cs="Calibri"/>
                <w:color w:val="000000"/>
                <w:sz w:val="16"/>
                <w:szCs w:val="16"/>
              </w:rPr>
              <w:t> </w:t>
            </w:r>
          </w:p>
        </w:tc>
        <w:tc>
          <w:tcPr>
            <w:tcW w:w="625" w:type="pct"/>
            <w:shd w:val="clear" w:color="auto" w:fill="auto"/>
            <w:noWrap/>
            <w:vAlign w:val="center"/>
          </w:tcPr>
          <w:p w14:paraId="6B1C769E"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color w:val="00B050"/>
                <w:sz w:val="18"/>
                <w:szCs w:val="20"/>
              </w:rPr>
              <w:t>34.500</w:t>
            </w:r>
          </w:p>
        </w:tc>
      </w:tr>
      <w:tr w:rsidR="00C97DDE" w:rsidRPr="0029055C" w14:paraId="12B18081" w14:textId="77777777" w:rsidTr="00507A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44A9C4"/>
            <w:noWrap/>
            <w:vAlign w:val="center"/>
          </w:tcPr>
          <w:p w14:paraId="0E98B056" w14:textId="77777777" w:rsidR="00C97DDE" w:rsidRPr="0029055C" w:rsidRDefault="00C97DDE" w:rsidP="00507AF3">
            <w:pPr>
              <w:spacing w:before="40" w:after="40" w:line="240" w:lineRule="auto"/>
              <w:jc w:val="left"/>
              <w:rPr>
                <w:rFonts w:asciiTheme="minorHAnsi" w:hAnsiTheme="minorHAnsi" w:cstheme="minorHAnsi"/>
                <w:sz w:val="18"/>
                <w:szCs w:val="20"/>
              </w:rPr>
            </w:pPr>
            <w:r w:rsidRPr="0029055C">
              <w:rPr>
                <w:rFonts w:asciiTheme="minorHAnsi" w:hAnsiTheme="minorHAnsi" w:cstheme="minorHAnsi"/>
                <w:color w:val="FFFFFF" w:themeColor="background1"/>
                <w:sz w:val="18"/>
                <w:szCs w:val="20"/>
              </w:rPr>
              <w:t>ΔΕΙΚΤΕΣ ΑΠΟΤΕΛΕΣΜΑΤΟΣ</w:t>
            </w:r>
          </w:p>
        </w:tc>
      </w:tr>
      <w:tr w:rsidR="00C97DDE" w:rsidRPr="0029055C" w14:paraId="5A8FFC0F" w14:textId="77777777" w:rsidTr="00507AF3">
        <w:trPr>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vAlign w:val="center"/>
          </w:tcPr>
          <w:p w14:paraId="3E9B7D40" w14:textId="77777777" w:rsidR="00C97DDE" w:rsidRPr="0029055C" w:rsidRDefault="00C97DDE" w:rsidP="00507AF3">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sz w:val="18"/>
                <w:szCs w:val="20"/>
              </w:rPr>
              <w:t xml:space="preserve">T4601. </w:t>
            </w:r>
            <w:r w:rsidRPr="0029055C">
              <w:rPr>
                <w:rFonts w:asciiTheme="minorHAnsi" w:hAnsiTheme="minorHAnsi" w:cstheme="minorHAnsi"/>
                <w:b w:val="0"/>
                <w:sz w:val="18"/>
                <w:szCs w:val="20"/>
              </w:rPr>
              <w:t>Αριθμός φορέων των οποίων η λειτουργία αναβαθμίζεται με τη χρήση συστημάτων ΤΠΕ</w:t>
            </w:r>
          </w:p>
        </w:tc>
        <w:tc>
          <w:tcPr>
            <w:tcW w:w="625" w:type="pct"/>
            <w:vAlign w:val="center"/>
          </w:tcPr>
          <w:p w14:paraId="6E20D66A"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3</w:t>
            </w:r>
          </w:p>
        </w:tc>
        <w:tc>
          <w:tcPr>
            <w:tcW w:w="625" w:type="pct"/>
            <w:shd w:val="clear" w:color="auto" w:fill="auto"/>
            <w:noWrap/>
            <w:vAlign w:val="center"/>
          </w:tcPr>
          <w:p w14:paraId="7CCE9C5C"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p>
        </w:tc>
        <w:tc>
          <w:tcPr>
            <w:tcW w:w="625" w:type="pct"/>
            <w:shd w:val="clear" w:color="auto" w:fill="auto"/>
            <w:noWrap/>
            <w:vAlign w:val="center"/>
          </w:tcPr>
          <w:p w14:paraId="1D517F5E"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25</w:t>
            </w:r>
          </w:p>
        </w:tc>
      </w:tr>
      <w:tr w:rsidR="00C97DDE" w:rsidRPr="0029055C" w14:paraId="1D695BDC" w14:textId="77777777" w:rsidTr="00507A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vAlign w:val="center"/>
          </w:tcPr>
          <w:p w14:paraId="60C5AD27" w14:textId="77777777" w:rsidR="00C97DDE" w:rsidRPr="0029055C" w:rsidRDefault="00C97DDE" w:rsidP="00507AF3">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sz w:val="18"/>
                <w:szCs w:val="20"/>
              </w:rPr>
              <w:t xml:space="preserve">T4602. </w:t>
            </w:r>
            <w:r w:rsidRPr="0029055C">
              <w:rPr>
                <w:rFonts w:asciiTheme="minorHAnsi" w:hAnsiTheme="minorHAnsi" w:cstheme="minorHAnsi"/>
                <w:b w:val="0"/>
                <w:sz w:val="18"/>
                <w:szCs w:val="20"/>
              </w:rPr>
              <w:t xml:space="preserve">Αριθμός μητρώων δημόσιου τομέα που διαλειτουργούν </w:t>
            </w:r>
          </w:p>
        </w:tc>
        <w:tc>
          <w:tcPr>
            <w:tcW w:w="625" w:type="pct"/>
            <w:shd w:val="clear" w:color="auto" w:fill="auto"/>
            <w:vAlign w:val="center"/>
          </w:tcPr>
          <w:p w14:paraId="1A90ABFA"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8</w:t>
            </w:r>
          </w:p>
        </w:tc>
        <w:tc>
          <w:tcPr>
            <w:tcW w:w="625" w:type="pct"/>
            <w:shd w:val="clear" w:color="auto" w:fill="auto"/>
            <w:noWrap/>
            <w:vAlign w:val="center"/>
          </w:tcPr>
          <w:p w14:paraId="3B22647F"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31762B56"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70</w:t>
            </w:r>
          </w:p>
        </w:tc>
      </w:tr>
      <w:tr w:rsidR="00C97DDE" w:rsidRPr="0029055C" w14:paraId="6625AB82" w14:textId="77777777" w:rsidTr="00507AF3">
        <w:trPr>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vAlign w:val="center"/>
          </w:tcPr>
          <w:p w14:paraId="6DF5C3B0" w14:textId="77777777" w:rsidR="00C97DDE" w:rsidRPr="0029055C" w:rsidRDefault="00C97DDE" w:rsidP="00507AF3">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sz w:val="18"/>
                <w:szCs w:val="20"/>
              </w:rPr>
              <w:t xml:space="preserve">T4603. </w:t>
            </w:r>
            <w:r w:rsidRPr="0029055C">
              <w:rPr>
                <w:rFonts w:asciiTheme="minorHAnsi" w:hAnsiTheme="minorHAnsi" w:cstheme="minorHAnsi"/>
                <w:b w:val="0"/>
                <w:sz w:val="18"/>
                <w:szCs w:val="20"/>
              </w:rPr>
              <w:t>Αριθμός συστημάτων ηλεκτρονικής διακυβέρνησης που παρέχονται στους πολίτες</w:t>
            </w:r>
          </w:p>
        </w:tc>
        <w:tc>
          <w:tcPr>
            <w:tcW w:w="625" w:type="pct"/>
            <w:vAlign w:val="center"/>
          </w:tcPr>
          <w:p w14:paraId="08611CB2"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1</w:t>
            </w:r>
          </w:p>
        </w:tc>
        <w:tc>
          <w:tcPr>
            <w:tcW w:w="625" w:type="pct"/>
            <w:shd w:val="clear" w:color="auto" w:fill="auto"/>
            <w:noWrap/>
            <w:vAlign w:val="center"/>
          </w:tcPr>
          <w:p w14:paraId="10967F8E"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78A82879"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2</w:t>
            </w:r>
          </w:p>
        </w:tc>
      </w:tr>
      <w:tr w:rsidR="00C97DDE" w:rsidRPr="0029055C" w14:paraId="45E024A6" w14:textId="77777777" w:rsidTr="00507A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vAlign w:val="center"/>
          </w:tcPr>
          <w:p w14:paraId="4E317650" w14:textId="77777777" w:rsidR="00C97DDE" w:rsidRPr="0029055C" w:rsidRDefault="00C97DDE" w:rsidP="00507AF3">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sz w:val="18"/>
                <w:szCs w:val="20"/>
              </w:rPr>
              <w:t xml:space="preserve">T4640. </w:t>
            </w:r>
            <w:r w:rsidRPr="0029055C">
              <w:rPr>
                <w:rFonts w:asciiTheme="minorHAnsi" w:hAnsiTheme="minorHAnsi" w:cstheme="minorHAnsi"/>
                <w:b w:val="0"/>
                <w:sz w:val="18"/>
                <w:szCs w:val="20"/>
              </w:rPr>
              <w:t>Αριθμός πολιτών που έχουν προσωποποιημένη πρόσβαση στο ενιαίο σημείο πρόσβασης των πολιτών</w:t>
            </w:r>
          </w:p>
        </w:tc>
        <w:tc>
          <w:tcPr>
            <w:tcW w:w="625" w:type="pct"/>
            <w:shd w:val="clear" w:color="auto" w:fill="auto"/>
            <w:vAlign w:val="center"/>
          </w:tcPr>
          <w:p w14:paraId="5A94BDF7"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50.000</w:t>
            </w:r>
          </w:p>
        </w:tc>
        <w:tc>
          <w:tcPr>
            <w:tcW w:w="625" w:type="pct"/>
            <w:shd w:val="clear" w:color="auto" w:fill="auto"/>
            <w:noWrap/>
            <w:vAlign w:val="center"/>
          </w:tcPr>
          <w:p w14:paraId="1748A3F2"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58C62E04" w14:textId="77777777" w:rsidR="00C97DDE" w:rsidRPr="0029055C" w:rsidRDefault="00C97DDE" w:rsidP="00507AF3">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 xml:space="preserve">500.000 </w:t>
            </w:r>
            <w:r w:rsidRPr="0029055C">
              <w:rPr>
                <w:rFonts w:asciiTheme="minorHAnsi" w:hAnsiTheme="minorHAnsi" w:cstheme="minorHAnsi"/>
                <w:sz w:val="18"/>
                <w:szCs w:val="20"/>
              </w:rPr>
              <w:t>(150.000)</w:t>
            </w:r>
          </w:p>
        </w:tc>
      </w:tr>
    </w:tbl>
    <w:p w14:paraId="42EABBF0" w14:textId="77777777" w:rsidR="00B01AD7" w:rsidRPr="0029055C" w:rsidRDefault="00B01AD7" w:rsidP="00EC0536">
      <w:pPr>
        <w:pStyle w:val="Heading4"/>
        <w:pageBreakBefore/>
        <w:ind w:hanging="720"/>
      </w:pPr>
      <w:bookmarkStart w:id="7" w:name="_Toc515292976"/>
      <w:r w:rsidRPr="0029055C">
        <w:lastRenderedPageBreak/>
        <w:t xml:space="preserve">Θεματικός Άξονας </w:t>
      </w:r>
      <w:r w:rsidR="00B53959" w:rsidRPr="0029055C">
        <w:t>III</w:t>
      </w:r>
      <w:r w:rsidRPr="0029055C">
        <w:t xml:space="preserve"> «Βελτίωση της διαχείρισης και ανάπτυξη του ανθρώπινου δυναμικού του δημόσιου τομέα» – Ταμείο ΕΚΤ (Άξονες Προτεραιότητας 7, 8 &amp; 9)</w:t>
      </w:r>
      <w:bookmarkEnd w:id="7"/>
    </w:p>
    <w:p w14:paraId="4238B28A" w14:textId="77777777" w:rsidR="00B01AD7" w:rsidRPr="00BB0FDB" w:rsidRDefault="002A3830" w:rsidP="0029055C">
      <w:pPr>
        <w:spacing w:line="280" w:lineRule="atLeast"/>
        <w:rPr>
          <w:rFonts w:cs="Arial"/>
          <w:color w:val="000000"/>
          <w:sz w:val="22"/>
        </w:rPr>
      </w:pPr>
      <w:r w:rsidRPr="0029055C">
        <w:rPr>
          <w:rFonts w:cs="Arial"/>
          <w:color w:val="000000"/>
          <w:sz w:val="22"/>
        </w:rPr>
        <w:t xml:space="preserve">Ο Θεματικός Άξονας </w:t>
      </w:r>
      <w:r w:rsidR="00B53959" w:rsidRPr="0029055C">
        <w:rPr>
          <w:rFonts w:cs="Arial"/>
          <w:color w:val="000000"/>
          <w:sz w:val="22"/>
        </w:rPr>
        <w:t>III</w:t>
      </w:r>
      <w:r w:rsidRPr="0029055C">
        <w:rPr>
          <w:rFonts w:cs="Arial"/>
          <w:color w:val="000000"/>
          <w:sz w:val="22"/>
        </w:rPr>
        <w:t xml:space="preserve"> αφορά δράσεις που χρηματοδοτούνται από το ΕΚΤ στο πλαίσιο του Θεματικού Στόχου 11 (Επενδυτική Προτεραιότητα 11i) και έχουν ως κύριο στόχο την βελτίωση της οριζόντιας πολιτικής ανθρώπινου δυναμικού του δημόσιου τομέα και στην ταυτόχρονη εξέλιξή του μέσω δράσεων </w:t>
      </w:r>
      <w:r w:rsidRPr="00BB0FDB">
        <w:rPr>
          <w:rFonts w:cs="Arial"/>
          <w:color w:val="000000"/>
          <w:sz w:val="22"/>
        </w:rPr>
        <w:t>κατάρτισης.</w:t>
      </w:r>
    </w:p>
    <w:p w14:paraId="1426357F" w14:textId="3FE3AEA6" w:rsidR="002A3830" w:rsidRPr="00BB0FDB" w:rsidRDefault="002A3830" w:rsidP="0029055C">
      <w:pPr>
        <w:spacing w:line="280" w:lineRule="atLeast"/>
        <w:rPr>
          <w:rFonts w:cs="Arial"/>
          <w:color w:val="000000"/>
          <w:sz w:val="22"/>
        </w:rPr>
      </w:pPr>
      <w:r w:rsidRPr="00BB0FDB">
        <w:rPr>
          <w:rFonts w:cs="Arial"/>
          <w:color w:val="000000"/>
          <w:sz w:val="22"/>
        </w:rPr>
        <w:t>Στο πλαίσιο της 2ης Αναθεώρησης του ΕΠ ΜΔΤ, προτείνονται οι ακόλουθες τροποποιήσεις</w:t>
      </w:r>
      <w:r w:rsidR="00A072E1" w:rsidRPr="00BB0FDB">
        <w:rPr>
          <w:rFonts w:cs="Arial"/>
          <w:color w:val="000000"/>
          <w:sz w:val="22"/>
        </w:rPr>
        <w:t xml:space="preserve"> </w:t>
      </w:r>
      <w:r w:rsidR="00A072E1" w:rsidRPr="00BB0FDB">
        <w:rPr>
          <w:rFonts w:cs="Arial"/>
          <w:color w:val="000000"/>
          <w:sz w:val="22"/>
        </w:rPr>
        <w:br/>
        <w:t xml:space="preserve">(βλ. Πίνακα </w:t>
      </w:r>
      <w:r w:rsidR="0029055C" w:rsidRPr="00BB0FDB">
        <w:rPr>
          <w:rFonts w:cs="Arial"/>
          <w:color w:val="000000"/>
          <w:sz w:val="22"/>
        </w:rPr>
        <w:t>5</w:t>
      </w:r>
      <w:r w:rsidR="00A072E1" w:rsidRPr="00BB0FDB">
        <w:rPr>
          <w:rFonts w:cs="Arial"/>
          <w:color w:val="000000"/>
          <w:sz w:val="22"/>
        </w:rPr>
        <w:t>)</w:t>
      </w:r>
      <w:r w:rsidRPr="00BB0FDB">
        <w:rPr>
          <w:rFonts w:cs="Arial"/>
          <w:color w:val="000000"/>
          <w:sz w:val="22"/>
        </w:rPr>
        <w:t>:</w:t>
      </w:r>
    </w:p>
    <w:p w14:paraId="18DF090E" w14:textId="77777777" w:rsidR="00A072E1" w:rsidRPr="0029055C" w:rsidRDefault="002A3830" w:rsidP="0029055C">
      <w:pPr>
        <w:pStyle w:val="ListParagraph"/>
        <w:numPr>
          <w:ilvl w:val="0"/>
          <w:numId w:val="13"/>
        </w:numPr>
        <w:spacing w:line="280" w:lineRule="atLeast"/>
        <w:ind w:left="426" w:hanging="284"/>
        <w:contextualSpacing w:val="0"/>
        <w:rPr>
          <w:rFonts w:cs="Arial"/>
          <w:color w:val="000000"/>
          <w:sz w:val="22"/>
        </w:rPr>
      </w:pPr>
      <w:r w:rsidRPr="00BB0FDB">
        <w:rPr>
          <w:rFonts w:cs="Arial"/>
          <w:b/>
          <w:color w:val="000000"/>
          <w:sz w:val="22"/>
        </w:rPr>
        <w:t xml:space="preserve">Αύξηση </w:t>
      </w:r>
      <w:r w:rsidRPr="00BB0FDB">
        <w:rPr>
          <w:rFonts w:cs="Arial"/>
          <w:color w:val="000000"/>
          <w:sz w:val="22"/>
        </w:rPr>
        <w:t>των συνολικών</w:t>
      </w:r>
      <w:r w:rsidRPr="0029055C">
        <w:rPr>
          <w:rFonts w:cs="Arial"/>
          <w:color w:val="000000"/>
          <w:sz w:val="22"/>
        </w:rPr>
        <w:t xml:space="preserve"> πόρων του Θεματικού Άξονα </w:t>
      </w:r>
      <w:r w:rsidR="00B53959" w:rsidRPr="0029055C">
        <w:rPr>
          <w:rFonts w:cs="Arial"/>
          <w:color w:val="000000"/>
          <w:sz w:val="22"/>
        </w:rPr>
        <w:t>III</w:t>
      </w:r>
      <w:r w:rsidRPr="0029055C">
        <w:rPr>
          <w:rFonts w:cs="Arial"/>
          <w:b/>
          <w:color w:val="000000"/>
          <w:sz w:val="22"/>
        </w:rPr>
        <w:t xml:space="preserve"> κατά 6.948.280 €</w:t>
      </w:r>
      <w:r w:rsidR="00A21165" w:rsidRPr="0029055C">
        <w:rPr>
          <w:rFonts w:cs="Arial"/>
          <w:b/>
          <w:color w:val="000000"/>
          <w:sz w:val="22"/>
        </w:rPr>
        <w:t xml:space="preserve"> (ΔΔ)</w:t>
      </w:r>
      <w:r w:rsidRPr="0029055C">
        <w:rPr>
          <w:rFonts w:cs="Arial"/>
          <w:color w:val="000000"/>
          <w:sz w:val="22"/>
        </w:rPr>
        <w:t xml:space="preserve">, </w:t>
      </w:r>
      <w:r w:rsidR="00A072E1" w:rsidRPr="0029055C">
        <w:rPr>
          <w:rFonts w:cs="Arial"/>
          <w:color w:val="000000"/>
          <w:sz w:val="22"/>
        </w:rPr>
        <w:t xml:space="preserve">με μεταφορά αντίστοιχων πόρων από τον Θεματικό Άξονα </w:t>
      </w:r>
      <w:r w:rsidR="00AC462E" w:rsidRPr="0029055C">
        <w:rPr>
          <w:rFonts w:cs="Arial"/>
          <w:color w:val="000000"/>
          <w:sz w:val="22"/>
        </w:rPr>
        <w:t>I</w:t>
      </w:r>
      <w:r w:rsidR="00A072E1" w:rsidRPr="0029055C">
        <w:rPr>
          <w:rFonts w:cs="Arial"/>
          <w:color w:val="000000"/>
          <w:sz w:val="22"/>
        </w:rPr>
        <w:t xml:space="preserve"> του Προγράμματος.</w:t>
      </w:r>
    </w:p>
    <w:p w14:paraId="3F6B0F3D" w14:textId="1D81CEE9" w:rsidR="002A3830" w:rsidRPr="0029055C" w:rsidRDefault="00A072E1" w:rsidP="0029055C">
      <w:pPr>
        <w:pStyle w:val="ListParagraph"/>
        <w:numPr>
          <w:ilvl w:val="0"/>
          <w:numId w:val="13"/>
        </w:numPr>
        <w:spacing w:line="280" w:lineRule="atLeast"/>
        <w:ind w:left="426" w:hanging="284"/>
        <w:contextualSpacing w:val="0"/>
        <w:rPr>
          <w:rFonts w:cs="Arial"/>
          <w:color w:val="000000"/>
          <w:sz w:val="22"/>
        </w:rPr>
      </w:pPr>
      <w:r w:rsidRPr="0029055C">
        <w:rPr>
          <w:rFonts w:cs="Arial"/>
          <w:b/>
          <w:color w:val="000000"/>
          <w:sz w:val="22"/>
        </w:rPr>
        <w:t xml:space="preserve">Ανακατανομή των νέων διαθέσιμων πόρων του Θεματικού Άξονα </w:t>
      </w:r>
      <w:r w:rsidR="00B53959" w:rsidRPr="0029055C">
        <w:rPr>
          <w:rFonts w:cs="Arial"/>
          <w:b/>
          <w:color w:val="000000"/>
          <w:sz w:val="22"/>
        </w:rPr>
        <w:t>III</w:t>
      </w:r>
      <w:r w:rsidRPr="0029055C">
        <w:rPr>
          <w:rFonts w:cs="Arial"/>
          <w:b/>
          <w:color w:val="000000"/>
          <w:sz w:val="22"/>
        </w:rPr>
        <w:t xml:space="preserve"> μεταξύ των Ειδικών Στόχων και των Κατηγοριών Δράσης</w:t>
      </w:r>
      <w:r w:rsidRPr="0029055C">
        <w:rPr>
          <w:rFonts w:cs="Arial"/>
          <w:color w:val="000000"/>
          <w:sz w:val="22"/>
        </w:rPr>
        <w:t xml:space="preserve">, </w:t>
      </w:r>
      <w:r w:rsidR="002A3830" w:rsidRPr="0029055C">
        <w:rPr>
          <w:rFonts w:cs="Arial"/>
          <w:color w:val="000000"/>
          <w:sz w:val="22"/>
        </w:rPr>
        <w:t xml:space="preserve">με </w:t>
      </w:r>
      <w:r w:rsidR="006A4905" w:rsidRPr="0029055C">
        <w:rPr>
          <w:rFonts w:cs="Arial"/>
          <w:b/>
          <w:color w:val="000000"/>
          <w:sz w:val="22"/>
        </w:rPr>
        <w:t>αύξηση</w:t>
      </w:r>
      <w:r w:rsidR="002A3830" w:rsidRPr="0029055C">
        <w:rPr>
          <w:rFonts w:cs="Arial"/>
          <w:color w:val="000000"/>
          <w:sz w:val="22"/>
        </w:rPr>
        <w:t xml:space="preserve"> των πόρων του </w:t>
      </w:r>
      <w:r w:rsidR="006A4905" w:rsidRPr="0029055C">
        <w:rPr>
          <w:rFonts w:cs="Arial"/>
          <w:b/>
          <w:i/>
          <w:color w:val="000000"/>
          <w:sz w:val="22"/>
        </w:rPr>
        <w:t>Ειδικού Στόχου Γ2</w:t>
      </w:r>
      <w:r w:rsidR="002A3830" w:rsidRPr="0029055C">
        <w:rPr>
          <w:rFonts w:cs="Arial"/>
          <w:color w:val="000000"/>
          <w:sz w:val="22"/>
        </w:rPr>
        <w:t xml:space="preserve"> </w:t>
      </w:r>
      <w:r w:rsidR="002A3830" w:rsidRPr="0029055C">
        <w:rPr>
          <w:rFonts w:cs="Arial"/>
          <w:i/>
          <w:color w:val="000000"/>
          <w:sz w:val="22"/>
        </w:rPr>
        <w:t>«</w:t>
      </w:r>
      <w:r w:rsidR="006A4905" w:rsidRPr="0029055C">
        <w:rPr>
          <w:rFonts w:cs="Arial"/>
          <w:i/>
          <w:color w:val="000000"/>
          <w:sz w:val="22"/>
        </w:rPr>
        <w:t>Αύξηση του αριθμού στελεχών / υπαλλήλων της δημόσιας διοίκησης με πιστοποιημένες δεξιότητες / διοικητικές ικανότητες</w:t>
      </w:r>
      <w:r w:rsidR="002A3830" w:rsidRPr="0029055C">
        <w:rPr>
          <w:rFonts w:cs="Arial"/>
          <w:i/>
          <w:color w:val="000000"/>
          <w:sz w:val="22"/>
        </w:rPr>
        <w:t>»</w:t>
      </w:r>
      <w:r w:rsidR="002A3830" w:rsidRPr="0029055C">
        <w:rPr>
          <w:rFonts w:cs="Arial"/>
          <w:color w:val="000000"/>
          <w:sz w:val="22"/>
        </w:rPr>
        <w:t xml:space="preserve"> </w:t>
      </w:r>
      <w:r w:rsidR="006A4905" w:rsidRPr="0029055C">
        <w:rPr>
          <w:rFonts w:cs="Arial"/>
          <w:color w:val="000000"/>
          <w:sz w:val="22"/>
        </w:rPr>
        <w:t xml:space="preserve">κατά </w:t>
      </w:r>
      <w:r w:rsidR="006A4905" w:rsidRPr="0029055C">
        <w:rPr>
          <w:rFonts w:cs="Arial"/>
          <w:b/>
          <w:color w:val="000000"/>
          <w:sz w:val="22"/>
        </w:rPr>
        <w:t>11.948.280 €</w:t>
      </w:r>
      <w:r w:rsidR="006A4905" w:rsidRPr="0029055C">
        <w:rPr>
          <w:rFonts w:cs="Arial"/>
          <w:color w:val="000000"/>
          <w:sz w:val="22"/>
        </w:rPr>
        <w:t xml:space="preserve"> </w:t>
      </w:r>
      <w:r w:rsidR="00A21165" w:rsidRPr="0029055C">
        <w:rPr>
          <w:rFonts w:cs="Arial"/>
          <w:color w:val="000000"/>
          <w:sz w:val="22"/>
        </w:rPr>
        <w:t xml:space="preserve">(ΔΔ) </w:t>
      </w:r>
      <w:r w:rsidR="002A3830" w:rsidRPr="0029055C">
        <w:rPr>
          <w:rFonts w:cs="Arial"/>
          <w:color w:val="000000"/>
          <w:sz w:val="22"/>
        </w:rPr>
        <w:t xml:space="preserve">και </w:t>
      </w:r>
      <w:r w:rsidR="006A4905" w:rsidRPr="0029055C">
        <w:rPr>
          <w:rFonts w:cs="Arial"/>
          <w:b/>
          <w:color w:val="000000"/>
          <w:sz w:val="22"/>
        </w:rPr>
        <w:t>μείωση</w:t>
      </w:r>
      <w:r w:rsidR="006A4905" w:rsidRPr="0029055C">
        <w:rPr>
          <w:rFonts w:cs="Arial"/>
          <w:color w:val="000000"/>
          <w:sz w:val="22"/>
        </w:rPr>
        <w:t xml:space="preserve"> των πόρων του </w:t>
      </w:r>
      <w:r w:rsidR="006A4905" w:rsidRPr="0029055C">
        <w:rPr>
          <w:rFonts w:cs="Arial"/>
          <w:b/>
          <w:i/>
          <w:color w:val="000000"/>
          <w:sz w:val="22"/>
        </w:rPr>
        <w:t>Ειδικού Στόχου Γ1</w:t>
      </w:r>
      <w:r w:rsidR="006A4905" w:rsidRPr="0029055C">
        <w:rPr>
          <w:rFonts w:cs="Arial"/>
          <w:color w:val="000000"/>
          <w:sz w:val="22"/>
        </w:rPr>
        <w:t xml:space="preserve"> </w:t>
      </w:r>
      <w:r w:rsidR="006A4905" w:rsidRPr="0029055C">
        <w:rPr>
          <w:rFonts w:cs="Arial"/>
          <w:i/>
          <w:color w:val="000000"/>
          <w:sz w:val="22"/>
        </w:rPr>
        <w:t>«Αύξηση των φορέων της δημόσιας διοίκησης όπου εφαρμόζονται νέες οριζόντιες πολιτικές ανθρώπινου δυναμικού»</w:t>
      </w:r>
      <w:r w:rsidR="006A4905" w:rsidRPr="0029055C">
        <w:rPr>
          <w:rFonts w:cs="Arial"/>
          <w:color w:val="000000"/>
          <w:sz w:val="22"/>
        </w:rPr>
        <w:t xml:space="preserve"> κατά </w:t>
      </w:r>
      <w:r w:rsidR="006A4905" w:rsidRPr="0029055C">
        <w:rPr>
          <w:rFonts w:cs="Arial"/>
          <w:b/>
          <w:color w:val="000000"/>
          <w:sz w:val="22"/>
        </w:rPr>
        <w:t>5.000.000 €</w:t>
      </w:r>
      <w:r w:rsidR="006A4905" w:rsidRPr="0029055C">
        <w:rPr>
          <w:rFonts w:cs="Arial"/>
          <w:color w:val="000000"/>
          <w:sz w:val="22"/>
        </w:rPr>
        <w:t xml:space="preserve"> </w:t>
      </w:r>
      <w:r w:rsidR="00A21165" w:rsidRPr="0029055C">
        <w:rPr>
          <w:rFonts w:cs="Arial"/>
          <w:color w:val="000000"/>
          <w:sz w:val="22"/>
        </w:rPr>
        <w:t>(ΔΔ)</w:t>
      </w:r>
      <w:r w:rsidR="003F21DD" w:rsidRPr="0029055C">
        <w:rPr>
          <w:rFonts w:cs="Arial"/>
          <w:color w:val="000000"/>
          <w:sz w:val="22"/>
        </w:rPr>
        <w:t>. Ειδικότερα:</w:t>
      </w:r>
    </w:p>
    <w:p w14:paraId="093476FF" w14:textId="77777777" w:rsidR="002A3830" w:rsidRPr="0029055C" w:rsidRDefault="002A3830" w:rsidP="0029055C">
      <w:pPr>
        <w:pStyle w:val="ListParagraph"/>
        <w:numPr>
          <w:ilvl w:val="1"/>
          <w:numId w:val="13"/>
        </w:numPr>
        <w:spacing w:line="280" w:lineRule="atLeast"/>
        <w:ind w:left="851" w:hanging="284"/>
        <w:contextualSpacing w:val="0"/>
        <w:rPr>
          <w:rFonts w:cs="Arial"/>
          <w:color w:val="000000"/>
          <w:sz w:val="22"/>
        </w:rPr>
      </w:pPr>
      <w:r w:rsidRPr="0029055C">
        <w:rPr>
          <w:rFonts w:cs="Arial"/>
          <w:color w:val="000000"/>
          <w:sz w:val="22"/>
          <w:u w:val="single"/>
        </w:rPr>
        <w:t xml:space="preserve">αποδέσμευση </w:t>
      </w:r>
      <w:r w:rsidR="00A21165" w:rsidRPr="0029055C">
        <w:rPr>
          <w:rFonts w:cs="Arial"/>
          <w:color w:val="000000"/>
          <w:sz w:val="22"/>
          <w:u w:val="single"/>
        </w:rPr>
        <w:t>5</w:t>
      </w:r>
      <w:r w:rsidRPr="0029055C">
        <w:rPr>
          <w:rFonts w:cs="Arial"/>
          <w:color w:val="000000"/>
          <w:sz w:val="22"/>
          <w:u w:val="single"/>
        </w:rPr>
        <w:t xml:space="preserve">.000.000 € </w:t>
      </w:r>
      <w:r w:rsidR="00A21165" w:rsidRPr="0029055C">
        <w:rPr>
          <w:rFonts w:cs="Arial"/>
          <w:color w:val="000000"/>
          <w:sz w:val="22"/>
          <w:u w:val="single"/>
        </w:rPr>
        <w:t xml:space="preserve">(ΔΔ) </w:t>
      </w:r>
      <w:r w:rsidRPr="0029055C">
        <w:rPr>
          <w:rFonts w:cs="Arial"/>
          <w:color w:val="000000"/>
          <w:sz w:val="22"/>
          <w:u w:val="single"/>
        </w:rPr>
        <w:t xml:space="preserve">από την </w:t>
      </w:r>
      <w:r w:rsidRPr="0029055C">
        <w:rPr>
          <w:rFonts w:cs="Arial"/>
          <w:i/>
          <w:color w:val="000000"/>
          <w:sz w:val="22"/>
          <w:u w:val="single"/>
        </w:rPr>
        <w:t xml:space="preserve">Κατηγορία Δράσης </w:t>
      </w:r>
      <w:r w:rsidR="00A21165" w:rsidRPr="0029055C">
        <w:rPr>
          <w:rFonts w:cs="Arial"/>
          <w:i/>
          <w:color w:val="000000"/>
          <w:sz w:val="22"/>
          <w:u w:val="single"/>
        </w:rPr>
        <w:t>Γ</w:t>
      </w:r>
      <w:r w:rsidRPr="0029055C">
        <w:rPr>
          <w:rFonts w:cs="Arial"/>
          <w:i/>
          <w:color w:val="000000"/>
          <w:sz w:val="22"/>
          <w:u w:val="single"/>
        </w:rPr>
        <w:t>.</w:t>
      </w:r>
      <w:r w:rsidR="00A21165" w:rsidRPr="0029055C">
        <w:rPr>
          <w:rFonts w:cs="Arial"/>
          <w:i/>
          <w:color w:val="000000"/>
          <w:sz w:val="22"/>
          <w:u w:val="single"/>
        </w:rPr>
        <w:t>1</w:t>
      </w:r>
      <w:r w:rsidRPr="0029055C">
        <w:rPr>
          <w:rFonts w:cs="Arial"/>
          <w:i/>
          <w:color w:val="000000"/>
          <w:sz w:val="22"/>
          <w:u w:val="single"/>
        </w:rPr>
        <w:t>.1</w:t>
      </w:r>
      <w:r w:rsidRPr="0029055C">
        <w:rPr>
          <w:rFonts w:cs="Arial"/>
          <w:i/>
          <w:color w:val="000000"/>
          <w:sz w:val="22"/>
        </w:rPr>
        <w:t xml:space="preserve"> «</w:t>
      </w:r>
      <w:r w:rsidR="00A21165" w:rsidRPr="0029055C">
        <w:rPr>
          <w:rFonts w:cs="Arial"/>
          <w:i/>
          <w:color w:val="000000"/>
          <w:sz w:val="22"/>
        </w:rPr>
        <w:t>Δράσεις βελτίωσης των πολιτικών προσωπικού και εφαρμογής τους και δράσεις ανάπτυξης και εφαρμογής συστημάτων διαχείρισης του ανθρώπινου δυναμικού</w:t>
      </w:r>
      <w:r w:rsidRPr="0029055C">
        <w:rPr>
          <w:rFonts w:cs="Arial"/>
          <w:i/>
          <w:color w:val="000000"/>
          <w:sz w:val="22"/>
        </w:rPr>
        <w:t>»</w:t>
      </w:r>
      <w:r w:rsidRPr="0029055C">
        <w:rPr>
          <w:rFonts w:cs="Arial"/>
          <w:color w:val="000000"/>
          <w:sz w:val="22"/>
        </w:rPr>
        <w:t>,</w:t>
      </w:r>
    </w:p>
    <w:p w14:paraId="3CC5D454" w14:textId="77777777" w:rsidR="002A3830" w:rsidRPr="0029055C" w:rsidRDefault="002A3830" w:rsidP="0029055C">
      <w:pPr>
        <w:pStyle w:val="ListParagraph"/>
        <w:numPr>
          <w:ilvl w:val="1"/>
          <w:numId w:val="13"/>
        </w:numPr>
        <w:spacing w:line="280" w:lineRule="atLeast"/>
        <w:ind w:left="851" w:hanging="284"/>
        <w:contextualSpacing w:val="0"/>
        <w:rPr>
          <w:rFonts w:cs="Arial"/>
          <w:color w:val="000000"/>
          <w:sz w:val="22"/>
        </w:rPr>
      </w:pPr>
      <w:r w:rsidRPr="0029055C">
        <w:rPr>
          <w:rFonts w:cs="Arial"/>
          <w:color w:val="000000"/>
          <w:sz w:val="22"/>
          <w:u w:val="single"/>
        </w:rPr>
        <w:t>α</w:t>
      </w:r>
      <w:r w:rsidR="00A21165" w:rsidRPr="0029055C">
        <w:rPr>
          <w:rFonts w:cs="Arial"/>
          <w:color w:val="000000"/>
          <w:sz w:val="22"/>
          <w:u w:val="single"/>
        </w:rPr>
        <w:t>ύξηση κατά 7.291.279 € (ΔΔ) των διατιθέμενων πόρων</w:t>
      </w:r>
      <w:r w:rsidR="00D9535C" w:rsidRPr="0029055C">
        <w:rPr>
          <w:rFonts w:cs="Arial"/>
          <w:color w:val="000000"/>
          <w:sz w:val="22"/>
          <w:u w:val="single"/>
        </w:rPr>
        <w:t xml:space="preserve"> για </w:t>
      </w:r>
      <w:r w:rsidRPr="0029055C">
        <w:rPr>
          <w:rFonts w:cs="Arial"/>
          <w:color w:val="000000"/>
          <w:sz w:val="22"/>
          <w:u w:val="single"/>
        </w:rPr>
        <w:t xml:space="preserve">την </w:t>
      </w:r>
      <w:r w:rsidRPr="0029055C">
        <w:rPr>
          <w:rFonts w:cs="Arial"/>
          <w:i/>
          <w:color w:val="000000"/>
          <w:sz w:val="22"/>
          <w:u w:val="single"/>
        </w:rPr>
        <w:t xml:space="preserve">Κατηγορία Δράσης </w:t>
      </w:r>
      <w:r w:rsidR="00D9535C" w:rsidRPr="0029055C">
        <w:rPr>
          <w:rFonts w:cs="Arial"/>
          <w:i/>
          <w:color w:val="000000"/>
          <w:sz w:val="22"/>
          <w:u w:val="single"/>
        </w:rPr>
        <w:t>Γ</w:t>
      </w:r>
      <w:r w:rsidRPr="0029055C">
        <w:rPr>
          <w:rFonts w:cs="Arial"/>
          <w:i/>
          <w:color w:val="000000"/>
          <w:sz w:val="22"/>
          <w:u w:val="single"/>
        </w:rPr>
        <w:t>.</w:t>
      </w:r>
      <w:r w:rsidR="00D9535C" w:rsidRPr="0029055C">
        <w:rPr>
          <w:rFonts w:cs="Arial"/>
          <w:i/>
          <w:color w:val="000000"/>
          <w:sz w:val="22"/>
          <w:u w:val="single"/>
        </w:rPr>
        <w:t>2.1</w:t>
      </w:r>
      <w:r w:rsidRPr="0029055C">
        <w:rPr>
          <w:rFonts w:cs="Arial"/>
          <w:i/>
          <w:color w:val="000000"/>
          <w:sz w:val="22"/>
        </w:rPr>
        <w:t xml:space="preserve"> «</w:t>
      </w:r>
      <w:r w:rsidR="00D9535C" w:rsidRPr="0029055C">
        <w:rPr>
          <w:rFonts w:cs="Arial"/>
          <w:i/>
          <w:color w:val="000000"/>
          <w:sz w:val="22"/>
        </w:rPr>
        <w:t>Δράσεις ανάπτυξης γνώσεων, δεξιοτήτων και ικανοτήτων ανθρώπινου δυναμικού του Δημοσίου Τομέα</w:t>
      </w:r>
      <w:r w:rsidRPr="0029055C">
        <w:rPr>
          <w:rFonts w:cs="Arial"/>
          <w:i/>
          <w:color w:val="000000"/>
          <w:sz w:val="22"/>
        </w:rPr>
        <w:t>»</w:t>
      </w:r>
      <w:r w:rsidRPr="0029055C">
        <w:rPr>
          <w:rFonts w:cs="Arial"/>
          <w:color w:val="000000"/>
          <w:sz w:val="22"/>
        </w:rPr>
        <w:t xml:space="preserve">, </w:t>
      </w:r>
    </w:p>
    <w:p w14:paraId="0C6F5D21" w14:textId="77777777" w:rsidR="00D9535C" w:rsidRPr="0029055C" w:rsidRDefault="00D9535C" w:rsidP="0029055C">
      <w:pPr>
        <w:pStyle w:val="ListParagraph"/>
        <w:numPr>
          <w:ilvl w:val="1"/>
          <w:numId w:val="13"/>
        </w:numPr>
        <w:spacing w:line="280" w:lineRule="atLeast"/>
        <w:ind w:left="851" w:hanging="284"/>
        <w:contextualSpacing w:val="0"/>
        <w:rPr>
          <w:rFonts w:cs="Arial"/>
          <w:color w:val="000000"/>
          <w:sz w:val="22"/>
        </w:rPr>
      </w:pPr>
      <w:r w:rsidRPr="0029055C">
        <w:rPr>
          <w:rFonts w:cs="Arial"/>
          <w:color w:val="000000"/>
          <w:sz w:val="22"/>
          <w:u w:val="single"/>
        </w:rPr>
        <w:t xml:space="preserve">αύξηση κατά 4.657.001 € (ΔΔ) των διατιθέμενων πόρων για την </w:t>
      </w:r>
      <w:r w:rsidRPr="0029055C">
        <w:rPr>
          <w:rFonts w:cs="Arial"/>
          <w:i/>
          <w:color w:val="000000"/>
          <w:sz w:val="22"/>
          <w:u w:val="single"/>
        </w:rPr>
        <w:t>Κατηγορία Δράσης Γ.2.2</w:t>
      </w:r>
      <w:r w:rsidRPr="0029055C">
        <w:rPr>
          <w:rFonts w:cs="Arial"/>
          <w:i/>
          <w:color w:val="000000"/>
          <w:sz w:val="22"/>
        </w:rPr>
        <w:t xml:space="preserve"> «Δράσεις βελτίωσης της ποιότητας σχεδιασμού των προγραμμάτων σπουδών  και του εκπαιδευτικού υλικού»</w:t>
      </w:r>
      <w:r w:rsidRPr="0029055C">
        <w:rPr>
          <w:rFonts w:cs="Arial"/>
          <w:color w:val="000000"/>
          <w:sz w:val="22"/>
        </w:rPr>
        <w:t>.</w:t>
      </w:r>
    </w:p>
    <w:p w14:paraId="275480D3" w14:textId="77777777" w:rsidR="002F0BB2" w:rsidRPr="0029055C" w:rsidRDefault="002F0BB2" w:rsidP="001C0C80">
      <w:pPr>
        <w:keepNext/>
        <w:spacing w:line="280" w:lineRule="atLeast"/>
        <w:rPr>
          <w:rFonts w:cs="Arial"/>
          <w:color w:val="000000"/>
          <w:sz w:val="22"/>
        </w:rPr>
      </w:pPr>
      <w:r w:rsidRPr="0029055C">
        <w:rPr>
          <w:rFonts w:cs="Arial"/>
          <w:color w:val="000000"/>
          <w:sz w:val="22"/>
        </w:rPr>
        <w:t>Οι ανωτέρω τροποποιήσεις επιβάλλονται από τα ακόλουθα:</w:t>
      </w:r>
    </w:p>
    <w:p w14:paraId="6FDEDD37" w14:textId="3868EC1D" w:rsidR="002F0BB2" w:rsidRPr="0029055C" w:rsidRDefault="002F0BB2" w:rsidP="0029055C">
      <w:pPr>
        <w:pStyle w:val="ListParagraph"/>
        <w:numPr>
          <w:ilvl w:val="0"/>
          <w:numId w:val="14"/>
        </w:numPr>
        <w:spacing w:line="280" w:lineRule="atLeast"/>
        <w:contextualSpacing w:val="0"/>
        <w:rPr>
          <w:rFonts w:cs="Arial"/>
          <w:color w:val="000000"/>
          <w:sz w:val="22"/>
        </w:rPr>
      </w:pPr>
      <w:r w:rsidRPr="0029055C">
        <w:rPr>
          <w:rFonts w:cs="Arial"/>
          <w:color w:val="000000"/>
          <w:sz w:val="22"/>
        </w:rPr>
        <w:t>το</w:t>
      </w:r>
      <w:r w:rsidR="005B45B3" w:rsidRPr="0029055C">
        <w:rPr>
          <w:rFonts w:cs="Arial"/>
          <w:color w:val="000000"/>
          <w:sz w:val="22"/>
        </w:rPr>
        <w:t>ν</w:t>
      </w:r>
      <w:r w:rsidRPr="0029055C">
        <w:rPr>
          <w:rFonts w:cs="Arial"/>
          <w:color w:val="000000"/>
          <w:sz w:val="22"/>
        </w:rPr>
        <w:t xml:space="preserve"> χαμηλό βαθμό εξειδίκευσης και εφαρμογής των προβλεπόμενων δράσεων του Ειδικού Στόχου Γ1 </w:t>
      </w:r>
      <w:r w:rsidRPr="0029055C">
        <w:rPr>
          <w:rFonts w:cs="Arial"/>
          <w:i/>
          <w:color w:val="000000"/>
          <w:sz w:val="22"/>
        </w:rPr>
        <w:t>«Αύξηση των φορέων της δημόσιας διοίκησης όπου εφαρμόζονται νέες οριζόντιες πολιτικές ανθρώπινου δυναμικού»</w:t>
      </w:r>
      <w:r w:rsidR="003059F5" w:rsidRPr="0029055C">
        <w:rPr>
          <w:rFonts w:cs="Arial"/>
          <w:color w:val="000000"/>
          <w:sz w:val="22"/>
        </w:rPr>
        <w:t xml:space="preserve">. Επισημαίνεται ότι με βάση τον υφιστάμενο προγραμματισμό στο πλαίσιο του Ειδικού Στόχου Γ1 και ειδικότερα της Κατηγορίας Δράσης Γ.1.1 θα </w:t>
      </w:r>
      <w:r w:rsidR="005C45F6" w:rsidRPr="0029055C">
        <w:rPr>
          <w:rFonts w:cs="Arial"/>
          <w:color w:val="000000"/>
          <w:sz w:val="22"/>
        </w:rPr>
        <w:t xml:space="preserve">υλοποιηθεί το </w:t>
      </w:r>
      <w:r w:rsidR="00B53959" w:rsidRPr="0029055C">
        <w:rPr>
          <w:rFonts w:cs="Arial"/>
          <w:color w:val="000000"/>
          <w:sz w:val="22"/>
        </w:rPr>
        <w:t>«Ενιαίο Σύστημα Διαχείρισης Ανθρωπίνου Δυναμικού στη Δημόσια Διοίκηση (HRMS)»</w:t>
      </w:r>
      <w:r w:rsidR="005C45F6" w:rsidRPr="0029055C">
        <w:rPr>
          <w:rFonts w:cs="Arial"/>
          <w:color w:val="000000"/>
          <w:sz w:val="22"/>
        </w:rPr>
        <w:t xml:space="preserve"> για το οποίο έχει εκδοθεί η σχετική Πρόσκληση π/υ 5.000.000 €</w:t>
      </w:r>
    </w:p>
    <w:p w14:paraId="53D97A85" w14:textId="77777777" w:rsidR="002F0BB2" w:rsidRPr="0029055C" w:rsidRDefault="002F0BB2" w:rsidP="0029055C">
      <w:pPr>
        <w:pStyle w:val="ListParagraph"/>
        <w:numPr>
          <w:ilvl w:val="0"/>
          <w:numId w:val="14"/>
        </w:numPr>
        <w:spacing w:line="280" w:lineRule="atLeast"/>
        <w:contextualSpacing w:val="0"/>
        <w:rPr>
          <w:rFonts w:cs="Arial"/>
          <w:color w:val="000000"/>
          <w:sz w:val="22"/>
        </w:rPr>
      </w:pPr>
      <w:r w:rsidRPr="0029055C">
        <w:rPr>
          <w:rFonts w:cs="Arial"/>
          <w:color w:val="000000"/>
          <w:sz w:val="22"/>
        </w:rPr>
        <w:t xml:space="preserve">την ανάγκη κάλυψης των </w:t>
      </w:r>
      <w:r w:rsidR="005C45F6" w:rsidRPr="0029055C">
        <w:rPr>
          <w:rFonts w:cs="Arial"/>
          <w:color w:val="000000"/>
          <w:sz w:val="22"/>
        </w:rPr>
        <w:t xml:space="preserve">πρόσθετων αναγκών για δράσεις κατάρτισης του ανθρώπινου δυναμικού του Δημόσιου Τομέα και της αυξημένης </w:t>
      </w:r>
      <w:r w:rsidR="00475924" w:rsidRPr="0029055C">
        <w:rPr>
          <w:rFonts w:cs="Arial"/>
          <w:color w:val="000000"/>
          <w:sz w:val="22"/>
        </w:rPr>
        <w:t>ζήτησης για απόκτηση γνώσεων και δεξιοτήτων σε θέματα που αφορούν υποστήριξη δημοσίων πολιτικών, όπως πχ. η έκδοση του Ν.4412/2016 περί δημοσίων συμβάσεων, του Ν.4325/2015 για τον εκδημοκρατισμό της Διοίκησης, του Ν.4440/2016 για την κινητικότητα των δημοσίων υπαλλήλων κλπ.</w:t>
      </w:r>
    </w:p>
    <w:p w14:paraId="593E1DC0" w14:textId="77777777" w:rsidR="002F0BB2" w:rsidRPr="0029055C" w:rsidRDefault="002F0BB2" w:rsidP="002F0BB2">
      <w:pPr>
        <w:pStyle w:val="Caption"/>
        <w:spacing w:before="240" w:after="120" w:line="280" w:lineRule="atLeast"/>
        <w:rPr>
          <w:rFonts w:cs="Arial"/>
          <w:color w:val="000000"/>
          <w:sz w:val="22"/>
        </w:rPr>
      </w:pPr>
      <w:r w:rsidRPr="0029055C">
        <w:rPr>
          <w:sz w:val="22"/>
          <w:szCs w:val="22"/>
        </w:rPr>
        <w:lastRenderedPageBreak/>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5</w:t>
      </w:r>
      <w:r w:rsidRPr="0029055C">
        <w:rPr>
          <w:sz w:val="22"/>
          <w:szCs w:val="22"/>
        </w:rPr>
        <w:fldChar w:fldCharType="end"/>
      </w:r>
      <w:r w:rsidRPr="0029055C">
        <w:rPr>
          <w:b w:val="0"/>
          <w:sz w:val="22"/>
          <w:szCs w:val="22"/>
        </w:rPr>
        <w:t>. Κατανομή νέου προϋ</w:t>
      </w:r>
      <w:r w:rsidR="007164CC" w:rsidRPr="0029055C">
        <w:rPr>
          <w:b w:val="0"/>
          <w:sz w:val="22"/>
          <w:szCs w:val="22"/>
        </w:rPr>
        <w:t xml:space="preserve">πολογισμού του Θεματικού Άξονα </w:t>
      </w:r>
      <w:r w:rsidR="00B53959" w:rsidRPr="0029055C">
        <w:rPr>
          <w:b w:val="0"/>
          <w:sz w:val="22"/>
          <w:szCs w:val="22"/>
        </w:rPr>
        <w:t>III</w:t>
      </w:r>
      <w:r w:rsidRPr="0029055C">
        <w:rPr>
          <w:b w:val="0"/>
          <w:sz w:val="22"/>
          <w:szCs w:val="22"/>
        </w:rPr>
        <w:t xml:space="preserve"> στους Ειδικούς Στόχους και τις Κατηγορίες Δράσης (ποσά σε ΔΔ) </w:t>
      </w:r>
    </w:p>
    <w:tbl>
      <w:tblPr>
        <w:tblStyle w:val="GridTable4-Accent5"/>
        <w:tblW w:w="5000" w:type="pct"/>
        <w:tblLayout w:type="fixed"/>
        <w:tblCellMar>
          <w:left w:w="28" w:type="dxa"/>
          <w:right w:w="28" w:type="dxa"/>
        </w:tblCellMar>
        <w:tblLook w:val="06A0" w:firstRow="1" w:lastRow="0" w:firstColumn="1" w:lastColumn="0" w:noHBand="1" w:noVBand="1"/>
      </w:tblPr>
      <w:tblGrid>
        <w:gridCol w:w="1027"/>
        <w:gridCol w:w="1094"/>
        <w:gridCol w:w="1488"/>
        <w:gridCol w:w="1489"/>
        <w:gridCol w:w="1276"/>
        <w:gridCol w:w="1343"/>
        <w:gridCol w:w="1343"/>
      </w:tblGrid>
      <w:tr w:rsidR="002F0BB2" w:rsidRPr="0029055C" w14:paraId="757E0DE0" w14:textId="77777777" w:rsidTr="008A638E">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7" w:type="pct"/>
            <w:tcBorders>
              <w:right w:val="single" w:sz="4" w:space="0" w:color="FFFFFF" w:themeColor="background1"/>
            </w:tcBorders>
            <w:noWrap/>
            <w:vAlign w:val="center"/>
            <w:hideMark/>
          </w:tcPr>
          <w:p w14:paraId="3F083BFF" w14:textId="77777777" w:rsidR="002F0BB2" w:rsidRPr="0029055C" w:rsidRDefault="002F0BB2" w:rsidP="008A638E">
            <w:pPr>
              <w:spacing w:before="0" w:after="0" w:line="240" w:lineRule="auto"/>
              <w:jc w:val="center"/>
              <w:rPr>
                <w:rFonts w:cs="Calibri"/>
                <w:sz w:val="18"/>
                <w:szCs w:val="18"/>
              </w:rPr>
            </w:pPr>
            <w:r w:rsidRPr="0029055C">
              <w:rPr>
                <w:rFonts w:cs="Calibri"/>
                <w:sz w:val="18"/>
                <w:szCs w:val="18"/>
              </w:rPr>
              <w:t>Ειδικός</w:t>
            </w:r>
            <w:r w:rsidRPr="0029055C">
              <w:rPr>
                <w:rFonts w:cs="Calibri"/>
                <w:sz w:val="18"/>
                <w:szCs w:val="18"/>
              </w:rPr>
              <w:br/>
              <w:t>Στόχος</w:t>
            </w:r>
          </w:p>
        </w:tc>
        <w:tc>
          <w:tcPr>
            <w:tcW w:w="604" w:type="pct"/>
            <w:tcBorders>
              <w:left w:val="single" w:sz="4" w:space="0" w:color="FFFFFF" w:themeColor="background1"/>
              <w:right w:val="single" w:sz="4" w:space="0" w:color="FFFFFF" w:themeColor="background1"/>
            </w:tcBorders>
            <w:noWrap/>
            <w:vAlign w:val="center"/>
            <w:hideMark/>
          </w:tcPr>
          <w:p w14:paraId="39F27908" w14:textId="77777777" w:rsidR="002F0BB2" w:rsidRPr="0029055C" w:rsidRDefault="002F0BB2" w:rsidP="008A638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 xml:space="preserve">Κατηγορία </w:t>
            </w:r>
            <w:r w:rsidRPr="0029055C">
              <w:rPr>
                <w:rFonts w:cs="Calibri"/>
                <w:sz w:val="18"/>
                <w:szCs w:val="18"/>
              </w:rPr>
              <w:br/>
              <w:t>Δράσης</w:t>
            </w:r>
          </w:p>
        </w:tc>
        <w:tc>
          <w:tcPr>
            <w:tcW w:w="821" w:type="pct"/>
            <w:tcBorders>
              <w:left w:val="single" w:sz="4" w:space="0" w:color="FFFFFF" w:themeColor="background1"/>
              <w:right w:val="single" w:sz="4" w:space="0" w:color="FFFFFF" w:themeColor="background1"/>
            </w:tcBorders>
            <w:noWrap/>
            <w:vAlign w:val="center"/>
            <w:hideMark/>
          </w:tcPr>
          <w:p w14:paraId="261A081E" w14:textId="77777777" w:rsidR="002F0BB2" w:rsidRPr="0029055C" w:rsidRDefault="002F0BB2" w:rsidP="008A638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 xml:space="preserve">Π/Υ </w:t>
            </w:r>
            <w:r w:rsidRPr="0029055C">
              <w:rPr>
                <w:rFonts w:cs="Calibri"/>
                <w:b w:val="0"/>
                <w:sz w:val="18"/>
                <w:szCs w:val="18"/>
              </w:rPr>
              <w:t>(με βάση την  1η Αναθεώρηση)</w:t>
            </w:r>
          </w:p>
        </w:tc>
        <w:tc>
          <w:tcPr>
            <w:tcW w:w="822" w:type="pct"/>
            <w:tcBorders>
              <w:left w:val="single" w:sz="4" w:space="0" w:color="FFFFFF" w:themeColor="background1"/>
              <w:right w:val="single" w:sz="4" w:space="0" w:color="FFFFFF" w:themeColor="background1"/>
            </w:tcBorders>
            <w:vAlign w:val="center"/>
            <w:hideMark/>
          </w:tcPr>
          <w:p w14:paraId="4FB62311" w14:textId="77777777" w:rsidR="002F0BB2" w:rsidRPr="0029055C" w:rsidRDefault="002F0BB2" w:rsidP="008A638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Νέος Π/υ</w:t>
            </w:r>
          </w:p>
        </w:tc>
        <w:tc>
          <w:tcPr>
            <w:tcW w:w="704" w:type="pct"/>
            <w:tcBorders>
              <w:left w:val="single" w:sz="4" w:space="0" w:color="FFFFFF" w:themeColor="background1"/>
              <w:right w:val="single" w:sz="4" w:space="0" w:color="FFFFFF" w:themeColor="background1"/>
            </w:tcBorders>
            <w:noWrap/>
            <w:vAlign w:val="center"/>
            <w:hideMark/>
          </w:tcPr>
          <w:p w14:paraId="196C178C" w14:textId="77777777" w:rsidR="002F0BB2" w:rsidRPr="0029055C" w:rsidRDefault="002F0BB2" w:rsidP="008A638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w:t>
            </w:r>
            <w:r w:rsidRPr="0029055C">
              <w:rPr>
                <w:rFonts w:cs="Calibri"/>
                <w:sz w:val="18"/>
                <w:szCs w:val="18"/>
              </w:rPr>
              <w:br/>
              <w:t xml:space="preserve"> Μεταβολής</w:t>
            </w:r>
          </w:p>
        </w:tc>
        <w:tc>
          <w:tcPr>
            <w:tcW w:w="741" w:type="pct"/>
            <w:tcBorders>
              <w:left w:val="single" w:sz="4" w:space="0" w:color="FFFFFF" w:themeColor="background1"/>
              <w:right w:val="single" w:sz="4" w:space="0" w:color="FFFFFF" w:themeColor="background1"/>
            </w:tcBorders>
            <w:vAlign w:val="center"/>
            <w:hideMark/>
          </w:tcPr>
          <w:p w14:paraId="62D01D90" w14:textId="77777777" w:rsidR="002F0BB2" w:rsidRPr="0029055C" w:rsidRDefault="002F0BB2" w:rsidP="008A638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Αρχική χρηματοδοτική βαρύτητα</w:t>
            </w:r>
            <w:r w:rsidR="00713441" w:rsidRPr="0029055C">
              <w:rPr>
                <w:rFonts w:cs="Calibri"/>
                <w:sz w:val="18"/>
                <w:szCs w:val="18"/>
              </w:rPr>
              <w:t xml:space="preserve"> </w:t>
            </w:r>
            <w:r w:rsidRPr="0029055C">
              <w:rPr>
                <w:rStyle w:val="FootnoteReference"/>
                <w:rFonts w:cs="Calibri"/>
                <w:sz w:val="18"/>
                <w:szCs w:val="18"/>
              </w:rPr>
              <w:footnoteReference w:id="7"/>
            </w:r>
          </w:p>
        </w:tc>
        <w:tc>
          <w:tcPr>
            <w:tcW w:w="741" w:type="pct"/>
            <w:tcBorders>
              <w:left w:val="single" w:sz="4" w:space="0" w:color="FFFFFF" w:themeColor="background1"/>
            </w:tcBorders>
            <w:vAlign w:val="center"/>
            <w:hideMark/>
          </w:tcPr>
          <w:p w14:paraId="650B16FE" w14:textId="77777777" w:rsidR="002F0BB2" w:rsidRPr="0029055C" w:rsidRDefault="002F0BB2" w:rsidP="0071344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9055C">
              <w:rPr>
                <w:rFonts w:cs="Calibri"/>
                <w:sz w:val="18"/>
                <w:szCs w:val="18"/>
              </w:rPr>
              <w:t>Νέα χρηματοδοτική βαρύτητα</w:t>
            </w:r>
            <w:r w:rsidR="00713441" w:rsidRPr="0029055C">
              <w:rPr>
                <w:rFonts w:cs="Calibri"/>
                <w:sz w:val="18"/>
                <w:szCs w:val="18"/>
              </w:rPr>
              <w:t xml:space="preserve"> </w:t>
            </w:r>
            <w:r w:rsidR="00713441" w:rsidRPr="0029055C">
              <w:rPr>
                <w:rFonts w:cs="Calibri"/>
                <w:sz w:val="18"/>
                <w:szCs w:val="18"/>
                <w:vertAlign w:val="superscript"/>
              </w:rPr>
              <w:t>4</w:t>
            </w:r>
          </w:p>
        </w:tc>
      </w:tr>
      <w:tr w:rsidR="002F0BB2" w:rsidRPr="0029055C" w14:paraId="789B63FB" w14:textId="77777777" w:rsidTr="008A638E">
        <w:trPr>
          <w:trHeight w:val="300"/>
        </w:trPr>
        <w:tc>
          <w:tcPr>
            <w:cnfStyle w:val="001000000000" w:firstRow="0" w:lastRow="0" w:firstColumn="1" w:lastColumn="0" w:oddVBand="0" w:evenVBand="0" w:oddHBand="0" w:evenHBand="0" w:firstRowFirstColumn="0" w:firstRowLastColumn="0" w:lastRowFirstColumn="0" w:lastRowLastColumn="0"/>
            <w:tcW w:w="567" w:type="pct"/>
            <w:noWrap/>
            <w:hideMark/>
          </w:tcPr>
          <w:p w14:paraId="7FE73106" w14:textId="77777777" w:rsidR="002F0BB2" w:rsidRPr="0029055C" w:rsidRDefault="007164CC" w:rsidP="001C0C80">
            <w:pPr>
              <w:spacing w:before="60" w:after="60" w:line="240" w:lineRule="auto"/>
              <w:jc w:val="left"/>
              <w:rPr>
                <w:rFonts w:cs="Calibri"/>
                <w:b w:val="0"/>
                <w:color w:val="000000"/>
                <w:sz w:val="18"/>
                <w:szCs w:val="18"/>
              </w:rPr>
            </w:pPr>
            <w:r w:rsidRPr="0029055C">
              <w:rPr>
                <w:rFonts w:cs="Calibri"/>
                <w:b w:val="0"/>
                <w:color w:val="000000"/>
                <w:sz w:val="18"/>
                <w:szCs w:val="18"/>
              </w:rPr>
              <w:t>Γ</w:t>
            </w:r>
            <w:r w:rsidR="002F0BB2" w:rsidRPr="0029055C">
              <w:rPr>
                <w:rFonts w:cs="Calibri"/>
                <w:b w:val="0"/>
                <w:color w:val="000000"/>
                <w:sz w:val="18"/>
                <w:szCs w:val="18"/>
              </w:rPr>
              <w:t>.1.</w:t>
            </w:r>
          </w:p>
        </w:tc>
        <w:tc>
          <w:tcPr>
            <w:tcW w:w="604" w:type="pct"/>
            <w:noWrap/>
            <w:hideMark/>
          </w:tcPr>
          <w:p w14:paraId="6350ADB0" w14:textId="77777777" w:rsidR="002F0BB2" w:rsidRPr="0029055C" w:rsidRDefault="007164CC" w:rsidP="001C0C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00000"/>
                <w:sz w:val="18"/>
                <w:szCs w:val="18"/>
              </w:rPr>
            </w:pPr>
            <w:r w:rsidRPr="0029055C">
              <w:rPr>
                <w:rFonts w:cs="Calibri"/>
                <w:bCs/>
                <w:color w:val="000000"/>
                <w:sz w:val="18"/>
                <w:szCs w:val="18"/>
              </w:rPr>
              <w:t>Γ</w:t>
            </w:r>
            <w:r w:rsidR="002F0BB2" w:rsidRPr="0029055C">
              <w:rPr>
                <w:rFonts w:cs="Calibri"/>
                <w:bCs/>
                <w:color w:val="000000"/>
                <w:sz w:val="18"/>
                <w:szCs w:val="18"/>
              </w:rPr>
              <w:t>.1.1.</w:t>
            </w:r>
          </w:p>
        </w:tc>
        <w:tc>
          <w:tcPr>
            <w:tcW w:w="821" w:type="pct"/>
            <w:noWrap/>
            <w:vAlign w:val="center"/>
            <w:hideMark/>
          </w:tcPr>
          <w:p w14:paraId="2924122E" w14:textId="77777777" w:rsidR="002F0BB2" w:rsidRPr="0029055C" w:rsidRDefault="007164CC"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12</w:t>
            </w:r>
            <w:r w:rsidR="002F0BB2" w:rsidRPr="0029055C">
              <w:rPr>
                <w:rFonts w:cs="Calibri"/>
                <w:color w:val="000000"/>
                <w:sz w:val="18"/>
                <w:szCs w:val="18"/>
              </w:rPr>
              <w:t>.000.000,00</w:t>
            </w:r>
          </w:p>
        </w:tc>
        <w:tc>
          <w:tcPr>
            <w:tcW w:w="822" w:type="pct"/>
            <w:noWrap/>
            <w:vAlign w:val="center"/>
            <w:hideMark/>
          </w:tcPr>
          <w:p w14:paraId="67DA2EFF" w14:textId="77777777" w:rsidR="002F0BB2" w:rsidRPr="0029055C" w:rsidRDefault="001D0FE8"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7</w:t>
            </w:r>
            <w:r w:rsidR="002F0BB2" w:rsidRPr="0029055C">
              <w:rPr>
                <w:rFonts w:cs="Calibri"/>
                <w:color w:val="000000"/>
                <w:sz w:val="18"/>
                <w:szCs w:val="18"/>
              </w:rPr>
              <w:t>.000.000,00</w:t>
            </w:r>
          </w:p>
        </w:tc>
        <w:tc>
          <w:tcPr>
            <w:tcW w:w="704" w:type="pct"/>
            <w:noWrap/>
            <w:vAlign w:val="center"/>
            <w:hideMark/>
          </w:tcPr>
          <w:p w14:paraId="3849E6FF" w14:textId="77777777" w:rsidR="002F0BB2" w:rsidRPr="0029055C" w:rsidRDefault="001D0FE8" w:rsidP="001C0C80">
            <w:pPr>
              <w:pStyle w:val="ListParagraph"/>
              <w:numPr>
                <w:ilvl w:val="0"/>
                <w:numId w:val="19"/>
              </w:numPr>
              <w:tabs>
                <w:tab w:val="left" w:pos="287"/>
              </w:tabs>
              <w:spacing w:before="60" w:after="60" w:line="240" w:lineRule="auto"/>
              <w:ind w:left="0" w:right="170" w:firstLine="0"/>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-41,7</w:t>
            </w:r>
            <w:r w:rsidR="002F0BB2" w:rsidRPr="0029055C">
              <w:rPr>
                <w:rFonts w:cs="Calibri"/>
                <w:color w:val="000000"/>
                <w:sz w:val="18"/>
                <w:szCs w:val="18"/>
              </w:rPr>
              <w:t>%</w:t>
            </w:r>
          </w:p>
        </w:tc>
        <w:tc>
          <w:tcPr>
            <w:tcW w:w="741" w:type="pct"/>
            <w:noWrap/>
            <w:hideMark/>
          </w:tcPr>
          <w:p w14:paraId="062F8FDE" w14:textId="77777777" w:rsidR="002F0BB2" w:rsidRPr="0029055C" w:rsidRDefault="00AF64E4"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100</w:t>
            </w:r>
            <w:r w:rsidR="002F0BB2" w:rsidRPr="0029055C">
              <w:rPr>
                <w:rFonts w:cs="Calibri"/>
                <w:color w:val="000000"/>
                <w:sz w:val="18"/>
                <w:szCs w:val="18"/>
              </w:rPr>
              <w:t>,</w:t>
            </w:r>
            <w:r w:rsidRPr="0029055C">
              <w:rPr>
                <w:rFonts w:cs="Calibri"/>
                <w:color w:val="000000"/>
                <w:sz w:val="18"/>
                <w:szCs w:val="18"/>
              </w:rPr>
              <w:t>0</w:t>
            </w:r>
            <w:r w:rsidR="002F0BB2" w:rsidRPr="0029055C">
              <w:rPr>
                <w:rFonts w:cs="Calibri"/>
                <w:color w:val="000000"/>
                <w:sz w:val="18"/>
                <w:szCs w:val="18"/>
              </w:rPr>
              <w:t>%</w:t>
            </w:r>
          </w:p>
        </w:tc>
        <w:tc>
          <w:tcPr>
            <w:tcW w:w="741" w:type="pct"/>
            <w:noWrap/>
            <w:hideMark/>
          </w:tcPr>
          <w:p w14:paraId="69AEF935" w14:textId="77777777" w:rsidR="002F0BB2" w:rsidRPr="0029055C" w:rsidRDefault="00AF64E4"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100</w:t>
            </w:r>
            <w:r w:rsidR="002F0BB2" w:rsidRPr="0029055C">
              <w:rPr>
                <w:rFonts w:cs="Calibri"/>
                <w:color w:val="000000"/>
                <w:sz w:val="18"/>
                <w:szCs w:val="18"/>
              </w:rPr>
              <w:t>,</w:t>
            </w:r>
            <w:r w:rsidRPr="0029055C">
              <w:rPr>
                <w:rFonts w:cs="Calibri"/>
                <w:color w:val="000000"/>
                <w:sz w:val="18"/>
                <w:szCs w:val="18"/>
              </w:rPr>
              <w:t>0</w:t>
            </w:r>
            <w:r w:rsidR="002F0BB2" w:rsidRPr="0029055C">
              <w:rPr>
                <w:rFonts w:cs="Calibri"/>
                <w:color w:val="000000"/>
                <w:sz w:val="18"/>
                <w:szCs w:val="18"/>
              </w:rPr>
              <w:t>%</w:t>
            </w:r>
          </w:p>
        </w:tc>
      </w:tr>
      <w:tr w:rsidR="002F0BB2" w:rsidRPr="0029055C" w14:paraId="4CCF7FD1" w14:textId="77777777" w:rsidTr="008A638E">
        <w:trPr>
          <w:trHeight w:val="300"/>
        </w:trPr>
        <w:tc>
          <w:tcPr>
            <w:cnfStyle w:val="001000000000" w:firstRow="0" w:lastRow="0" w:firstColumn="1" w:lastColumn="0" w:oddVBand="0" w:evenVBand="0" w:oddHBand="0" w:evenHBand="0" w:firstRowFirstColumn="0" w:firstRowLastColumn="0" w:lastRowFirstColumn="0" w:lastRowLastColumn="0"/>
            <w:tcW w:w="1171" w:type="pct"/>
            <w:gridSpan w:val="2"/>
            <w:shd w:val="clear" w:color="auto" w:fill="DAEEF3" w:themeFill="accent5" w:themeFillTint="33"/>
            <w:noWrap/>
            <w:vAlign w:val="center"/>
            <w:hideMark/>
          </w:tcPr>
          <w:p w14:paraId="7C578C71" w14:textId="77777777" w:rsidR="002F0BB2" w:rsidRPr="0029055C" w:rsidRDefault="002F0BB2" w:rsidP="001C0C80">
            <w:pPr>
              <w:spacing w:before="60" w:after="60" w:line="240" w:lineRule="auto"/>
              <w:jc w:val="left"/>
              <w:rPr>
                <w:rFonts w:cs="Calibri"/>
                <w:color w:val="000000"/>
                <w:sz w:val="18"/>
                <w:szCs w:val="18"/>
              </w:rPr>
            </w:pPr>
            <w:r w:rsidRPr="0029055C">
              <w:rPr>
                <w:rFonts w:cs="Calibri"/>
                <w:color w:val="000000"/>
                <w:sz w:val="18"/>
                <w:szCs w:val="18"/>
              </w:rPr>
              <w:t xml:space="preserve">Σύνολο </w:t>
            </w:r>
            <w:r w:rsidR="007164CC" w:rsidRPr="0029055C">
              <w:rPr>
                <w:rFonts w:cs="Calibri"/>
                <w:color w:val="000000"/>
                <w:sz w:val="18"/>
                <w:szCs w:val="18"/>
              </w:rPr>
              <w:t>Γ</w:t>
            </w:r>
            <w:r w:rsidRPr="0029055C">
              <w:rPr>
                <w:rFonts w:cs="Calibri"/>
                <w:color w:val="000000"/>
                <w:sz w:val="18"/>
                <w:szCs w:val="18"/>
              </w:rPr>
              <w:t>.1.</w:t>
            </w:r>
          </w:p>
        </w:tc>
        <w:tc>
          <w:tcPr>
            <w:tcW w:w="821" w:type="pct"/>
            <w:shd w:val="clear" w:color="auto" w:fill="DAEEF3" w:themeFill="accent5" w:themeFillTint="33"/>
            <w:noWrap/>
            <w:vAlign w:val="center"/>
            <w:hideMark/>
          </w:tcPr>
          <w:p w14:paraId="45B3B96C" w14:textId="77777777" w:rsidR="002F0BB2" w:rsidRPr="0029055C" w:rsidRDefault="007164CC"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w:t>
            </w:r>
            <w:r w:rsidR="002F0BB2" w:rsidRPr="0029055C">
              <w:rPr>
                <w:rFonts w:cs="Calibri"/>
                <w:b/>
                <w:bCs/>
                <w:color w:val="000000"/>
                <w:sz w:val="18"/>
                <w:szCs w:val="18"/>
              </w:rPr>
              <w:t>2.000.000,00</w:t>
            </w:r>
          </w:p>
        </w:tc>
        <w:tc>
          <w:tcPr>
            <w:tcW w:w="822" w:type="pct"/>
            <w:shd w:val="clear" w:color="auto" w:fill="DAEEF3" w:themeFill="accent5" w:themeFillTint="33"/>
            <w:noWrap/>
            <w:vAlign w:val="center"/>
            <w:hideMark/>
          </w:tcPr>
          <w:p w14:paraId="1ADD2D24" w14:textId="77777777" w:rsidR="002F0BB2" w:rsidRPr="0029055C" w:rsidRDefault="001D0FE8"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7</w:t>
            </w:r>
            <w:r w:rsidR="002F0BB2" w:rsidRPr="0029055C">
              <w:rPr>
                <w:rFonts w:cs="Calibri"/>
                <w:b/>
                <w:bCs/>
                <w:color w:val="000000"/>
                <w:sz w:val="18"/>
                <w:szCs w:val="18"/>
              </w:rPr>
              <w:t>.000.000,00</w:t>
            </w:r>
          </w:p>
        </w:tc>
        <w:tc>
          <w:tcPr>
            <w:tcW w:w="704" w:type="pct"/>
            <w:shd w:val="clear" w:color="auto" w:fill="DAEEF3" w:themeFill="accent5" w:themeFillTint="33"/>
            <w:noWrap/>
            <w:vAlign w:val="center"/>
            <w:hideMark/>
          </w:tcPr>
          <w:p w14:paraId="32198DCE" w14:textId="77777777" w:rsidR="002F0BB2" w:rsidRPr="0029055C" w:rsidRDefault="001D0FE8" w:rsidP="001C0C80">
            <w:pPr>
              <w:pStyle w:val="ListParagraph"/>
              <w:numPr>
                <w:ilvl w:val="0"/>
                <w:numId w:val="19"/>
              </w:numPr>
              <w:tabs>
                <w:tab w:val="left" w:pos="287"/>
              </w:tabs>
              <w:spacing w:before="60" w:after="60" w:line="240" w:lineRule="auto"/>
              <w:ind w:left="0" w:right="170" w:firstLine="0"/>
              <w:contextualSpacing w:val="0"/>
              <w:jc w:val="center"/>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29055C">
              <w:rPr>
                <w:rFonts w:cs="Calibri"/>
                <w:b/>
                <w:color w:val="000000"/>
                <w:sz w:val="18"/>
                <w:szCs w:val="18"/>
              </w:rPr>
              <w:t>-41,7</w:t>
            </w:r>
            <w:r w:rsidR="002F0BB2" w:rsidRPr="0029055C">
              <w:rPr>
                <w:rFonts w:cs="Calibri"/>
                <w:b/>
                <w:color w:val="000000"/>
                <w:sz w:val="18"/>
                <w:szCs w:val="18"/>
              </w:rPr>
              <w:t>%</w:t>
            </w:r>
          </w:p>
        </w:tc>
        <w:tc>
          <w:tcPr>
            <w:tcW w:w="741" w:type="pct"/>
            <w:shd w:val="clear" w:color="auto" w:fill="DAEEF3" w:themeFill="accent5" w:themeFillTint="33"/>
            <w:noWrap/>
            <w:vAlign w:val="center"/>
            <w:hideMark/>
          </w:tcPr>
          <w:p w14:paraId="1961D581" w14:textId="77777777" w:rsidR="002F0BB2" w:rsidRPr="0029055C" w:rsidRDefault="002F0BB2" w:rsidP="001C0C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w:t>
            </w:r>
            <w:r w:rsidR="00AF64E4" w:rsidRPr="0029055C">
              <w:rPr>
                <w:rFonts w:cs="Calibri"/>
                <w:b/>
                <w:bCs/>
                <w:color w:val="000000"/>
                <w:sz w:val="18"/>
                <w:szCs w:val="18"/>
              </w:rPr>
              <w:t>0</w:t>
            </w:r>
            <w:r w:rsidRPr="0029055C">
              <w:rPr>
                <w:rFonts w:cs="Calibri"/>
                <w:b/>
                <w:bCs/>
                <w:color w:val="000000"/>
                <w:sz w:val="18"/>
                <w:szCs w:val="18"/>
              </w:rPr>
              <w:t>,</w:t>
            </w:r>
            <w:r w:rsidR="00AF64E4" w:rsidRPr="0029055C">
              <w:rPr>
                <w:rFonts w:cs="Calibri"/>
                <w:b/>
                <w:bCs/>
                <w:color w:val="000000"/>
                <w:sz w:val="18"/>
                <w:szCs w:val="18"/>
              </w:rPr>
              <w:t>5</w:t>
            </w:r>
            <w:r w:rsidRPr="0029055C">
              <w:rPr>
                <w:rFonts w:cs="Calibri"/>
                <w:b/>
                <w:bCs/>
                <w:color w:val="000000"/>
                <w:sz w:val="18"/>
                <w:szCs w:val="18"/>
              </w:rPr>
              <w:t>%</w:t>
            </w:r>
          </w:p>
        </w:tc>
        <w:tc>
          <w:tcPr>
            <w:tcW w:w="741" w:type="pct"/>
            <w:shd w:val="clear" w:color="auto" w:fill="DAEEF3" w:themeFill="accent5" w:themeFillTint="33"/>
            <w:noWrap/>
            <w:vAlign w:val="center"/>
            <w:hideMark/>
          </w:tcPr>
          <w:p w14:paraId="59487C25" w14:textId="77777777" w:rsidR="002F0BB2" w:rsidRPr="0029055C" w:rsidRDefault="00AF64E4" w:rsidP="001C0C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5,8</w:t>
            </w:r>
            <w:r w:rsidR="002F0BB2" w:rsidRPr="0029055C">
              <w:rPr>
                <w:rFonts w:cs="Calibri"/>
                <w:b/>
                <w:bCs/>
                <w:color w:val="000000"/>
                <w:sz w:val="18"/>
                <w:szCs w:val="18"/>
              </w:rPr>
              <w:t>%</w:t>
            </w:r>
          </w:p>
        </w:tc>
      </w:tr>
      <w:tr w:rsidR="001D0FE8" w:rsidRPr="0029055C" w14:paraId="5486C75B" w14:textId="77777777" w:rsidTr="001D0FE8">
        <w:trPr>
          <w:trHeight w:val="300"/>
        </w:trPr>
        <w:tc>
          <w:tcPr>
            <w:cnfStyle w:val="001000000000" w:firstRow="0" w:lastRow="0" w:firstColumn="1" w:lastColumn="0" w:oddVBand="0" w:evenVBand="0" w:oddHBand="0" w:evenHBand="0" w:firstRowFirstColumn="0" w:firstRowLastColumn="0" w:lastRowFirstColumn="0" w:lastRowLastColumn="0"/>
            <w:tcW w:w="567" w:type="pct"/>
            <w:noWrap/>
            <w:hideMark/>
          </w:tcPr>
          <w:p w14:paraId="4F674FBD" w14:textId="77777777" w:rsidR="001D0FE8" w:rsidRPr="0029055C" w:rsidRDefault="001D0FE8" w:rsidP="001C0C80">
            <w:pPr>
              <w:spacing w:before="60" w:after="60" w:line="240" w:lineRule="auto"/>
              <w:jc w:val="left"/>
              <w:rPr>
                <w:rFonts w:cs="Calibri"/>
                <w:b w:val="0"/>
                <w:color w:val="000000"/>
                <w:sz w:val="18"/>
                <w:szCs w:val="18"/>
              </w:rPr>
            </w:pPr>
            <w:r w:rsidRPr="0029055C">
              <w:rPr>
                <w:rFonts w:cs="Calibri"/>
                <w:b w:val="0"/>
                <w:color w:val="000000"/>
                <w:sz w:val="18"/>
                <w:szCs w:val="18"/>
              </w:rPr>
              <w:t>Γ.2.</w:t>
            </w:r>
          </w:p>
        </w:tc>
        <w:tc>
          <w:tcPr>
            <w:tcW w:w="604" w:type="pct"/>
            <w:noWrap/>
            <w:hideMark/>
          </w:tcPr>
          <w:p w14:paraId="496AE532" w14:textId="77777777" w:rsidR="001D0FE8" w:rsidRPr="0029055C" w:rsidRDefault="001D0FE8" w:rsidP="001C0C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00000"/>
                <w:sz w:val="18"/>
                <w:szCs w:val="18"/>
              </w:rPr>
            </w:pPr>
            <w:r w:rsidRPr="0029055C">
              <w:rPr>
                <w:rFonts w:cs="Calibri"/>
                <w:bCs/>
                <w:color w:val="000000"/>
                <w:sz w:val="18"/>
                <w:szCs w:val="18"/>
              </w:rPr>
              <w:t>Γ.2.1.</w:t>
            </w:r>
          </w:p>
        </w:tc>
        <w:tc>
          <w:tcPr>
            <w:tcW w:w="821" w:type="pct"/>
            <w:noWrap/>
            <w:vAlign w:val="center"/>
            <w:hideMark/>
          </w:tcPr>
          <w:p w14:paraId="24E77958" w14:textId="77777777" w:rsidR="001D0FE8" w:rsidRPr="0029055C" w:rsidRDefault="001D0FE8"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95.000.000,00</w:t>
            </w:r>
          </w:p>
        </w:tc>
        <w:tc>
          <w:tcPr>
            <w:tcW w:w="822" w:type="pct"/>
            <w:noWrap/>
            <w:vAlign w:val="center"/>
            <w:hideMark/>
          </w:tcPr>
          <w:p w14:paraId="5F26F810" w14:textId="77777777" w:rsidR="001D0FE8" w:rsidRPr="0029055C" w:rsidRDefault="001D0FE8"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102.291.279,00</w:t>
            </w:r>
          </w:p>
        </w:tc>
        <w:tc>
          <w:tcPr>
            <w:tcW w:w="704" w:type="pct"/>
            <w:noWrap/>
            <w:vAlign w:val="center"/>
            <w:hideMark/>
          </w:tcPr>
          <w:p w14:paraId="75076882" w14:textId="77777777" w:rsidR="001D0FE8" w:rsidRPr="0029055C" w:rsidRDefault="001D0FE8" w:rsidP="001C0C80">
            <w:pPr>
              <w:pStyle w:val="ListParagraph"/>
              <w:numPr>
                <w:ilvl w:val="0"/>
                <w:numId w:val="18"/>
              </w:numPr>
              <w:tabs>
                <w:tab w:val="left" w:pos="398"/>
              </w:tabs>
              <w:spacing w:before="60" w:after="60" w:line="240" w:lineRule="auto"/>
              <w:ind w:left="0" w:right="170" w:firstLine="0"/>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7,7%</w:t>
            </w:r>
          </w:p>
        </w:tc>
        <w:tc>
          <w:tcPr>
            <w:tcW w:w="741" w:type="pct"/>
            <w:noWrap/>
            <w:hideMark/>
          </w:tcPr>
          <w:p w14:paraId="3841363E" w14:textId="77777777" w:rsidR="001D0FE8" w:rsidRPr="0029055C" w:rsidRDefault="00AF64E4"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92</w:t>
            </w:r>
            <w:r w:rsidR="001D0FE8" w:rsidRPr="0029055C">
              <w:rPr>
                <w:rFonts w:cs="Calibri"/>
                <w:color w:val="000000"/>
                <w:sz w:val="18"/>
                <w:szCs w:val="18"/>
              </w:rPr>
              <w:t>,</w:t>
            </w:r>
            <w:r w:rsidRPr="0029055C">
              <w:rPr>
                <w:rFonts w:cs="Calibri"/>
                <w:color w:val="000000"/>
                <w:sz w:val="18"/>
                <w:szCs w:val="18"/>
              </w:rPr>
              <w:t>8</w:t>
            </w:r>
            <w:r w:rsidR="001D0FE8" w:rsidRPr="0029055C">
              <w:rPr>
                <w:rFonts w:cs="Calibri"/>
                <w:color w:val="000000"/>
                <w:sz w:val="18"/>
                <w:szCs w:val="18"/>
              </w:rPr>
              <w:t>%</w:t>
            </w:r>
          </w:p>
        </w:tc>
        <w:tc>
          <w:tcPr>
            <w:tcW w:w="741" w:type="pct"/>
            <w:noWrap/>
            <w:hideMark/>
          </w:tcPr>
          <w:p w14:paraId="38CABB78" w14:textId="77777777" w:rsidR="001D0FE8" w:rsidRPr="0029055C" w:rsidRDefault="00AF64E4"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89</w:t>
            </w:r>
            <w:r w:rsidR="001D0FE8" w:rsidRPr="0029055C">
              <w:rPr>
                <w:rFonts w:cs="Calibri"/>
                <w:color w:val="000000"/>
                <w:sz w:val="18"/>
                <w:szCs w:val="18"/>
              </w:rPr>
              <w:t>,</w:t>
            </w:r>
            <w:r w:rsidRPr="0029055C">
              <w:rPr>
                <w:rFonts w:cs="Calibri"/>
                <w:color w:val="000000"/>
                <w:sz w:val="18"/>
                <w:szCs w:val="18"/>
              </w:rPr>
              <w:t>5</w:t>
            </w:r>
            <w:r w:rsidR="001D0FE8" w:rsidRPr="0029055C">
              <w:rPr>
                <w:rFonts w:cs="Calibri"/>
                <w:color w:val="000000"/>
                <w:sz w:val="18"/>
                <w:szCs w:val="18"/>
              </w:rPr>
              <w:t>%</w:t>
            </w:r>
          </w:p>
        </w:tc>
      </w:tr>
      <w:tr w:rsidR="001D0FE8" w:rsidRPr="0029055C" w14:paraId="3E47F859" w14:textId="77777777" w:rsidTr="001D0FE8">
        <w:trPr>
          <w:trHeight w:val="300"/>
        </w:trPr>
        <w:tc>
          <w:tcPr>
            <w:cnfStyle w:val="001000000000" w:firstRow="0" w:lastRow="0" w:firstColumn="1" w:lastColumn="0" w:oddVBand="0" w:evenVBand="0" w:oddHBand="0" w:evenHBand="0" w:firstRowFirstColumn="0" w:firstRowLastColumn="0" w:lastRowFirstColumn="0" w:lastRowLastColumn="0"/>
            <w:tcW w:w="567" w:type="pct"/>
            <w:noWrap/>
            <w:hideMark/>
          </w:tcPr>
          <w:p w14:paraId="519AC2F4" w14:textId="77777777" w:rsidR="001D0FE8" w:rsidRPr="0029055C" w:rsidRDefault="001D0FE8" w:rsidP="001C0C80">
            <w:pPr>
              <w:spacing w:before="60" w:after="60" w:line="240" w:lineRule="auto"/>
              <w:jc w:val="right"/>
              <w:rPr>
                <w:rFonts w:cs="Calibri"/>
                <w:b w:val="0"/>
                <w:color w:val="000000"/>
                <w:sz w:val="18"/>
                <w:szCs w:val="18"/>
              </w:rPr>
            </w:pPr>
          </w:p>
        </w:tc>
        <w:tc>
          <w:tcPr>
            <w:tcW w:w="604" w:type="pct"/>
            <w:noWrap/>
            <w:hideMark/>
          </w:tcPr>
          <w:p w14:paraId="3935DCC3" w14:textId="77777777" w:rsidR="001D0FE8" w:rsidRPr="0029055C" w:rsidRDefault="001D0FE8" w:rsidP="001C0C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00000"/>
                <w:sz w:val="18"/>
                <w:szCs w:val="18"/>
              </w:rPr>
            </w:pPr>
            <w:r w:rsidRPr="0029055C">
              <w:rPr>
                <w:rFonts w:cs="Calibri"/>
                <w:bCs/>
                <w:color w:val="000000"/>
                <w:sz w:val="18"/>
                <w:szCs w:val="18"/>
              </w:rPr>
              <w:t>Γ.2.2.</w:t>
            </w:r>
          </w:p>
        </w:tc>
        <w:tc>
          <w:tcPr>
            <w:tcW w:w="821" w:type="pct"/>
            <w:noWrap/>
            <w:vAlign w:val="center"/>
            <w:hideMark/>
          </w:tcPr>
          <w:p w14:paraId="626301AD" w14:textId="77777777" w:rsidR="001D0FE8" w:rsidRPr="0029055C" w:rsidRDefault="001D0FE8"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7.342.999,00</w:t>
            </w:r>
          </w:p>
        </w:tc>
        <w:tc>
          <w:tcPr>
            <w:tcW w:w="822" w:type="pct"/>
            <w:noWrap/>
            <w:vAlign w:val="center"/>
            <w:hideMark/>
          </w:tcPr>
          <w:p w14:paraId="0B4425B7" w14:textId="77777777" w:rsidR="001D0FE8" w:rsidRPr="0029055C" w:rsidRDefault="001D0FE8"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12.000.000,00</w:t>
            </w:r>
          </w:p>
        </w:tc>
        <w:tc>
          <w:tcPr>
            <w:tcW w:w="704" w:type="pct"/>
            <w:noWrap/>
            <w:vAlign w:val="center"/>
            <w:hideMark/>
          </w:tcPr>
          <w:p w14:paraId="5067851E" w14:textId="77777777" w:rsidR="001D0FE8" w:rsidRPr="0029055C" w:rsidRDefault="001D0FE8" w:rsidP="001C0C80">
            <w:pPr>
              <w:pStyle w:val="ListParagraph"/>
              <w:numPr>
                <w:ilvl w:val="0"/>
                <w:numId w:val="18"/>
              </w:numPr>
              <w:tabs>
                <w:tab w:val="left" w:pos="287"/>
              </w:tabs>
              <w:spacing w:before="60" w:after="60" w:line="240" w:lineRule="auto"/>
              <w:ind w:left="0" w:right="170" w:firstLine="0"/>
              <w:contextualSpacing w:val="0"/>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63,4%</w:t>
            </w:r>
          </w:p>
        </w:tc>
        <w:tc>
          <w:tcPr>
            <w:tcW w:w="741" w:type="pct"/>
            <w:noWrap/>
            <w:hideMark/>
          </w:tcPr>
          <w:p w14:paraId="2E6AAD1C" w14:textId="77777777" w:rsidR="001D0FE8" w:rsidRPr="0029055C" w:rsidRDefault="00AF64E4"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7,2</w:t>
            </w:r>
            <w:r w:rsidR="001D0FE8" w:rsidRPr="0029055C">
              <w:rPr>
                <w:rFonts w:cs="Calibri"/>
                <w:color w:val="000000"/>
                <w:sz w:val="18"/>
                <w:szCs w:val="18"/>
              </w:rPr>
              <w:t>%</w:t>
            </w:r>
          </w:p>
        </w:tc>
        <w:tc>
          <w:tcPr>
            <w:tcW w:w="741" w:type="pct"/>
            <w:noWrap/>
            <w:hideMark/>
          </w:tcPr>
          <w:p w14:paraId="4D7FE383" w14:textId="77777777" w:rsidR="001D0FE8" w:rsidRPr="0029055C" w:rsidRDefault="00AF64E4"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w:t>
            </w:r>
            <w:r w:rsidR="001D0FE8" w:rsidRPr="0029055C">
              <w:rPr>
                <w:rFonts w:cs="Calibri"/>
                <w:color w:val="000000"/>
                <w:sz w:val="18"/>
                <w:szCs w:val="18"/>
              </w:rPr>
              <w:t>,</w:t>
            </w:r>
            <w:r w:rsidRPr="0029055C">
              <w:rPr>
                <w:rFonts w:cs="Calibri"/>
                <w:color w:val="000000"/>
                <w:sz w:val="18"/>
                <w:szCs w:val="18"/>
              </w:rPr>
              <w:t>5</w:t>
            </w:r>
            <w:r w:rsidR="001D0FE8" w:rsidRPr="0029055C">
              <w:rPr>
                <w:rFonts w:cs="Calibri"/>
                <w:color w:val="000000"/>
                <w:sz w:val="18"/>
                <w:szCs w:val="18"/>
              </w:rPr>
              <w:t>%</w:t>
            </w:r>
          </w:p>
        </w:tc>
      </w:tr>
      <w:tr w:rsidR="001D0FE8" w:rsidRPr="0029055C" w14:paraId="287D5F5B" w14:textId="77777777" w:rsidTr="001D0FE8">
        <w:trPr>
          <w:trHeight w:val="300"/>
        </w:trPr>
        <w:tc>
          <w:tcPr>
            <w:cnfStyle w:val="001000000000" w:firstRow="0" w:lastRow="0" w:firstColumn="1" w:lastColumn="0" w:oddVBand="0" w:evenVBand="0" w:oddHBand="0" w:evenHBand="0" w:firstRowFirstColumn="0" w:firstRowLastColumn="0" w:lastRowFirstColumn="0" w:lastRowLastColumn="0"/>
            <w:tcW w:w="1171" w:type="pct"/>
            <w:gridSpan w:val="2"/>
            <w:shd w:val="clear" w:color="auto" w:fill="DAEEF3" w:themeFill="accent5" w:themeFillTint="33"/>
            <w:noWrap/>
            <w:vAlign w:val="center"/>
            <w:hideMark/>
          </w:tcPr>
          <w:p w14:paraId="6A0F4D6A" w14:textId="77777777" w:rsidR="001D0FE8" w:rsidRPr="0029055C" w:rsidRDefault="001D0FE8" w:rsidP="001C0C80">
            <w:pPr>
              <w:spacing w:before="60" w:after="60" w:line="240" w:lineRule="auto"/>
              <w:jc w:val="left"/>
              <w:rPr>
                <w:rFonts w:cs="Calibri"/>
                <w:color w:val="000000"/>
                <w:sz w:val="18"/>
                <w:szCs w:val="18"/>
              </w:rPr>
            </w:pPr>
            <w:r w:rsidRPr="0029055C">
              <w:rPr>
                <w:rFonts w:cs="Calibri"/>
                <w:color w:val="000000"/>
                <w:sz w:val="18"/>
                <w:szCs w:val="18"/>
              </w:rPr>
              <w:t>Σύνολο Γ.2.</w:t>
            </w:r>
          </w:p>
        </w:tc>
        <w:tc>
          <w:tcPr>
            <w:tcW w:w="821" w:type="pct"/>
            <w:shd w:val="clear" w:color="auto" w:fill="DAEEF3" w:themeFill="accent5" w:themeFillTint="33"/>
            <w:noWrap/>
            <w:vAlign w:val="center"/>
            <w:hideMark/>
          </w:tcPr>
          <w:p w14:paraId="6819C89A" w14:textId="77777777" w:rsidR="001D0FE8" w:rsidRPr="0029055C" w:rsidRDefault="001D0FE8"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102.342.999,00</w:t>
            </w:r>
          </w:p>
        </w:tc>
        <w:tc>
          <w:tcPr>
            <w:tcW w:w="822" w:type="pct"/>
            <w:shd w:val="clear" w:color="auto" w:fill="DAEEF3" w:themeFill="accent5" w:themeFillTint="33"/>
            <w:noWrap/>
            <w:vAlign w:val="center"/>
            <w:hideMark/>
          </w:tcPr>
          <w:p w14:paraId="4031A7C4" w14:textId="77777777" w:rsidR="001D0FE8" w:rsidRPr="0029055C" w:rsidRDefault="001D0FE8"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114.291.279,00</w:t>
            </w:r>
          </w:p>
        </w:tc>
        <w:tc>
          <w:tcPr>
            <w:tcW w:w="704" w:type="pct"/>
            <w:shd w:val="clear" w:color="auto" w:fill="DAEEF3" w:themeFill="accent5" w:themeFillTint="33"/>
            <w:noWrap/>
            <w:vAlign w:val="center"/>
            <w:hideMark/>
          </w:tcPr>
          <w:p w14:paraId="4BFDF2A7" w14:textId="77777777" w:rsidR="001D0FE8" w:rsidRPr="0029055C" w:rsidRDefault="001D0FE8" w:rsidP="001C0C80">
            <w:pPr>
              <w:pStyle w:val="ListParagraph"/>
              <w:numPr>
                <w:ilvl w:val="0"/>
                <w:numId w:val="18"/>
              </w:numPr>
              <w:tabs>
                <w:tab w:val="left" w:pos="287"/>
              </w:tabs>
              <w:spacing w:before="60" w:after="60" w:line="240" w:lineRule="auto"/>
              <w:ind w:left="0" w:right="170" w:firstLine="0"/>
              <w:contextualSpacing w:val="0"/>
              <w:jc w:val="center"/>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29055C">
              <w:rPr>
                <w:rFonts w:cs="Calibri"/>
                <w:b/>
                <w:color w:val="000000"/>
                <w:sz w:val="18"/>
                <w:szCs w:val="18"/>
              </w:rPr>
              <w:t>11,7%</w:t>
            </w:r>
          </w:p>
        </w:tc>
        <w:tc>
          <w:tcPr>
            <w:tcW w:w="741" w:type="pct"/>
            <w:shd w:val="clear" w:color="auto" w:fill="DAEEF3" w:themeFill="accent5" w:themeFillTint="33"/>
            <w:noWrap/>
            <w:vAlign w:val="center"/>
            <w:hideMark/>
          </w:tcPr>
          <w:p w14:paraId="6852D272" w14:textId="77777777" w:rsidR="001D0FE8" w:rsidRPr="0029055C" w:rsidRDefault="00AF64E4" w:rsidP="001C0C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89</w:t>
            </w:r>
            <w:r w:rsidR="001D0FE8" w:rsidRPr="0029055C">
              <w:rPr>
                <w:rFonts w:cs="Calibri"/>
                <w:b/>
                <w:bCs/>
                <w:color w:val="000000"/>
                <w:sz w:val="18"/>
                <w:szCs w:val="18"/>
              </w:rPr>
              <w:t>,</w:t>
            </w:r>
            <w:r w:rsidRPr="0029055C">
              <w:rPr>
                <w:rFonts w:cs="Calibri"/>
                <w:b/>
                <w:bCs/>
                <w:color w:val="000000"/>
                <w:sz w:val="18"/>
                <w:szCs w:val="18"/>
              </w:rPr>
              <w:t>5</w:t>
            </w:r>
            <w:r w:rsidR="001D0FE8" w:rsidRPr="0029055C">
              <w:rPr>
                <w:rFonts w:cs="Calibri"/>
                <w:b/>
                <w:bCs/>
                <w:color w:val="000000"/>
                <w:sz w:val="18"/>
                <w:szCs w:val="18"/>
              </w:rPr>
              <w:t>%</w:t>
            </w:r>
          </w:p>
        </w:tc>
        <w:tc>
          <w:tcPr>
            <w:tcW w:w="741" w:type="pct"/>
            <w:shd w:val="clear" w:color="auto" w:fill="DAEEF3" w:themeFill="accent5" w:themeFillTint="33"/>
            <w:noWrap/>
            <w:vAlign w:val="center"/>
            <w:hideMark/>
          </w:tcPr>
          <w:p w14:paraId="4C606130" w14:textId="77777777" w:rsidR="001D0FE8" w:rsidRPr="0029055C" w:rsidRDefault="00AF64E4" w:rsidP="001C0C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94</w:t>
            </w:r>
            <w:r w:rsidR="001D0FE8" w:rsidRPr="0029055C">
              <w:rPr>
                <w:rFonts w:cs="Calibri"/>
                <w:b/>
                <w:bCs/>
                <w:color w:val="000000"/>
                <w:sz w:val="18"/>
                <w:szCs w:val="18"/>
              </w:rPr>
              <w:t>,</w:t>
            </w:r>
            <w:r w:rsidRPr="0029055C">
              <w:rPr>
                <w:rFonts w:cs="Calibri"/>
                <w:b/>
                <w:bCs/>
                <w:color w:val="000000"/>
                <w:sz w:val="18"/>
                <w:szCs w:val="18"/>
              </w:rPr>
              <w:t>2</w:t>
            </w:r>
            <w:r w:rsidR="001D0FE8" w:rsidRPr="0029055C">
              <w:rPr>
                <w:rFonts w:cs="Calibri"/>
                <w:b/>
                <w:bCs/>
                <w:color w:val="000000"/>
                <w:sz w:val="18"/>
                <w:szCs w:val="18"/>
              </w:rPr>
              <w:t>%</w:t>
            </w:r>
          </w:p>
        </w:tc>
      </w:tr>
      <w:tr w:rsidR="001D0FE8" w:rsidRPr="0029055C" w14:paraId="2D81E7EB" w14:textId="77777777" w:rsidTr="00AF64E4">
        <w:trPr>
          <w:trHeight w:val="300"/>
        </w:trPr>
        <w:tc>
          <w:tcPr>
            <w:cnfStyle w:val="001000000000" w:firstRow="0" w:lastRow="0" w:firstColumn="1" w:lastColumn="0" w:oddVBand="0" w:evenVBand="0" w:oddHBand="0" w:evenHBand="0" w:firstRowFirstColumn="0" w:firstRowLastColumn="0" w:lastRowFirstColumn="0" w:lastRowLastColumn="0"/>
            <w:tcW w:w="1171" w:type="pct"/>
            <w:gridSpan w:val="2"/>
            <w:tcBorders>
              <w:right w:val="single" w:sz="4" w:space="0" w:color="FFFFFF" w:themeColor="background1"/>
            </w:tcBorders>
            <w:shd w:val="clear" w:color="auto" w:fill="92CDDC" w:themeFill="accent5" w:themeFillTint="99"/>
            <w:noWrap/>
            <w:vAlign w:val="center"/>
            <w:hideMark/>
          </w:tcPr>
          <w:p w14:paraId="6CBFF5A1" w14:textId="77777777" w:rsidR="001D0FE8" w:rsidRPr="0029055C" w:rsidRDefault="001D0FE8" w:rsidP="001C0C80">
            <w:pPr>
              <w:spacing w:before="60" w:after="60" w:line="240" w:lineRule="auto"/>
              <w:jc w:val="left"/>
              <w:rPr>
                <w:rFonts w:cs="Calibri"/>
                <w:b w:val="0"/>
                <w:bCs w:val="0"/>
                <w:color w:val="000000"/>
                <w:sz w:val="18"/>
                <w:szCs w:val="18"/>
              </w:rPr>
            </w:pPr>
            <w:r w:rsidRPr="0029055C">
              <w:rPr>
                <w:rFonts w:cs="Calibri"/>
                <w:color w:val="000000"/>
                <w:sz w:val="18"/>
                <w:szCs w:val="18"/>
              </w:rPr>
              <w:t xml:space="preserve">Σύνολο ΘΑ </w:t>
            </w:r>
            <w:r w:rsidR="005B45B3" w:rsidRPr="0029055C">
              <w:rPr>
                <w:rFonts w:cs="Calibri"/>
                <w:color w:val="000000"/>
                <w:sz w:val="18"/>
                <w:szCs w:val="18"/>
              </w:rPr>
              <w:t>ΙΙΙ</w:t>
            </w:r>
          </w:p>
        </w:tc>
        <w:tc>
          <w:tcPr>
            <w:tcW w:w="821" w:type="pct"/>
            <w:tcBorders>
              <w:left w:val="single" w:sz="4" w:space="0" w:color="FFFFFF" w:themeColor="background1"/>
              <w:right w:val="single" w:sz="4" w:space="0" w:color="FFFFFF" w:themeColor="background1"/>
            </w:tcBorders>
            <w:shd w:val="clear" w:color="auto" w:fill="92CDDC" w:themeFill="accent5" w:themeFillTint="99"/>
            <w:noWrap/>
            <w:vAlign w:val="center"/>
            <w:hideMark/>
          </w:tcPr>
          <w:p w14:paraId="1B3F1DF2" w14:textId="77777777" w:rsidR="001D0FE8" w:rsidRPr="0029055C" w:rsidRDefault="001D0FE8"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114.342.999,00</w:t>
            </w:r>
          </w:p>
        </w:tc>
        <w:tc>
          <w:tcPr>
            <w:tcW w:w="822" w:type="pct"/>
            <w:tcBorders>
              <w:left w:val="single" w:sz="4" w:space="0" w:color="FFFFFF" w:themeColor="background1"/>
              <w:right w:val="single" w:sz="4" w:space="0" w:color="FFFFFF" w:themeColor="background1"/>
            </w:tcBorders>
            <w:shd w:val="clear" w:color="auto" w:fill="92CDDC" w:themeFill="accent5" w:themeFillTint="99"/>
            <w:noWrap/>
            <w:vAlign w:val="center"/>
            <w:hideMark/>
          </w:tcPr>
          <w:p w14:paraId="5F6C9B83" w14:textId="77777777" w:rsidR="001D0FE8" w:rsidRPr="0029055C" w:rsidRDefault="001D0FE8" w:rsidP="001C0C80">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121.291.279,00</w:t>
            </w:r>
          </w:p>
        </w:tc>
        <w:tc>
          <w:tcPr>
            <w:tcW w:w="704" w:type="pct"/>
            <w:tcBorders>
              <w:left w:val="single" w:sz="4" w:space="0" w:color="FFFFFF" w:themeColor="background1"/>
              <w:right w:val="single" w:sz="4" w:space="0" w:color="FFFFFF" w:themeColor="background1"/>
            </w:tcBorders>
            <w:shd w:val="clear" w:color="auto" w:fill="92CDDC" w:themeFill="accent5" w:themeFillTint="99"/>
            <w:noWrap/>
            <w:vAlign w:val="center"/>
            <w:hideMark/>
          </w:tcPr>
          <w:p w14:paraId="6496DF2F" w14:textId="77777777" w:rsidR="001D0FE8" w:rsidRPr="0029055C" w:rsidRDefault="001D0FE8" w:rsidP="001C0C80">
            <w:pPr>
              <w:pStyle w:val="ListParagraph"/>
              <w:numPr>
                <w:ilvl w:val="0"/>
                <w:numId w:val="18"/>
              </w:numPr>
              <w:tabs>
                <w:tab w:val="left" w:pos="371"/>
              </w:tabs>
              <w:spacing w:before="60" w:after="60" w:line="240" w:lineRule="auto"/>
              <w:ind w:left="0" w:right="170" w:firstLine="0"/>
              <w:contextualSpacing w:val="0"/>
              <w:jc w:val="center"/>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29055C">
              <w:rPr>
                <w:rFonts w:cs="Calibri"/>
                <w:b/>
                <w:color w:val="000000"/>
                <w:sz w:val="18"/>
                <w:szCs w:val="18"/>
              </w:rPr>
              <w:t>6,1%</w:t>
            </w:r>
          </w:p>
        </w:tc>
        <w:tc>
          <w:tcPr>
            <w:tcW w:w="741" w:type="pct"/>
            <w:tcBorders>
              <w:left w:val="single" w:sz="4" w:space="0" w:color="FFFFFF" w:themeColor="background1"/>
              <w:right w:val="single" w:sz="4" w:space="0" w:color="FFFFFF" w:themeColor="background1"/>
            </w:tcBorders>
            <w:shd w:val="clear" w:color="auto" w:fill="92CDDC" w:themeFill="accent5" w:themeFillTint="99"/>
            <w:noWrap/>
            <w:vAlign w:val="center"/>
            <w:hideMark/>
          </w:tcPr>
          <w:p w14:paraId="0AFCEBD0" w14:textId="77777777" w:rsidR="001D0FE8" w:rsidRPr="0029055C" w:rsidRDefault="00AF64E4" w:rsidP="001C0C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22</w:t>
            </w:r>
            <w:r w:rsidR="001D0FE8" w:rsidRPr="0029055C">
              <w:rPr>
                <w:rFonts w:cs="Calibri"/>
                <w:b/>
                <w:bCs/>
                <w:color w:val="000000"/>
                <w:sz w:val="18"/>
                <w:szCs w:val="18"/>
              </w:rPr>
              <w:t>,</w:t>
            </w:r>
            <w:r w:rsidRPr="0029055C">
              <w:rPr>
                <w:rFonts w:cs="Calibri"/>
                <w:b/>
                <w:bCs/>
                <w:color w:val="000000"/>
                <w:sz w:val="18"/>
                <w:szCs w:val="18"/>
              </w:rPr>
              <w:t>1</w:t>
            </w:r>
            <w:r w:rsidR="001D0FE8" w:rsidRPr="0029055C">
              <w:rPr>
                <w:rFonts w:cs="Calibri"/>
                <w:b/>
                <w:bCs/>
                <w:color w:val="000000"/>
                <w:sz w:val="18"/>
                <w:szCs w:val="18"/>
              </w:rPr>
              <w:t>%</w:t>
            </w:r>
          </w:p>
        </w:tc>
        <w:tc>
          <w:tcPr>
            <w:tcW w:w="741" w:type="pct"/>
            <w:tcBorders>
              <w:left w:val="single" w:sz="4" w:space="0" w:color="FFFFFF" w:themeColor="background1"/>
            </w:tcBorders>
            <w:shd w:val="clear" w:color="auto" w:fill="92CDDC" w:themeFill="accent5" w:themeFillTint="99"/>
            <w:noWrap/>
            <w:vAlign w:val="center"/>
            <w:hideMark/>
          </w:tcPr>
          <w:p w14:paraId="23EF46F5" w14:textId="77777777" w:rsidR="001D0FE8" w:rsidRPr="0029055C" w:rsidRDefault="001D0FE8" w:rsidP="001C0C80">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2</w:t>
            </w:r>
            <w:r w:rsidR="00AF64E4" w:rsidRPr="0029055C">
              <w:rPr>
                <w:rFonts w:cs="Calibri"/>
                <w:b/>
                <w:bCs/>
                <w:color w:val="000000"/>
                <w:sz w:val="18"/>
                <w:szCs w:val="18"/>
              </w:rPr>
              <w:t>0</w:t>
            </w:r>
            <w:r w:rsidRPr="0029055C">
              <w:rPr>
                <w:rFonts w:cs="Calibri"/>
                <w:b/>
                <w:bCs/>
                <w:color w:val="000000"/>
                <w:sz w:val="18"/>
                <w:szCs w:val="18"/>
              </w:rPr>
              <w:t>,</w:t>
            </w:r>
            <w:r w:rsidR="00AF64E4" w:rsidRPr="0029055C">
              <w:rPr>
                <w:rFonts w:cs="Calibri"/>
                <w:b/>
                <w:bCs/>
                <w:color w:val="000000"/>
                <w:sz w:val="18"/>
                <w:szCs w:val="18"/>
              </w:rPr>
              <w:t>3</w:t>
            </w:r>
            <w:r w:rsidRPr="0029055C">
              <w:rPr>
                <w:rFonts w:cs="Calibri"/>
                <w:b/>
                <w:bCs/>
                <w:color w:val="000000"/>
                <w:sz w:val="18"/>
                <w:szCs w:val="18"/>
              </w:rPr>
              <w:t>%</w:t>
            </w:r>
          </w:p>
        </w:tc>
      </w:tr>
    </w:tbl>
    <w:p w14:paraId="6BAADDB6" w14:textId="77777777" w:rsidR="00713441" w:rsidRPr="0029055C" w:rsidRDefault="00713441" w:rsidP="00713441">
      <w:pPr>
        <w:spacing w:line="300" w:lineRule="atLeast"/>
        <w:rPr>
          <w:rFonts w:cs="Arial"/>
          <w:color w:val="000000"/>
          <w:sz w:val="22"/>
        </w:rPr>
      </w:pPr>
      <w:r w:rsidRPr="001C0C80">
        <w:rPr>
          <w:rFonts w:cs="Arial"/>
          <w:color w:val="000000"/>
          <w:sz w:val="22"/>
        </w:rPr>
        <w:t xml:space="preserve">Αναφορικά με το σύστημα δεικτών του ΘΑ </w:t>
      </w:r>
      <w:r w:rsidR="00CC6E19" w:rsidRPr="001C0C80">
        <w:rPr>
          <w:rFonts w:cs="Arial"/>
          <w:color w:val="000000"/>
          <w:sz w:val="22"/>
        </w:rPr>
        <w:t>III</w:t>
      </w:r>
      <w:r w:rsidRPr="001C0C80">
        <w:rPr>
          <w:rFonts w:cs="Arial"/>
          <w:color w:val="000000"/>
          <w:sz w:val="22"/>
        </w:rPr>
        <w:t>, πέρα από την επικαιροποίηση των δράσεων που τροφοδοτούν τους επιμέρους δείκτες με βάση την πρόοδο εξειδίκευσης και εφαρμογής του Προγράμματος, προτείνονται και οι ακόλουθες τροποποιήσεις:</w:t>
      </w:r>
    </w:p>
    <w:p w14:paraId="150889ED" w14:textId="77777777" w:rsidR="00713441" w:rsidRPr="0029055C" w:rsidRDefault="00713441" w:rsidP="00713441">
      <w:pPr>
        <w:pStyle w:val="Heading5"/>
      </w:pPr>
      <w:r w:rsidRPr="0029055C">
        <w:t>Δείκτες Αποτελέσματος</w:t>
      </w:r>
    </w:p>
    <w:p w14:paraId="03A017DA" w14:textId="77777777" w:rsidR="00713441" w:rsidRPr="0029055C" w:rsidRDefault="00713441" w:rsidP="00713441">
      <w:pPr>
        <w:pStyle w:val="Heading6"/>
      </w:pPr>
      <w:r w:rsidRPr="0029055C">
        <w:rPr>
          <w:b/>
        </w:rPr>
        <w:t>Τ4613</w:t>
      </w:r>
      <w:r w:rsidRPr="0029055C">
        <w:t>: Αριθμός δημοσίων υπαλλήλων που πιστοποιήθηκαν μετά την παρακολούθηση προγραμμάτων κατάρτισης</w:t>
      </w:r>
    </w:p>
    <w:p w14:paraId="2FBFB600" w14:textId="77777777" w:rsidR="002F0BB2" w:rsidRPr="0029055C" w:rsidRDefault="00713441" w:rsidP="002F0BB2">
      <w:pPr>
        <w:spacing w:line="280" w:lineRule="atLeast"/>
        <w:rPr>
          <w:rFonts w:cs="Arial"/>
          <w:color w:val="000000"/>
          <w:sz w:val="22"/>
        </w:rPr>
      </w:pPr>
      <w:r w:rsidRPr="0029055C">
        <w:rPr>
          <w:rFonts w:cs="Arial"/>
          <w:color w:val="000000"/>
          <w:sz w:val="22"/>
        </w:rPr>
        <w:t xml:space="preserve">Στο πλαίσιο της 2ης Αναθεώρησης του Προγράμματος, προτείνεται </w:t>
      </w:r>
      <w:r w:rsidRPr="0029055C">
        <w:rPr>
          <w:rFonts w:cs="Arial"/>
          <w:b/>
          <w:color w:val="000000"/>
          <w:sz w:val="22"/>
        </w:rPr>
        <w:t>αύξηση της τιμής στόχου του δείκτη για το 2023 σε 210.000</w:t>
      </w:r>
      <w:r w:rsidRPr="0029055C">
        <w:rPr>
          <w:rFonts w:cs="Arial"/>
          <w:color w:val="000000"/>
          <w:sz w:val="22"/>
        </w:rPr>
        <w:t xml:space="preserve"> πιστοποιημένους δημοσίους υπαλλήλους, λαμβάνοντας υπόψη την πορεία υλοποίησης των πιστοποιημένων προγραμμάτων. </w:t>
      </w:r>
    </w:p>
    <w:p w14:paraId="68B5F37E" w14:textId="77777777" w:rsidR="00713441" w:rsidRPr="0029055C" w:rsidRDefault="00713441" w:rsidP="00713441">
      <w:pPr>
        <w:pStyle w:val="Heading5"/>
      </w:pPr>
      <w:r w:rsidRPr="0029055C">
        <w:t>Δείκτες Εκροής</w:t>
      </w:r>
    </w:p>
    <w:p w14:paraId="274B0C48" w14:textId="77777777" w:rsidR="00713441" w:rsidRPr="0029055C" w:rsidRDefault="00713441" w:rsidP="00713441">
      <w:pPr>
        <w:pStyle w:val="Heading6"/>
      </w:pPr>
      <w:r w:rsidRPr="0029055C">
        <w:rPr>
          <w:b/>
        </w:rPr>
        <w:t>Τ4634</w:t>
      </w:r>
      <w:r w:rsidRPr="0029055C">
        <w:t>: Αριθμός μελετών για τη βελτίωση των πολιτικών ανθρώπινου δυναμικού του δημόσιου τομέα</w:t>
      </w:r>
    </w:p>
    <w:p w14:paraId="0522E207" w14:textId="77777777" w:rsidR="002A3830" w:rsidRPr="0029055C" w:rsidRDefault="00713441" w:rsidP="00713441">
      <w:pPr>
        <w:spacing w:line="280" w:lineRule="atLeast"/>
        <w:rPr>
          <w:rFonts w:cstheme="minorHAnsi"/>
          <w:sz w:val="22"/>
        </w:rPr>
      </w:pPr>
      <w:r w:rsidRPr="0029055C">
        <w:rPr>
          <w:rFonts w:cstheme="minorHAnsi"/>
          <w:sz w:val="22"/>
        </w:rPr>
        <w:t xml:space="preserve">Προτείνεται η </w:t>
      </w:r>
      <w:r w:rsidRPr="0029055C">
        <w:rPr>
          <w:rFonts w:cstheme="minorHAnsi"/>
          <w:b/>
          <w:sz w:val="22"/>
        </w:rPr>
        <w:t>αφαίρεση του δείκτη</w:t>
      </w:r>
      <w:r w:rsidRPr="0029055C">
        <w:rPr>
          <w:rFonts w:cstheme="minorHAnsi"/>
          <w:sz w:val="22"/>
        </w:rPr>
        <w:t xml:space="preserve"> Τ4634 από το σύστημα δεικτών του ΕΠ ΜΔΤ, δεδομένου ότι σχετικές μελέτες που αφορούν στη βελτίωση των πολιτικών ανθρωπίνου δυναμικού, όπως ενδεικτικά: νέο κλαδολόγιο, μεθοδολογία προσλήψεων στο δημόσιο, κινητικότητα βάση περιγραμμάτων θέσης, υλοποιήθηκαν στο πλαίσιο της παροχής τεχνικής βοήθειας από την SRSS.</w:t>
      </w:r>
    </w:p>
    <w:p w14:paraId="2645DF0A" w14:textId="77777777" w:rsidR="00713441" w:rsidRPr="0029055C" w:rsidRDefault="00713441" w:rsidP="0008292C">
      <w:pPr>
        <w:pStyle w:val="Heading6"/>
      </w:pPr>
      <w:r w:rsidRPr="0029055C">
        <w:rPr>
          <w:b/>
        </w:rPr>
        <w:t>Τ4635</w:t>
      </w:r>
      <w:r w:rsidRPr="0029055C">
        <w:t>: Αριθμός δημοσίων υπαλλήλων που συμμετέχουν σε προγράμματα κατάρτισης για την ανάπτυξη δεξιοτήτων/διοικητικών ικανοτήτων</w:t>
      </w:r>
    </w:p>
    <w:p w14:paraId="618A5AD2" w14:textId="77777777" w:rsidR="00713441" w:rsidRPr="0029055C" w:rsidRDefault="00713441" w:rsidP="00713441">
      <w:pPr>
        <w:spacing w:line="280" w:lineRule="atLeast"/>
        <w:rPr>
          <w:rFonts w:asciiTheme="minorHAnsi" w:hAnsiTheme="minorHAnsi" w:cstheme="minorHAnsi"/>
          <w:sz w:val="22"/>
          <w:szCs w:val="22"/>
        </w:rPr>
      </w:pPr>
      <w:r w:rsidRPr="0029055C">
        <w:rPr>
          <w:rFonts w:asciiTheme="minorHAnsi" w:hAnsiTheme="minorHAnsi" w:cstheme="minorHAnsi"/>
          <w:sz w:val="22"/>
          <w:szCs w:val="22"/>
        </w:rPr>
        <w:t xml:space="preserve">Στη 2η Αναθεώρηση του Προγράμματος </w:t>
      </w:r>
      <w:r w:rsidRPr="0029055C">
        <w:rPr>
          <w:rFonts w:asciiTheme="minorHAnsi" w:hAnsiTheme="minorHAnsi" w:cstheme="minorHAnsi"/>
          <w:b/>
          <w:sz w:val="22"/>
          <w:szCs w:val="22"/>
        </w:rPr>
        <w:t>ο στόχος του συγκεκριμένου δείκτη για το 2023</w:t>
      </w:r>
      <w:r w:rsidRPr="0029055C">
        <w:rPr>
          <w:rFonts w:asciiTheme="minorHAnsi" w:hAnsiTheme="minorHAnsi" w:cstheme="minorHAnsi"/>
          <w:sz w:val="22"/>
          <w:szCs w:val="22"/>
        </w:rPr>
        <w:t xml:space="preserve"> </w:t>
      </w:r>
      <w:r w:rsidRPr="0029055C">
        <w:rPr>
          <w:rFonts w:asciiTheme="minorHAnsi" w:hAnsiTheme="minorHAnsi" w:cstheme="minorHAnsi"/>
          <w:b/>
          <w:sz w:val="22"/>
          <w:szCs w:val="22"/>
        </w:rPr>
        <w:t>αυξάνεται σε</w:t>
      </w:r>
      <w:r w:rsidRPr="0029055C">
        <w:rPr>
          <w:rFonts w:asciiTheme="minorHAnsi" w:hAnsiTheme="minorHAnsi" w:cstheme="minorHAnsi"/>
          <w:sz w:val="22"/>
          <w:szCs w:val="22"/>
        </w:rPr>
        <w:t xml:space="preserve"> </w:t>
      </w:r>
      <w:r w:rsidRPr="0029055C">
        <w:rPr>
          <w:rFonts w:asciiTheme="minorHAnsi" w:hAnsiTheme="minorHAnsi" w:cstheme="minorHAnsi"/>
          <w:b/>
          <w:sz w:val="22"/>
          <w:szCs w:val="22"/>
        </w:rPr>
        <w:t>300.000</w:t>
      </w:r>
      <w:r w:rsidRPr="0029055C">
        <w:rPr>
          <w:rFonts w:asciiTheme="minorHAnsi" w:hAnsiTheme="minorHAnsi" w:cstheme="minorHAnsi"/>
          <w:sz w:val="22"/>
          <w:szCs w:val="22"/>
        </w:rPr>
        <w:t xml:space="preserve">, λαμβάνοντας υπόψη ότι ο ενδιάμεσος στόχος (70.000) έχει ήδη καλυφθεί, λόγω της αύξησης του αριθμού των προγραμμάτων κατάρτισης και ως εκ τούτου και των συμμετεχόντων. Η αύξηση αυτή προήλθε από την αύξηση της ζήτησης για απόκτηση γνώσεων και δεξιοτήτων σε θέματα που αφορούν υποστήριξη δημοσίων πολιτικών, όπως πχ. η έκδοση του Ν.4412/2016 περί δημοσίων συμβάσεων, του Ν.4325/2015 για τον εκδημοκρατισμό της Διοίκησης, του Ν.4440/2016 για την κινητικότητα των δημοσίων υπαλλήλων κλπ. Επισημαίνεται ότι το μέσο κόστος υλοποίησης ανά εκπαιδευόμενο παραμένει σταθερό (260€) και για την κάλυψη της τιμής  στόχου προβλέπεται η μεταφορά πόρων ύψους  </w:t>
      </w:r>
      <w:r w:rsidRPr="0029055C">
        <w:rPr>
          <w:rFonts w:asciiTheme="minorHAnsi" w:eastAsia="Calibri" w:hAnsiTheme="minorHAnsi" w:cstheme="minorHAnsi"/>
          <w:sz w:val="22"/>
          <w:szCs w:val="22"/>
        </w:rPr>
        <w:t xml:space="preserve">6.948.280 € Δ.Δ. </w:t>
      </w:r>
      <w:r w:rsidRPr="0029055C">
        <w:rPr>
          <w:rFonts w:asciiTheme="minorHAnsi" w:hAnsiTheme="minorHAnsi" w:cstheme="minorHAnsi"/>
          <w:sz w:val="22"/>
          <w:szCs w:val="22"/>
        </w:rPr>
        <w:t xml:space="preserve">από τον ΘΑ </w:t>
      </w:r>
      <w:r w:rsidR="005B45B3" w:rsidRPr="0029055C">
        <w:rPr>
          <w:rFonts w:asciiTheme="minorHAnsi" w:hAnsiTheme="minorHAnsi" w:cstheme="minorHAnsi"/>
          <w:sz w:val="22"/>
          <w:szCs w:val="22"/>
        </w:rPr>
        <w:t>Ι</w:t>
      </w:r>
      <w:r w:rsidRPr="0029055C">
        <w:rPr>
          <w:rFonts w:asciiTheme="minorHAnsi" w:hAnsiTheme="minorHAnsi" w:cstheme="minorHAnsi"/>
          <w:sz w:val="22"/>
          <w:szCs w:val="22"/>
        </w:rPr>
        <w:t xml:space="preserve"> στον ΘΑ </w:t>
      </w:r>
      <w:r w:rsidR="005B45B3" w:rsidRPr="0029055C">
        <w:rPr>
          <w:rFonts w:asciiTheme="minorHAnsi" w:hAnsiTheme="minorHAnsi" w:cstheme="minorHAnsi"/>
          <w:sz w:val="22"/>
          <w:szCs w:val="22"/>
        </w:rPr>
        <w:t>ΙΙΙ</w:t>
      </w:r>
      <w:r w:rsidRPr="0029055C">
        <w:rPr>
          <w:rFonts w:asciiTheme="minorHAnsi" w:hAnsiTheme="minorHAnsi" w:cstheme="minorHAnsi"/>
          <w:sz w:val="22"/>
          <w:szCs w:val="22"/>
        </w:rPr>
        <w:t xml:space="preserve">. Αντίστοιχα, </w:t>
      </w:r>
      <w:r w:rsidRPr="0029055C">
        <w:rPr>
          <w:rFonts w:asciiTheme="minorHAnsi" w:hAnsiTheme="minorHAnsi" w:cstheme="minorHAnsi"/>
          <w:b/>
          <w:sz w:val="22"/>
          <w:szCs w:val="22"/>
        </w:rPr>
        <w:t>αυξάνεται και ο ενδιάμεσος στόχος</w:t>
      </w:r>
      <w:r w:rsidRPr="0029055C">
        <w:rPr>
          <w:rFonts w:asciiTheme="minorHAnsi" w:hAnsiTheme="minorHAnsi" w:cstheme="minorHAnsi"/>
          <w:sz w:val="22"/>
          <w:szCs w:val="22"/>
        </w:rPr>
        <w:t xml:space="preserve"> του δείκτη για το 2018, από 70.000 σε </w:t>
      </w:r>
      <w:r w:rsidRPr="0029055C">
        <w:rPr>
          <w:rFonts w:asciiTheme="minorHAnsi" w:hAnsiTheme="minorHAnsi" w:cstheme="minorHAnsi"/>
          <w:b/>
          <w:sz w:val="22"/>
          <w:szCs w:val="22"/>
        </w:rPr>
        <w:t>150.000</w:t>
      </w:r>
      <w:r w:rsidRPr="0029055C">
        <w:rPr>
          <w:rFonts w:asciiTheme="minorHAnsi" w:hAnsiTheme="minorHAnsi" w:cstheme="minorHAnsi"/>
          <w:sz w:val="22"/>
          <w:szCs w:val="22"/>
        </w:rPr>
        <w:t>.</w:t>
      </w:r>
    </w:p>
    <w:p w14:paraId="13CB227A" w14:textId="77777777" w:rsidR="0008292C" w:rsidRPr="0029055C" w:rsidRDefault="0008292C" w:rsidP="0008292C">
      <w:pPr>
        <w:pStyle w:val="Heading6"/>
      </w:pPr>
      <w:r w:rsidRPr="0029055C">
        <w:rPr>
          <w:b/>
        </w:rPr>
        <w:lastRenderedPageBreak/>
        <w:t>Τ4636</w:t>
      </w:r>
      <w:r w:rsidRPr="0029055C">
        <w:t>: Αριθμός δημοσίων υπαλλήλων που συμμετέχουν σε προγράμματα εξ αποστάσεως εκπαίδευσης</w:t>
      </w:r>
    </w:p>
    <w:p w14:paraId="72F66348" w14:textId="77777777" w:rsidR="0008292C" w:rsidRPr="0029055C" w:rsidRDefault="0008292C" w:rsidP="0008292C">
      <w:pPr>
        <w:spacing w:line="280" w:lineRule="atLeast"/>
        <w:rPr>
          <w:rFonts w:cstheme="minorHAnsi"/>
          <w:sz w:val="22"/>
        </w:rPr>
      </w:pPr>
      <w:r w:rsidRPr="0029055C">
        <w:rPr>
          <w:rFonts w:cstheme="minorHAnsi"/>
          <w:sz w:val="22"/>
        </w:rPr>
        <w:t xml:space="preserve">Στη 2η Αναθεώρηση του Προγράμματος ο στόχος του συγκεκριμένου δείκτη για το 2023 μειώνεται σε </w:t>
      </w:r>
      <w:r w:rsidRPr="0029055C">
        <w:rPr>
          <w:rFonts w:cstheme="minorHAnsi"/>
          <w:b/>
          <w:sz w:val="22"/>
        </w:rPr>
        <w:t>3.000</w:t>
      </w:r>
      <w:r w:rsidRPr="0029055C">
        <w:rPr>
          <w:rFonts w:cstheme="minorHAnsi"/>
          <w:sz w:val="22"/>
        </w:rPr>
        <w:t>, λόγω του περιορισμού του σχεδιασμού και της υλοποίησης εξ΄ αποστάσεως επιμορφωτικών δράσεων, μετά την έκδοση του Ν.4368/2016, με τον οποίο συστάθηκε στο Ελληνικό Ανοικτό Πανεπιστήμιο Κέντρο Πιστοποίησης της εξ’ αποστάσεως (e−learning) εκπαίδευσης. Ειδικότερα, σύμφωνα με το Άρθρο 91, παρ. 2 του Ν. 4368/2016, προβλέπεται η έκδοση Απόφασης του Υπουργού Παιδείας, Έρευνας και Θρησκευμάτων, όπου μεταξύ των άλλων θα καθορίζει κάθε αναγκαία λεπτομέρεια που αφορά τον σκοπό, το περιεχόμενο, τις διαδικασίες και τις προϋποθέσεις πιστοποίησης από το Κέντρο Πιστοποίησης του ΕΑΠ, των προγραμμάτων εξ αποστάσεως εκπαίδευσης που παρέχονται από οποιονδήποτε φορέα που δραστηριοποιείται στην Ελλάδα. Μέχρι σήμερα δεν έχει εκδοθεί η προβλεπόμενη Υπουργική Απόφαση, με αποτέλεσμα την μείωση προγραμμάτων e learning.</w:t>
      </w:r>
    </w:p>
    <w:p w14:paraId="714BAD80" w14:textId="77777777" w:rsidR="0008292C" w:rsidRPr="0029055C" w:rsidRDefault="0008292C" w:rsidP="0008292C">
      <w:pPr>
        <w:pStyle w:val="Heading6"/>
      </w:pPr>
      <w:r w:rsidRPr="0029055C">
        <w:rPr>
          <w:b/>
        </w:rPr>
        <w:t>Τ4638</w:t>
      </w:r>
      <w:r w:rsidRPr="0029055C">
        <w:t>: Αριθμός στελεχών που παρακολουθεί προγράμματα ταχείας εξέλιξης</w:t>
      </w:r>
    </w:p>
    <w:p w14:paraId="7F4BFA83" w14:textId="77777777" w:rsidR="0008292C" w:rsidRPr="0029055C" w:rsidRDefault="0008292C" w:rsidP="0008292C">
      <w:pPr>
        <w:spacing w:line="280" w:lineRule="atLeast"/>
        <w:rPr>
          <w:rFonts w:cstheme="minorHAnsi"/>
          <w:sz w:val="22"/>
        </w:rPr>
      </w:pPr>
      <w:r w:rsidRPr="0029055C">
        <w:rPr>
          <w:rFonts w:cstheme="minorHAnsi"/>
          <w:sz w:val="22"/>
        </w:rPr>
        <w:t xml:space="preserve">Στη 2η Αναθεώρηση του Προγράμματος ο στόχος του συγκεκριμένου δείκτη για το 2023 αυξάνεται σε </w:t>
      </w:r>
      <w:r w:rsidRPr="0029055C">
        <w:rPr>
          <w:rFonts w:cstheme="minorHAnsi"/>
          <w:b/>
          <w:sz w:val="22"/>
        </w:rPr>
        <w:t>1.100</w:t>
      </w:r>
      <w:r w:rsidRPr="0029055C">
        <w:rPr>
          <w:rFonts w:cstheme="minorHAnsi"/>
          <w:sz w:val="22"/>
        </w:rPr>
        <w:t>, λαμβάνοντας υπόψη τα ακόλουθα:</w:t>
      </w:r>
    </w:p>
    <w:p w14:paraId="20D66CE7" w14:textId="77777777" w:rsidR="0008292C" w:rsidRPr="0029055C" w:rsidRDefault="0008292C" w:rsidP="0008292C">
      <w:pPr>
        <w:pStyle w:val="ListParagraph"/>
        <w:numPr>
          <w:ilvl w:val="0"/>
          <w:numId w:val="22"/>
        </w:numPr>
        <w:spacing w:line="280" w:lineRule="atLeast"/>
        <w:ind w:left="714" w:hanging="357"/>
        <w:contextualSpacing w:val="0"/>
        <w:rPr>
          <w:rFonts w:cstheme="minorHAnsi"/>
          <w:sz w:val="22"/>
        </w:rPr>
      </w:pPr>
      <w:r w:rsidRPr="0029055C">
        <w:rPr>
          <w:rFonts w:cstheme="minorHAnsi"/>
          <w:sz w:val="22"/>
        </w:rPr>
        <w:t>την κάλυψη του ενδιάμεσου στόχου (500) από την υλοποίηση δράσεων προεισαγωγικής εκπαίδευσης</w:t>
      </w:r>
      <w:r w:rsidRPr="0029055C">
        <w:rPr>
          <w:sz w:val="18"/>
        </w:rPr>
        <w:t xml:space="preserve"> </w:t>
      </w:r>
      <w:r w:rsidRPr="0029055C">
        <w:rPr>
          <w:rFonts w:cstheme="minorHAnsi"/>
          <w:sz w:val="22"/>
        </w:rPr>
        <w:t>δημοσίων υπαλλήλων και δικαστικών λειτουργών κατά το διάστημα 2014-2017,</w:t>
      </w:r>
    </w:p>
    <w:p w14:paraId="5D1C9064" w14:textId="77777777" w:rsidR="0008292C" w:rsidRPr="0029055C" w:rsidRDefault="0008292C" w:rsidP="0008292C">
      <w:pPr>
        <w:pStyle w:val="ListParagraph"/>
        <w:numPr>
          <w:ilvl w:val="0"/>
          <w:numId w:val="22"/>
        </w:numPr>
        <w:spacing w:line="280" w:lineRule="atLeast"/>
        <w:ind w:left="714" w:hanging="357"/>
        <w:contextualSpacing w:val="0"/>
        <w:rPr>
          <w:rFonts w:cstheme="minorHAnsi"/>
          <w:sz w:val="22"/>
        </w:rPr>
      </w:pPr>
      <w:r w:rsidRPr="0029055C">
        <w:rPr>
          <w:rFonts w:cstheme="minorHAnsi"/>
          <w:sz w:val="22"/>
        </w:rPr>
        <w:t>τον υφιστάμενο προγραμματισμό του ΕΚΔΔΑ και της ΕΣΔι,</w:t>
      </w:r>
    </w:p>
    <w:p w14:paraId="2BDC2831" w14:textId="77777777" w:rsidR="0008292C" w:rsidRPr="0029055C" w:rsidRDefault="0008292C" w:rsidP="0008292C">
      <w:pPr>
        <w:pStyle w:val="ListParagraph"/>
        <w:numPr>
          <w:ilvl w:val="0"/>
          <w:numId w:val="22"/>
        </w:numPr>
        <w:spacing w:line="280" w:lineRule="atLeast"/>
        <w:ind w:left="714" w:hanging="357"/>
        <w:contextualSpacing w:val="0"/>
        <w:rPr>
          <w:rFonts w:cstheme="minorHAnsi"/>
          <w:sz w:val="22"/>
        </w:rPr>
      </w:pPr>
      <w:r w:rsidRPr="0029055C">
        <w:rPr>
          <w:rFonts w:cstheme="minorHAnsi"/>
          <w:sz w:val="22"/>
        </w:rPr>
        <w:t>την αύξηση των πόρων του Προγράμματος για δράσεις προεισαγωγικής εκπαίδευσης</w:t>
      </w:r>
      <w:r w:rsidRPr="0029055C">
        <w:rPr>
          <w:sz w:val="18"/>
        </w:rPr>
        <w:t xml:space="preserve"> </w:t>
      </w:r>
      <w:r w:rsidRPr="0029055C">
        <w:rPr>
          <w:rFonts w:cstheme="minorHAnsi"/>
          <w:sz w:val="22"/>
        </w:rPr>
        <w:t>δημοσίων υπαλλήλων και δικαστικών λειτουργών.</w:t>
      </w:r>
    </w:p>
    <w:p w14:paraId="37FEADCD" w14:textId="77777777" w:rsidR="0008292C" w:rsidRPr="0029055C" w:rsidRDefault="0008292C" w:rsidP="0008292C">
      <w:pPr>
        <w:spacing w:line="280" w:lineRule="atLeast"/>
        <w:rPr>
          <w:rFonts w:cstheme="minorHAnsi"/>
          <w:sz w:val="22"/>
        </w:rPr>
      </w:pPr>
      <w:r w:rsidRPr="0029055C">
        <w:rPr>
          <w:rFonts w:cstheme="minorHAnsi"/>
          <w:sz w:val="22"/>
        </w:rPr>
        <w:t xml:space="preserve">Αντίστοιχα, αυξάνεται και ο ενδιάμεσος στόχος του δείκτη για το 2018, από 500 σε </w:t>
      </w:r>
      <w:r w:rsidRPr="0029055C">
        <w:rPr>
          <w:rFonts w:cstheme="minorHAnsi"/>
          <w:b/>
          <w:sz w:val="22"/>
        </w:rPr>
        <w:t>700</w:t>
      </w:r>
      <w:r w:rsidRPr="0029055C">
        <w:rPr>
          <w:rFonts w:cstheme="minorHAnsi"/>
          <w:sz w:val="22"/>
        </w:rPr>
        <w:t>.</w:t>
      </w:r>
    </w:p>
    <w:p w14:paraId="0B4FD104" w14:textId="77777777" w:rsidR="001C0C80" w:rsidRDefault="001C0C80" w:rsidP="00B44C7E">
      <w:pPr>
        <w:spacing w:line="300" w:lineRule="atLeast"/>
        <w:rPr>
          <w:rFonts w:cs="Arial"/>
          <w:color w:val="000000"/>
          <w:sz w:val="22"/>
        </w:rPr>
      </w:pPr>
    </w:p>
    <w:p w14:paraId="01C907EB" w14:textId="77777777" w:rsidR="00B44C7E" w:rsidRPr="0029055C" w:rsidRDefault="00B44C7E" w:rsidP="00B44C7E">
      <w:pPr>
        <w:spacing w:line="300" w:lineRule="atLeast"/>
        <w:rPr>
          <w:rFonts w:cs="Arial"/>
          <w:color w:val="000000"/>
          <w:sz w:val="22"/>
        </w:rPr>
      </w:pPr>
      <w:r w:rsidRPr="0029055C">
        <w:rPr>
          <w:rFonts w:cs="Arial"/>
          <w:color w:val="000000"/>
          <w:sz w:val="22"/>
        </w:rPr>
        <w:t xml:space="preserve">Η νέα στοχοθεσία του Θεματικού Άξονα </w:t>
      </w:r>
      <w:r w:rsidR="00475924" w:rsidRPr="0029055C">
        <w:rPr>
          <w:rFonts w:cs="Arial"/>
          <w:color w:val="000000"/>
          <w:sz w:val="22"/>
        </w:rPr>
        <w:t>III</w:t>
      </w:r>
      <w:r w:rsidRPr="0029055C">
        <w:rPr>
          <w:rFonts w:cs="Arial"/>
          <w:color w:val="000000"/>
          <w:sz w:val="22"/>
        </w:rPr>
        <w:t xml:space="preserve"> παρατίθεται στον ακόλουθο Πίνακα, στον οποίο:</w:t>
      </w:r>
    </w:p>
    <w:p w14:paraId="18417BC5" w14:textId="77777777" w:rsidR="00B44C7E" w:rsidRPr="0029055C" w:rsidRDefault="00B44C7E" w:rsidP="00B44C7E">
      <w:pPr>
        <w:pStyle w:val="ListParagraph"/>
        <w:numPr>
          <w:ilvl w:val="0"/>
          <w:numId w:val="21"/>
        </w:numPr>
        <w:spacing w:line="300" w:lineRule="atLeast"/>
        <w:rPr>
          <w:rFonts w:cs="Arial"/>
          <w:color w:val="000000"/>
          <w:sz w:val="22"/>
        </w:rPr>
      </w:pPr>
      <w:r w:rsidRPr="0029055C">
        <w:rPr>
          <w:rFonts w:cs="Arial"/>
          <w:color w:val="000000"/>
          <w:sz w:val="22"/>
        </w:rPr>
        <w:t>Οι δείκτες του Πλαισίου Επιδόσεων του ΕΠ ΜΔΤ επισημαίνονται με σκίαση</w:t>
      </w:r>
    </w:p>
    <w:p w14:paraId="2335ED4B" w14:textId="77777777" w:rsidR="00B44C7E" w:rsidRPr="0029055C" w:rsidRDefault="00B44C7E" w:rsidP="00B44C7E">
      <w:pPr>
        <w:pStyle w:val="ListParagraph"/>
        <w:numPr>
          <w:ilvl w:val="0"/>
          <w:numId w:val="21"/>
        </w:numPr>
        <w:spacing w:line="300" w:lineRule="atLeast"/>
        <w:rPr>
          <w:rFonts w:cs="Arial"/>
          <w:color w:val="000000"/>
          <w:sz w:val="22"/>
        </w:rPr>
      </w:pPr>
      <w:r w:rsidRPr="0029055C">
        <w:rPr>
          <w:rFonts w:cs="Arial"/>
          <w:color w:val="000000"/>
          <w:sz w:val="22"/>
        </w:rPr>
        <w:t>Οι προηγούμενες τιμές των δεικτών, εφόσον υπάρχει τροποποίηση, παρατίθενται σε παρένθεση.</w:t>
      </w:r>
    </w:p>
    <w:p w14:paraId="66DD0D9E" w14:textId="77777777" w:rsidR="00B44C7E" w:rsidRPr="0029055C" w:rsidRDefault="00B44C7E" w:rsidP="00B44C7E">
      <w:pPr>
        <w:pStyle w:val="ListParagraph"/>
        <w:numPr>
          <w:ilvl w:val="0"/>
          <w:numId w:val="21"/>
        </w:numPr>
        <w:spacing w:line="300" w:lineRule="atLeast"/>
        <w:rPr>
          <w:rFonts w:cs="Arial"/>
          <w:color w:val="000000"/>
          <w:sz w:val="22"/>
        </w:rPr>
      </w:pPr>
      <w:r w:rsidRPr="0029055C">
        <w:rPr>
          <w:rFonts w:cs="Arial"/>
          <w:color w:val="000000"/>
          <w:sz w:val="22"/>
        </w:rPr>
        <w:t xml:space="preserve">Οι δείκτες που αφαιρούνται από το σύστημα δεικτών του ΘΑ σημειώνονται με </w:t>
      </w:r>
      <w:r w:rsidRPr="0029055C">
        <w:rPr>
          <w:rFonts w:cs="Arial"/>
          <w:color w:val="C00000"/>
          <w:sz w:val="22"/>
        </w:rPr>
        <w:t>κόκκινη γραμματοσειρά</w:t>
      </w:r>
      <w:r w:rsidRPr="0029055C">
        <w:rPr>
          <w:rFonts w:cs="Arial"/>
          <w:color w:val="000000"/>
          <w:sz w:val="22"/>
        </w:rPr>
        <w:t>.</w:t>
      </w:r>
    </w:p>
    <w:p w14:paraId="49604927" w14:textId="77777777" w:rsidR="00B44C7E" w:rsidRPr="0029055C" w:rsidRDefault="00B44C7E" w:rsidP="00B44C7E">
      <w:pPr>
        <w:pStyle w:val="Caption"/>
        <w:spacing w:before="240" w:after="120" w:line="280" w:lineRule="atLeast"/>
        <w:rPr>
          <w:b w:val="0"/>
          <w:sz w:val="22"/>
          <w:szCs w:val="22"/>
        </w:rPr>
      </w:pPr>
      <w:r w:rsidRPr="0029055C">
        <w:rPr>
          <w:sz w:val="22"/>
          <w:szCs w:val="22"/>
        </w:rPr>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6</w:t>
      </w:r>
      <w:r w:rsidRPr="0029055C">
        <w:rPr>
          <w:sz w:val="22"/>
          <w:szCs w:val="22"/>
        </w:rPr>
        <w:fldChar w:fldCharType="end"/>
      </w:r>
      <w:r w:rsidRPr="0029055C">
        <w:rPr>
          <w:b w:val="0"/>
          <w:sz w:val="22"/>
          <w:szCs w:val="22"/>
        </w:rPr>
        <w:t xml:space="preserve">. Δείκτες Θεματικού Άξονα </w:t>
      </w:r>
      <w:r w:rsidR="00AC462E" w:rsidRPr="0029055C">
        <w:rPr>
          <w:b w:val="0"/>
          <w:sz w:val="22"/>
          <w:szCs w:val="22"/>
        </w:rPr>
        <w:t>III</w:t>
      </w:r>
      <w:r w:rsidRPr="0029055C">
        <w:rPr>
          <w:b w:val="0"/>
          <w:sz w:val="22"/>
          <w:szCs w:val="22"/>
        </w:rPr>
        <w:t xml:space="preserve"> </w:t>
      </w:r>
    </w:p>
    <w:tbl>
      <w:tblPr>
        <w:tblStyle w:val="GridTable6Colorful-Accent5"/>
        <w:tblW w:w="5000" w:type="pct"/>
        <w:jc w:val="center"/>
        <w:tblLayout w:type="fixed"/>
        <w:tblCellMar>
          <w:left w:w="28" w:type="dxa"/>
          <w:right w:w="28" w:type="dxa"/>
        </w:tblCellMar>
        <w:tblLook w:val="04A0" w:firstRow="1" w:lastRow="0" w:firstColumn="1" w:lastColumn="0" w:noHBand="0" w:noVBand="1"/>
      </w:tblPr>
      <w:tblGrid>
        <w:gridCol w:w="5662"/>
        <w:gridCol w:w="1132"/>
        <w:gridCol w:w="1133"/>
        <w:gridCol w:w="1133"/>
      </w:tblGrid>
      <w:tr w:rsidR="00B44C7E" w:rsidRPr="0029055C" w14:paraId="48A35358" w14:textId="77777777" w:rsidTr="0035774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125" w:type="pct"/>
            <w:tcBorders>
              <w:bottom w:val="thickThinSmallGap" w:sz="24" w:space="0" w:color="92CDDC" w:themeColor="accent5" w:themeTint="99"/>
            </w:tcBorders>
            <w:noWrap/>
            <w:vAlign w:val="center"/>
            <w:hideMark/>
          </w:tcPr>
          <w:p w14:paraId="0DE34672" w14:textId="77777777" w:rsidR="00B44C7E" w:rsidRPr="0029055C" w:rsidRDefault="00B44C7E" w:rsidP="00115C6E">
            <w:pPr>
              <w:spacing w:line="240" w:lineRule="auto"/>
              <w:jc w:val="center"/>
              <w:rPr>
                <w:rFonts w:asciiTheme="minorHAnsi" w:hAnsiTheme="minorHAnsi" w:cstheme="minorHAnsi"/>
                <w:sz w:val="18"/>
                <w:szCs w:val="20"/>
              </w:rPr>
            </w:pPr>
            <w:r w:rsidRPr="0029055C">
              <w:rPr>
                <w:rFonts w:asciiTheme="minorHAnsi" w:hAnsiTheme="minorHAnsi" w:cstheme="minorHAnsi"/>
                <w:sz w:val="18"/>
                <w:szCs w:val="20"/>
              </w:rPr>
              <w:t>Δείκτης</w:t>
            </w:r>
          </w:p>
        </w:tc>
        <w:tc>
          <w:tcPr>
            <w:tcW w:w="625" w:type="pct"/>
            <w:tcBorders>
              <w:bottom w:val="thickThinSmallGap" w:sz="24" w:space="0" w:color="92CDDC" w:themeColor="accent5" w:themeTint="99"/>
            </w:tcBorders>
            <w:vAlign w:val="center"/>
          </w:tcPr>
          <w:p w14:paraId="63123EC1" w14:textId="77777777" w:rsidR="00B44C7E" w:rsidRPr="0029055C" w:rsidRDefault="00B44C7E" w:rsidP="00115C6E">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Τιμή Βάσης</w:t>
            </w:r>
            <w:r w:rsidRPr="0029055C">
              <w:rPr>
                <w:rStyle w:val="FootnoteReference"/>
                <w:rFonts w:asciiTheme="minorHAnsi" w:hAnsiTheme="minorHAnsi" w:cstheme="minorHAnsi"/>
                <w:sz w:val="18"/>
                <w:szCs w:val="20"/>
              </w:rPr>
              <w:footnoteReference w:id="8"/>
            </w:r>
          </w:p>
        </w:tc>
        <w:tc>
          <w:tcPr>
            <w:tcW w:w="625" w:type="pct"/>
            <w:tcBorders>
              <w:bottom w:val="thickThinSmallGap" w:sz="24" w:space="0" w:color="92CDDC" w:themeColor="accent5" w:themeTint="99"/>
            </w:tcBorders>
            <w:noWrap/>
            <w:vAlign w:val="center"/>
            <w:hideMark/>
          </w:tcPr>
          <w:p w14:paraId="4DFE6CEC" w14:textId="77777777" w:rsidR="00B44C7E" w:rsidRPr="0029055C" w:rsidRDefault="00B44C7E" w:rsidP="00115C6E">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2018</w:t>
            </w:r>
            <w:r w:rsidRPr="0029055C">
              <w:rPr>
                <w:rStyle w:val="FootnoteReference"/>
                <w:rFonts w:asciiTheme="minorHAnsi" w:hAnsiTheme="minorHAnsi" w:cstheme="minorHAnsi"/>
                <w:sz w:val="18"/>
                <w:szCs w:val="20"/>
              </w:rPr>
              <w:footnoteReference w:id="9"/>
            </w:r>
          </w:p>
        </w:tc>
        <w:tc>
          <w:tcPr>
            <w:tcW w:w="625" w:type="pct"/>
            <w:tcBorders>
              <w:bottom w:val="thickThinSmallGap" w:sz="24" w:space="0" w:color="92CDDC" w:themeColor="accent5" w:themeTint="99"/>
            </w:tcBorders>
            <w:noWrap/>
            <w:vAlign w:val="center"/>
            <w:hideMark/>
          </w:tcPr>
          <w:p w14:paraId="34A56869" w14:textId="77777777" w:rsidR="00B44C7E" w:rsidRPr="0029055C" w:rsidRDefault="00B44C7E" w:rsidP="00115C6E">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2023</w:t>
            </w:r>
          </w:p>
        </w:tc>
      </w:tr>
      <w:tr w:rsidR="00B44C7E" w:rsidRPr="0029055C" w14:paraId="5A71A742" w14:textId="77777777" w:rsidTr="008A63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44A9C4"/>
            <w:noWrap/>
            <w:vAlign w:val="center"/>
          </w:tcPr>
          <w:p w14:paraId="3CC13095" w14:textId="77777777" w:rsidR="00B44C7E" w:rsidRPr="0029055C" w:rsidRDefault="00B44C7E" w:rsidP="008A638E">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color w:val="FFFFFF" w:themeColor="background1"/>
                <w:sz w:val="18"/>
                <w:szCs w:val="20"/>
              </w:rPr>
              <w:t>ΔΕΙΚΤΕΣ ΕΚΡΟΗΣ</w:t>
            </w:r>
          </w:p>
        </w:tc>
      </w:tr>
      <w:tr w:rsidR="00B44C7E" w:rsidRPr="0029055C" w14:paraId="70A5BBFF" w14:textId="77777777" w:rsidTr="0035774D">
        <w:trPr>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tcPr>
          <w:p w14:paraId="552A74BA" w14:textId="77777777" w:rsidR="00B44C7E" w:rsidRPr="0029055C" w:rsidRDefault="00B44C7E" w:rsidP="00B44C7E">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T4633. </w:t>
            </w:r>
            <w:r w:rsidRPr="0029055C">
              <w:rPr>
                <w:rFonts w:asciiTheme="minorHAnsi" w:hAnsiTheme="minorHAnsi" w:cstheme="minorHAnsi"/>
                <w:b w:val="0"/>
                <w:sz w:val="18"/>
                <w:szCs w:val="20"/>
              </w:rPr>
              <w:t>Αριθμός έργων δημιουργίας και εφαρμογής ενιαίου συστήματος της ψηφιακής διαχείρισης ανθρώπινου δυναμικού της δημόσιας διοίκησης</w:t>
            </w:r>
          </w:p>
        </w:tc>
        <w:tc>
          <w:tcPr>
            <w:tcW w:w="625" w:type="pct"/>
            <w:vAlign w:val="center"/>
          </w:tcPr>
          <w:p w14:paraId="58CCF709" w14:textId="77777777" w:rsidR="00B44C7E" w:rsidRPr="0029055C" w:rsidRDefault="00B44C7E" w:rsidP="00B44C7E">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4A2DEA96" w14:textId="77777777" w:rsidR="00B44C7E" w:rsidRPr="0029055C" w:rsidRDefault="00B44C7E" w:rsidP="00B44C7E">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5E8D5FEC" w14:textId="77777777" w:rsidR="00B44C7E" w:rsidRPr="0029055C" w:rsidRDefault="0035774D" w:rsidP="0035774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b/>
                <w:sz w:val="18"/>
                <w:szCs w:val="20"/>
              </w:rPr>
              <w:t>1</w:t>
            </w:r>
            <w:r w:rsidR="00B44C7E" w:rsidRPr="0029055C">
              <w:rPr>
                <w:rFonts w:asciiTheme="minorHAnsi" w:hAnsiTheme="minorHAnsi" w:cstheme="minorHAnsi"/>
                <w:b/>
                <w:sz w:val="18"/>
                <w:szCs w:val="20"/>
              </w:rPr>
              <w:t xml:space="preserve"> </w:t>
            </w:r>
          </w:p>
        </w:tc>
      </w:tr>
      <w:tr w:rsidR="00B44C7E" w:rsidRPr="0029055C" w14:paraId="619AEA98" w14:textId="77777777" w:rsidTr="003577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tcPr>
          <w:p w14:paraId="212A089F" w14:textId="77777777" w:rsidR="00B44C7E" w:rsidRPr="0029055C" w:rsidRDefault="00B44C7E" w:rsidP="00B44C7E">
            <w:pPr>
              <w:spacing w:before="40" w:after="40" w:line="240" w:lineRule="auto"/>
              <w:jc w:val="left"/>
              <w:rPr>
                <w:rFonts w:asciiTheme="minorHAnsi" w:hAnsiTheme="minorHAnsi" w:cstheme="minorHAnsi"/>
                <w:color w:val="C00000"/>
                <w:sz w:val="18"/>
                <w:szCs w:val="20"/>
              </w:rPr>
            </w:pPr>
            <w:r w:rsidRPr="0029055C">
              <w:rPr>
                <w:rFonts w:asciiTheme="minorHAnsi" w:hAnsiTheme="minorHAnsi" w:cstheme="minorHAnsi"/>
                <w:color w:val="C00000"/>
                <w:sz w:val="18"/>
                <w:szCs w:val="20"/>
              </w:rPr>
              <w:t xml:space="preserve">T4634. </w:t>
            </w:r>
            <w:r w:rsidRPr="0029055C">
              <w:rPr>
                <w:rFonts w:asciiTheme="minorHAnsi" w:hAnsiTheme="minorHAnsi" w:cstheme="minorHAnsi"/>
                <w:b w:val="0"/>
                <w:color w:val="C00000"/>
                <w:sz w:val="18"/>
                <w:szCs w:val="20"/>
              </w:rPr>
              <w:t>Αριθμός μελετών για τη βελτίωση των πολιτικών ανθρωπίνου δυναμικού του δημόσιου τομέα</w:t>
            </w:r>
          </w:p>
        </w:tc>
        <w:tc>
          <w:tcPr>
            <w:tcW w:w="625" w:type="pct"/>
            <w:shd w:val="clear" w:color="auto" w:fill="auto"/>
            <w:vAlign w:val="center"/>
          </w:tcPr>
          <w:p w14:paraId="64996D4A" w14:textId="77777777" w:rsidR="00B44C7E" w:rsidRPr="0029055C" w:rsidRDefault="00B44C7E" w:rsidP="00B44C7E">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C00000"/>
                <w:sz w:val="18"/>
                <w:szCs w:val="20"/>
              </w:rPr>
            </w:pPr>
          </w:p>
        </w:tc>
        <w:tc>
          <w:tcPr>
            <w:tcW w:w="625" w:type="pct"/>
            <w:shd w:val="clear" w:color="auto" w:fill="auto"/>
            <w:noWrap/>
            <w:vAlign w:val="center"/>
          </w:tcPr>
          <w:p w14:paraId="6D028C31" w14:textId="77777777" w:rsidR="00B44C7E" w:rsidRPr="0029055C" w:rsidRDefault="0035774D" w:rsidP="00B44C7E">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C00000"/>
                <w:sz w:val="18"/>
                <w:szCs w:val="20"/>
              </w:rPr>
            </w:pPr>
            <w:r w:rsidRPr="0029055C">
              <w:rPr>
                <w:rFonts w:asciiTheme="minorHAnsi" w:hAnsiTheme="minorHAnsi" w:cstheme="minorHAnsi"/>
                <w:bCs/>
                <w:color w:val="C00000"/>
                <w:sz w:val="18"/>
                <w:szCs w:val="20"/>
              </w:rPr>
              <w:t>3</w:t>
            </w:r>
          </w:p>
        </w:tc>
        <w:tc>
          <w:tcPr>
            <w:tcW w:w="625" w:type="pct"/>
            <w:shd w:val="clear" w:color="auto" w:fill="auto"/>
            <w:noWrap/>
            <w:vAlign w:val="center"/>
          </w:tcPr>
          <w:p w14:paraId="15C92B9D" w14:textId="77777777" w:rsidR="00B44C7E" w:rsidRPr="0029055C" w:rsidRDefault="0035774D" w:rsidP="0035774D">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C00000"/>
                <w:sz w:val="18"/>
                <w:szCs w:val="20"/>
              </w:rPr>
            </w:pPr>
            <w:r w:rsidRPr="0029055C">
              <w:rPr>
                <w:rFonts w:asciiTheme="minorHAnsi" w:hAnsiTheme="minorHAnsi" w:cstheme="minorHAnsi"/>
                <w:b/>
                <w:color w:val="C00000"/>
                <w:sz w:val="18"/>
                <w:szCs w:val="20"/>
              </w:rPr>
              <w:t>5</w:t>
            </w:r>
          </w:p>
        </w:tc>
      </w:tr>
      <w:tr w:rsidR="00B44C7E" w:rsidRPr="0029055C" w14:paraId="06911DF4" w14:textId="77777777" w:rsidTr="001E74B5">
        <w:trPr>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DAEEF3" w:themeFill="accent5" w:themeFillTint="33"/>
            <w:noWrap/>
          </w:tcPr>
          <w:p w14:paraId="0F26AAC7" w14:textId="77777777" w:rsidR="00B44C7E" w:rsidRPr="0029055C" w:rsidRDefault="00B44C7E" w:rsidP="00B44C7E">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T4635. </w:t>
            </w:r>
            <w:r w:rsidRPr="0029055C">
              <w:rPr>
                <w:rFonts w:asciiTheme="minorHAnsi" w:hAnsiTheme="minorHAnsi" w:cstheme="minorHAnsi"/>
                <w:b w:val="0"/>
                <w:sz w:val="18"/>
                <w:szCs w:val="20"/>
              </w:rPr>
              <w:t>Αριθμός δημοσίων υπαλλήλων που συμμετέχουν σε προγράμματα κατάρτισης για την ανάπτυξη δεξιοτήτων/διοικητικών ικανοτήτων</w:t>
            </w:r>
          </w:p>
        </w:tc>
        <w:tc>
          <w:tcPr>
            <w:tcW w:w="625" w:type="pct"/>
            <w:shd w:val="clear" w:color="auto" w:fill="DAEEF3" w:themeFill="accent5" w:themeFillTint="33"/>
            <w:vAlign w:val="center"/>
          </w:tcPr>
          <w:p w14:paraId="59725ACD" w14:textId="77777777" w:rsidR="00B44C7E" w:rsidRPr="0029055C" w:rsidRDefault="00B44C7E" w:rsidP="00B44C7E">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DAEEF3" w:themeFill="accent5" w:themeFillTint="33"/>
            <w:noWrap/>
            <w:vAlign w:val="center"/>
          </w:tcPr>
          <w:p w14:paraId="13124164" w14:textId="77777777" w:rsidR="00B44C7E" w:rsidRPr="0029055C" w:rsidRDefault="001E74B5" w:rsidP="00B44C7E">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
                <w:bCs/>
                <w:sz w:val="18"/>
                <w:szCs w:val="20"/>
              </w:rPr>
              <w:t>150.000</w:t>
            </w:r>
            <w:r w:rsidRPr="0029055C">
              <w:rPr>
                <w:rFonts w:asciiTheme="minorHAnsi" w:hAnsiTheme="minorHAnsi" w:cstheme="minorHAnsi"/>
                <w:bCs/>
                <w:sz w:val="18"/>
                <w:szCs w:val="20"/>
              </w:rPr>
              <w:t xml:space="preserve"> (</w:t>
            </w:r>
            <w:r w:rsidR="0035774D" w:rsidRPr="0029055C">
              <w:rPr>
                <w:rFonts w:asciiTheme="minorHAnsi" w:hAnsiTheme="minorHAnsi" w:cstheme="minorHAnsi"/>
                <w:bCs/>
                <w:sz w:val="18"/>
                <w:szCs w:val="20"/>
              </w:rPr>
              <w:t>70.000</w:t>
            </w:r>
            <w:r w:rsidRPr="0029055C">
              <w:rPr>
                <w:rFonts w:asciiTheme="minorHAnsi" w:hAnsiTheme="minorHAnsi" w:cstheme="minorHAnsi"/>
                <w:bCs/>
                <w:sz w:val="18"/>
                <w:szCs w:val="20"/>
              </w:rPr>
              <w:t>)</w:t>
            </w:r>
          </w:p>
        </w:tc>
        <w:tc>
          <w:tcPr>
            <w:tcW w:w="625" w:type="pct"/>
            <w:shd w:val="clear" w:color="auto" w:fill="DAEEF3" w:themeFill="accent5" w:themeFillTint="33"/>
            <w:noWrap/>
            <w:vAlign w:val="center"/>
          </w:tcPr>
          <w:p w14:paraId="3E6367C7" w14:textId="77777777" w:rsidR="00B44C7E" w:rsidRPr="0029055C" w:rsidRDefault="001E74B5" w:rsidP="00B44C7E">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 xml:space="preserve">300.000 </w:t>
            </w:r>
            <w:r w:rsidRPr="0029055C">
              <w:rPr>
                <w:rFonts w:asciiTheme="minorHAnsi" w:hAnsiTheme="minorHAnsi" w:cstheme="minorHAnsi"/>
                <w:sz w:val="18"/>
                <w:szCs w:val="20"/>
              </w:rPr>
              <w:t>(</w:t>
            </w:r>
            <w:r w:rsidR="0035774D" w:rsidRPr="0029055C">
              <w:rPr>
                <w:rFonts w:asciiTheme="minorHAnsi" w:hAnsiTheme="minorHAnsi" w:cstheme="minorHAnsi"/>
                <w:sz w:val="18"/>
                <w:szCs w:val="20"/>
              </w:rPr>
              <w:t>140.000</w:t>
            </w:r>
            <w:r w:rsidRPr="0029055C">
              <w:rPr>
                <w:rFonts w:asciiTheme="minorHAnsi" w:hAnsiTheme="minorHAnsi" w:cstheme="minorHAnsi"/>
                <w:sz w:val="18"/>
                <w:szCs w:val="20"/>
              </w:rPr>
              <w:t>)</w:t>
            </w:r>
          </w:p>
        </w:tc>
      </w:tr>
      <w:tr w:rsidR="00B44C7E" w:rsidRPr="0029055C" w14:paraId="16211FF8" w14:textId="77777777" w:rsidTr="003577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tcPr>
          <w:p w14:paraId="0836D942" w14:textId="77777777" w:rsidR="00B44C7E" w:rsidRPr="0029055C" w:rsidRDefault="00B44C7E" w:rsidP="00B44C7E">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lastRenderedPageBreak/>
              <w:t xml:space="preserve">T4636. </w:t>
            </w:r>
            <w:r w:rsidRPr="0029055C">
              <w:rPr>
                <w:rFonts w:asciiTheme="minorHAnsi" w:hAnsiTheme="minorHAnsi" w:cstheme="minorHAnsi"/>
                <w:b w:val="0"/>
                <w:sz w:val="18"/>
                <w:szCs w:val="20"/>
              </w:rPr>
              <w:t>Αριθμός δημοσίων υπαλλήλων που συμμετέχουν σε προγράμματα εξ αποστάσεως εκπαίδευσης</w:t>
            </w:r>
          </w:p>
        </w:tc>
        <w:tc>
          <w:tcPr>
            <w:tcW w:w="625" w:type="pct"/>
            <w:shd w:val="clear" w:color="auto" w:fill="auto"/>
            <w:vAlign w:val="center"/>
          </w:tcPr>
          <w:p w14:paraId="3B39749F" w14:textId="77777777" w:rsidR="00B44C7E" w:rsidRPr="0029055C" w:rsidRDefault="00B44C7E" w:rsidP="00B44C7E">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263BC1B8" w14:textId="77777777" w:rsidR="00B44C7E" w:rsidRPr="0029055C" w:rsidRDefault="00B44C7E" w:rsidP="00B44C7E">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5D836E08" w14:textId="77777777" w:rsidR="00B44C7E" w:rsidRPr="0029055C" w:rsidRDefault="00D47D02" w:rsidP="00D47D02">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3.000</w:t>
            </w:r>
            <w:r w:rsidRPr="0029055C">
              <w:rPr>
                <w:rFonts w:asciiTheme="minorHAnsi" w:hAnsiTheme="minorHAnsi" w:cstheme="minorHAnsi"/>
                <w:b/>
                <w:sz w:val="18"/>
                <w:szCs w:val="20"/>
              </w:rPr>
              <w:br/>
            </w:r>
            <w:r w:rsidRPr="0029055C">
              <w:rPr>
                <w:rFonts w:asciiTheme="minorHAnsi" w:hAnsiTheme="minorHAnsi" w:cstheme="minorHAnsi"/>
                <w:sz w:val="18"/>
                <w:szCs w:val="20"/>
              </w:rPr>
              <w:t>(</w:t>
            </w:r>
            <w:r w:rsidR="0035774D" w:rsidRPr="0029055C">
              <w:rPr>
                <w:rFonts w:asciiTheme="minorHAnsi" w:hAnsiTheme="minorHAnsi" w:cstheme="minorHAnsi"/>
                <w:sz w:val="18"/>
                <w:szCs w:val="20"/>
              </w:rPr>
              <w:t>12.000</w:t>
            </w:r>
            <w:r w:rsidRPr="0029055C">
              <w:rPr>
                <w:rFonts w:asciiTheme="minorHAnsi" w:hAnsiTheme="minorHAnsi" w:cstheme="minorHAnsi"/>
                <w:sz w:val="18"/>
                <w:szCs w:val="20"/>
              </w:rPr>
              <w:t>)</w:t>
            </w:r>
          </w:p>
        </w:tc>
      </w:tr>
      <w:tr w:rsidR="00B44C7E" w:rsidRPr="0029055C" w14:paraId="408BB157" w14:textId="77777777" w:rsidTr="0035774D">
        <w:trPr>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tcPr>
          <w:p w14:paraId="0FD438A0" w14:textId="77777777" w:rsidR="00B44C7E" w:rsidRPr="0029055C" w:rsidRDefault="00B44C7E" w:rsidP="00B44C7E">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T4637. </w:t>
            </w:r>
            <w:r w:rsidRPr="0029055C">
              <w:rPr>
                <w:rFonts w:asciiTheme="minorHAnsi" w:hAnsiTheme="minorHAnsi" w:cstheme="minorHAnsi"/>
                <w:b w:val="0"/>
                <w:sz w:val="18"/>
                <w:szCs w:val="20"/>
              </w:rPr>
              <w:t>Αριθμός προγραμμάτων κατάρτισης για μεσαία και υψηλόβαθμα διοικητικά στελέχη της δημόσιας διοίκησης</w:t>
            </w:r>
          </w:p>
        </w:tc>
        <w:tc>
          <w:tcPr>
            <w:tcW w:w="625" w:type="pct"/>
            <w:shd w:val="clear" w:color="auto" w:fill="auto"/>
            <w:vAlign w:val="center"/>
          </w:tcPr>
          <w:p w14:paraId="5B8D0932" w14:textId="77777777" w:rsidR="00B44C7E" w:rsidRPr="0029055C" w:rsidRDefault="00B44C7E" w:rsidP="00B44C7E">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4CA6B069" w14:textId="77777777" w:rsidR="00B44C7E" w:rsidRPr="0029055C" w:rsidRDefault="00B44C7E" w:rsidP="00B44C7E">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31CA7F8A" w14:textId="77777777" w:rsidR="00B44C7E" w:rsidRPr="0029055C" w:rsidRDefault="0035774D" w:rsidP="00B44C7E">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250</w:t>
            </w:r>
          </w:p>
        </w:tc>
      </w:tr>
      <w:tr w:rsidR="00B44C7E" w:rsidRPr="0029055C" w14:paraId="286A5093" w14:textId="77777777" w:rsidTr="004759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5" w:type="pct"/>
            <w:noWrap/>
          </w:tcPr>
          <w:p w14:paraId="4A1F3923" w14:textId="77777777" w:rsidR="00B44C7E" w:rsidRPr="0029055C" w:rsidRDefault="00B44C7E" w:rsidP="00B44C7E">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T4638. </w:t>
            </w:r>
            <w:r w:rsidRPr="0029055C">
              <w:rPr>
                <w:rFonts w:asciiTheme="minorHAnsi" w:hAnsiTheme="minorHAnsi" w:cstheme="minorHAnsi"/>
                <w:b w:val="0"/>
                <w:sz w:val="18"/>
                <w:szCs w:val="20"/>
              </w:rPr>
              <w:t>Αριθμός στελεχών που παρακολουθεί προγράμματα ταχείας εξέλιξης</w:t>
            </w:r>
          </w:p>
        </w:tc>
        <w:tc>
          <w:tcPr>
            <w:tcW w:w="625" w:type="pct"/>
            <w:vAlign w:val="center"/>
          </w:tcPr>
          <w:p w14:paraId="2ADFC816" w14:textId="77777777" w:rsidR="00B44C7E" w:rsidRPr="0029055C" w:rsidRDefault="00B44C7E" w:rsidP="00B44C7E">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noWrap/>
            <w:vAlign w:val="center"/>
          </w:tcPr>
          <w:p w14:paraId="660BBBB2" w14:textId="77777777" w:rsidR="00B44C7E" w:rsidRPr="0029055C" w:rsidRDefault="00D47D02" w:rsidP="00B44C7E">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
                <w:bCs/>
                <w:sz w:val="18"/>
                <w:szCs w:val="20"/>
              </w:rPr>
              <w:t xml:space="preserve">700 </w:t>
            </w:r>
            <w:r w:rsidRPr="0029055C">
              <w:rPr>
                <w:rFonts w:asciiTheme="minorHAnsi" w:hAnsiTheme="minorHAnsi" w:cstheme="minorHAnsi"/>
                <w:bCs/>
                <w:sz w:val="18"/>
                <w:szCs w:val="20"/>
              </w:rPr>
              <w:br/>
              <w:t>(</w:t>
            </w:r>
            <w:r w:rsidR="0035774D" w:rsidRPr="0029055C">
              <w:rPr>
                <w:rFonts w:asciiTheme="minorHAnsi" w:hAnsiTheme="minorHAnsi" w:cstheme="minorHAnsi"/>
                <w:bCs/>
                <w:sz w:val="18"/>
                <w:szCs w:val="20"/>
              </w:rPr>
              <w:t>500</w:t>
            </w:r>
            <w:r w:rsidRPr="0029055C">
              <w:rPr>
                <w:rFonts w:asciiTheme="minorHAnsi" w:hAnsiTheme="minorHAnsi" w:cstheme="minorHAnsi"/>
                <w:bCs/>
                <w:sz w:val="18"/>
                <w:szCs w:val="20"/>
              </w:rPr>
              <w:t>)</w:t>
            </w:r>
          </w:p>
        </w:tc>
        <w:tc>
          <w:tcPr>
            <w:tcW w:w="625" w:type="pct"/>
            <w:noWrap/>
            <w:vAlign w:val="center"/>
          </w:tcPr>
          <w:p w14:paraId="6B2C9558" w14:textId="77777777" w:rsidR="00B44C7E" w:rsidRPr="0029055C" w:rsidRDefault="00D47D02" w:rsidP="00B44C7E">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 xml:space="preserve">1.100 </w:t>
            </w:r>
            <w:r w:rsidRPr="0029055C">
              <w:rPr>
                <w:rFonts w:asciiTheme="minorHAnsi" w:hAnsiTheme="minorHAnsi" w:cstheme="minorHAnsi"/>
                <w:b/>
                <w:sz w:val="18"/>
                <w:szCs w:val="20"/>
              </w:rPr>
              <w:br/>
            </w:r>
            <w:r w:rsidRPr="0029055C">
              <w:rPr>
                <w:rFonts w:asciiTheme="minorHAnsi" w:hAnsiTheme="minorHAnsi" w:cstheme="minorHAnsi"/>
                <w:sz w:val="18"/>
                <w:szCs w:val="20"/>
              </w:rPr>
              <w:t>(</w:t>
            </w:r>
            <w:r w:rsidR="0035774D" w:rsidRPr="0029055C">
              <w:rPr>
                <w:rFonts w:asciiTheme="minorHAnsi" w:hAnsiTheme="minorHAnsi" w:cstheme="minorHAnsi"/>
                <w:sz w:val="18"/>
                <w:szCs w:val="20"/>
              </w:rPr>
              <w:t>1.000</w:t>
            </w:r>
            <w:r w:rsidRPr="0029055C">
              <w:rPr>
                <w:rFonts w:asciiTheme="minorHAnsi" w:hAnsiTheme="minorHAnsi" w:cstheme="minorHAnsi"/>
                <w:sz w:val="18"/>
                <w:szCs w:val="20"/>
              </w:rPr>
              <w:t>)</w:t>
            </w:r>
          </w:p>
        </w:tc>
      </w:tr>
      <w:tr w:rsidR="00B44C7E" w:rsidRPr="0029055C" w14:paraId="76BC2ADA" w14:textId="77777777" w:rsidTr="0035774D">
        <w:trPr>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tcPr>
          <w:p w14:paraId="11A1D7C5" w14:textId="77777777" w:rsidR="00B44C7E" w:rsidRPr="0029055C" w:rsidRDefault="00B44C7E" w:rsidP="00B44C7E">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T4639. </w:t>
            </w:r>
            <w:r w:rsidRPr="0029055C">
              <w:rPr>
                <w:rFonts w:asciiTheme="minorHAnsi" w:hAnsiTheme="minorHAnsi" w:cstheme="minorHAnsi"/>
                <w:b w:val="0"/>
                <w:sz w:val="18"/>
                <w:szCs w:val="20"/>
              </w:rPr>
              <w:t>Αριθμός προγραμμάτων σπουδών / πακέτων εκπαιδευτικού υλικού που δημιουργούνται ή αναβαθμίζονται</w:t>
            </w:r>
          </w:p>
        </w:tc>
        <w:tc>
          <w:tcPr>
            <w:tcW w:w="625" w:type="pct"/>
            <w:shd w:val="clear" w:color="auto" w:fill="auto"/>
            <w:vAlign w:val="center"/>
          </w:tcPr>
          <w:p w14:paraId="08DF552B" w14:textId="77777777" w:rsidR="00B44C7E" w:rsidRPr="0029055C" w:rsidRDefault="00B44C7E" w:rsidP="00B44C7E">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7AD319BA" w14:textId="77777777" w:rsidR="00B44C7E" w:rsidRPr="0029055C" w:rsidRDefault="00B44C7E" w:rsidP="00B44C7E">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0F8EDCE0" w14:textId="77777777" w:rsidR="00B44C7E" w:rsidRPr="0029055C" w:rsidRDefault="0035774D" w:rsidP="00B44C7E">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204</w:t>
            </w:r>
          </w:p>
        </w:tc>
      </w:tr>
      <w:tr w:rsidR="0035774D" w:rsidRPr="0029055C" w14:paraId="3E4CC2EF" w14:textId="77777777" w:rsidTr="008A63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44A9C4"/>
            <w:noWrap/>
            <w:vAlign w:val="center"/>
          </w:tcPr>
          <w:p w14:paraId="2BC4F737" w14:textId="77777777" w:rsidR="0035774D" w:rsidRPr="0029055C" w:rsidRDefault="0035774D" w:rsidP="005C573F">
            <w:pPr>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color w:val="FFFFFF" w:themeColor="background1"/>
                <w:sz w:val="18"/>
                <w:szCs w:val="20"/>
              </w:rPr>
              <w:t xml:space="preserve">ΔΕΙΚΤΕΣ </w:t>
            </w:r>
            <w:r w:rsidR="005C573F" w:rsidRPr="0029055C">
              <w:rPr>
                <w:rFonts w:asciiTheme="minorHAnsi" w:hAnsiTheme="minorHAnsi" w:cstheme="minorHAnsi"/>
                <w:color w:val="FFFFFF" w:themeColor="background1"/>
                <w:sz w:val="18"/>
                <w:szCs w:val="20"/>
              </w:rPr>
              <w:t>ΑΠΟΤΕΛΕΣΜΑΤΟΣ</w:t>
            </w:r>
          </w:p>
        </w:tc>
      </w:tr>
      <w:tr w:rsidR="0035774D" w:rsidRPr="0029055C" w14:paraId="1D59F155" w14:textId="77777777" w:rsidTr="008A638E">
        <w:trPr>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tcPr>
          <w:p w14:paraId="21DF2F61" w14:textId="77777777" w:rsidR="0035774D" w:rsidRPr="0029055C" w:rsidRDefault="0035774D" w:rsidP="0035774D">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T4612. </w:t>
            </w:r>
            <w:r w:rsidRPr="0029055C">
              <w:rPr>
                <w:rFonts w:asciiTheme="minorHAnsi" w:hAnsiTheme="minorHAnsi" w:cstheme="minorHAnsi"/>
                <w:b w:val="0"/>
                <w:sz w:val="18"/>
                <w:szCs w:val="20"/>
              </w:rPr>
              <w:t>Αριθμός φορέων δημόσιας διοίκησης που εφαρμόζουν νέες οριζόντιες πολιτικές  ανθρώπινου δυναμικού</w:t>
            </w:r>
          </w:p>
        </w:tc>
        <w:tc>
          <w:tcPr>
            <w:tcW w:w="625" w:type="pct"/>
            <w:shd w:val="clear" w:color="auto" w:fill="auto"/>
            <w:vAlign w:val="center"/>
          </w:tcPr>
          <w:p w14:paraId="0A296CF1" w14:textId="77777777" w:rsidR="0035774D" w:rsidRPr="0029055C" w:rsidRDefault="0035774D" w:rsidP="0035774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8</w:t>
            </w:r>
          </w:p>
        </w:tc>
        <w:tc>
          <w:tcPr>
            <w:tcW w:w="625" w:type="pct"/>
            <w:shd w:val="clear" w:color="auto" w:fill="auto"/>
            <w:noWrap/>
            <w:vAlign w:val="center"/>
          </w:tcPr>
          <w:p w14:paraId="7244FEB6" w14:textId="77777777" w:rsidR="0035774D" w:rsidRPr="0029055C" w:rsidRDefault="0035774D" w:rsidP="0035774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5BEC8FEA" w14:textId="77777777" w:rsidR="0035774D" w:rsidRPr="0029055C" w:rsidRDefault="0035774D" w:rsidP="0035774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25</w:t>
            </w:r>
          </w:p>
        </w:tc>
      </w:tr>
      <w:tr w:rsidR="0035774D" w:rsidRPr="0029055C" w14:paraId="72D3A6A5" w14:textId="77777777" w:rsidTr="008A63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tcPr>
          <w:p w14:paraId="1E8BFDE2" w14:textId="77777777" w:rsidR="0035774D" w:rsidRPr="0029055C" w:rsidRDefault="0035774D" w:rsidP="0035774D">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T4613.  </w:t>
            </w:r>
            <w:r w:rsidRPr="0029055C">
              <w:rPr>
                <w:rFonts w:asciiTheme="minorHAnsi" w:hAnsiTheme="minorHAnsi" w:cstheme="minorHAnsi"/>
                <w:b w:val="0"/>
                <w:sz w:val="18"/>
                <w:szCs w:val="20"/>
              </w:rPr>
              <w:t>Αριθμός δημοσίων υπαλλήλων που πιστοποιήθηκαν μετά την παρακολούθηση προγραμμάτων κατάρτισης</w:t>
            </w:r>
          </w:p>
        </w:tc>
        <w:tc>
          <w:tcPr>
            <w:tcW w:w="625" w:type="pct"/>
            <w:shd w:val="clear" w:color="auto" w:fill="auto"/>
            <w:vAlign w:val="center"/>
          </w:tcPr>
          <w:p w14:paraId="7B977CD2" w14:textId="77777777" w:rsidR="0035774D" w:rsidRPr="0029055C" w:rsidRDefault="0035774D" w:rsidP="0035774D">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97.393</w:t>
            </w:r>
          </w:p>
        </w:tc>
        <w:tc>
          <w:tcPr>
            <w:tcW w:w="625" w:type="pct"/>
            <w:shd w:val="clear" w:color="auto" w:fill="auto"/>
            <w:noWrap/>
            <w:vAlign w:val="center"/>
          </w:tcPr>
          <w:p w14:paraId="7D9C8D8E" w14:textId="77777777" w:rsidR="0035774D" w:rsidRPr="0029055C" w:rsidRDefault="0035774D" w:rsidP="0035774D">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79EF77CB" w14:textId="77777777" w:rsidR="0035774D" w:rsidRPr="0029055C" w:rsidRDefault="0035774D" w:rsidP="0035774D">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196.033</w:t>
            </w:r>
          </w:p>
        </w:tc>
      </w:tr>
      <w:tr w:rsidR="0035774D" w:rsidRPr="0029055C" w14:paraId="2E6613EB" w14:textId="77777777" w:rsidTr="008A638E">
        <w:trPr>
          <w:jc w:val="center"/>
        </w:trPr>
        <w:tc>
          <w:tcPr>
            <w:cnfStyle w:val="001000000000" w:firstRow="0" w:lastRow="0" w:firstColumn="1" w:lastColumn="0" w:oddVBand="0" w:evenVBand="0" w:oddHBand="0" w:evenHBand="0" w:firstRowFirstColumn="0" w:firstRowLastColumn="0" w:lastRowFirstColumn="0" w:lastRowLastColumn="0"/>
            <w:tcW w:w="3125" w:type="pct"/>
            <w:shd w:val="clear" w:color="auto" w:fill="auto"/>
            <w:noWrap/>
          </w:tcPr>
          <w:p w14:paraId="3CAD0A8B" w14:textId="77777777" w:rsidR="0035774D" w:rsidRPr="0029055C" w:rsidRDefault="0035774D" w:rsidP="0035774D">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T4614. </w:t>
            </w:r>
            <w:r w:rsidRPr="0029055C">
              <w:rPr>
                <w:rFonts w:asciiTheme="minorHAnsi" w:hAnsiTheme="minorHAnsi" w:cstheme="minorHAnsi"/>
                <w:b w:val="0"/>
                <w:sz w:val="18"/>
                <w:szCs w:val="20"/>
              </w:rPr>
              <w:t>Αριθμός στελεχών ταχείας εξέλιξης για την υποβοήθηση των μεταρρυθμίσεων που καταρτίστηκαν και τοποθετήθηκαν σε θέσεις του Δημόσιου Τομέα</w:t>
            </w:r>
            <w:r w:rsidRPr="0029055C">
              <w:rPr>
                <w:rFonts w:asciiTheme="minorHAnsi" w:hAnsiTheme="minorHAnsi" w:cstheme="minorHAnsi"/>
                <w:sz w:val="18"/>
                <w:szCs w:val="20"/>
              </w:rPr>
              <w:t xml:space="preserve"> </w:t>
            </w:r>
          </w:p>
        </w:tc>
        <w:tc>
          <w:tcPr>
            <w:tcW w:w="625" w:type="pct"/>
            <w:shd w:val="clear" w:color="auto" w:fill="auto"/>
            <w:vAlign w:val="center"/>
          </w:tcPr>
          <w:p w14:paraId="557A410C" w14:textId="77777777" w:rsidR="0035774D" w:rsidRPr="0029055C" w:rsidRDefault="0035774D" w:rsidP="0035774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917</w:t>
            </w:r>
          </w:p>
        </w:tc>
        <w:tc>
          <w:tcPr>
            <w:tcW w:w="625" w:type="pct"/>
            <w:shd w:val="clear" w:color="auto" w:fill="auto"/>
            <w:noWrap/>
            <w:vAlign w:val="center"/>
          </w:tcPr>
          <w:p w14:paraId="4E1E5F4C" w14:textId="77777777" w:rsidR="0035774D" w:rsidRPr="0029055C" w:rsidRDefault="0035774D" w:rsidP="0035774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625" w:type="pct"/>
            <w:shd w:val="clear" w:color="auto" w:fill="auto"/>
            <w:noWrap/>
            <w:vAlign w:val="center"/>
          </w:tcPr>
          <w:p w14:paraId="7E3ABCB3" w14:textId="77777777" w:rsidR="0035774D" w:rsidRPr="0029055C" w:rsidRDefault="0035774D" w:rsidP="0035774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1.917</w:t>
            </w:r>
          </w:p>
        </w:tc>
      </w:tr>
    </w:tbl>
    <w:p w14:paraId="1D16DFA3" w14:textId="77777777" w:rsidR="00B01AD7" w:rsidRPr="0029055C" w:rsidRDefault="00B01AD7" w:rsidP="00EC0536">
      <w:pPr>
        <w:pStyle w:val="Heading4"/>
        <w:pageBreakBefore/>
        <w:ind w:hanging="720"/>
      </w:pPr>
      <w:r w:rsidRPr="0029055C">
        <w:lastRenderedPageBreak/>
        <w:t xml:space="preserve">Θεματικός Άξονας </w:t>
      </w:r>
      <w:r w:rsidR="00475924" w:rsidRPr="0029055C">
        <w:t>IV</w:t>
      </w:r>
      <w:r w:rsidRPr="0029055C">
        <w:t xml:space="preserve"> «Τεχνική Υποστήριξη για την Εφαρμογή / Υλοποίηση των Δράσεων ΕΚΤ του Επιχειρησιακού Προγράμματος</w:t>
      </w:r>
      <w:r w:rsidR="00281C61" w:rsidRPr="0029055C">
        <w:t>»</w:t>
      </w:r>
      <w:r w:rsidRPr="0029055C">
        <w:t xml:space="preserve"> (Άξονες Προτεραιότητας 10,11 &amp; 12)</w:t>
      </w:r>
    </w:p>
    <w:p w14:paraId="118E2BB6" w14:textId="77777777" w:rsidR="00F272DA" w:rsidRPr="0029055C" w:rsidRDefault="009548F4" w:rsidP="002A6837">
      <w:pPr>
        <w:spacing w:line="280" w:lineRule="atLeast"/>
        <w:rPr>
          <w:sz w:val="22"/>
          <w:lang w:eastAsia="en-US"/>
        </w:rPr>
      </w:pPr>
      <w:r w:rsidRPr="0029055C">
        <w:rPr>
          <w:sz w:val="22"/>
          <w:lang w:eastAsia="en-US"/>
        </w:rPr>
        <w:t>Ο Θεματικός Άξονας</w:t>
      </w:r>
      <w:r w:rsidR="00475924" w:rsidRPr="0029055C">
        <w:rPr>
          <w:sz w:val="22"/>
          <w:lang w:eastAsia="en-US"/>
        </w:rPr>
        <w:t xml:space="preserve"> IV</w:t>
      </w:r>
      <w:r w:rsidRPr="0029055C">
        <w:rPr>
          <w:sz w:val="22"/>
          <w:lang w:eastAsia="en-US"/>
        </w:rPr>
        <w:t xml:space="preserve"> του ΕΠ ΜΔΤ αφορά στην Τεχνική Βοήθεια του Προγράμματος για την εφαρμογή των δράσεων ΕΚΤ που υλοποιούνται στο πλαίσιο των Θεματικών Αξόνων </w:t>
      </w:r>
      <w:r w:rsidR="00475924" w:rsidRPr="0029055C">
        <w:rPr>
          <w:sz w:val="22"/>
          <w:lang w:eastAsia="en-US"/>
        </w:rPr>
        <w:t>I</w:t>
      </w:r>
      <w:r w:rsidRPr="0029055C">
        <w:rPr>
          <w:sz w:val="22"/>
          <w:lang w:eastAsia="en-US"/>
        </w:rPr>
        <w:t xml:space="preserve"> </w:t>
      </w:r>
      <w:r w:rsidR="00CD69BE" w:rsidRPr="0029055C">
        <w:rPr>
          <w:sz w:val="22"/>
          <w:lang w:eastAsia="en-US"/>
        </w:rPr>
        <w:t xml:space="preserve">και </w:t>
      </w:r>
      <w:r w:rsidR="00475924" w:rsidRPr="0029055C">
        <w:rPr>
          <w:sz w:val="22"/>
          <w:lang w:eastAsia="en-US"/>
        </w:rPr>
        <w:t>III</w:t>
      </w:r>
      <w:r w:rsidR="00F272DA" w:rsidRPr="0029055C">
        <w:rPr>
          <w:sz w:val="22"/>
          <w:lang w:eastAsia="en-US"/>
        </w:rPr>
        <w:t xml:space="preserve"> και περιλαμβάνει το σύνολο των ενεργειών που αφορούν στην τεχνική υποστήριξη (προετοιμασία, διαχείριση, υλοποίηση, παρακολούθηση, έλεγχο, αξιολόγηση, ενημέρωσης και</w:t>
      </w:r>
      <w:r w:rsidR="002A6837" w:rsidRPr="0029055C">
        <w:rPr>
          <w:sz w:val="22"/>
          <w:lang w:eastAsia="en-US"/>
        </w:rPr>
        <w:t xml:space="preserve"> </w:t>
      </w:r>
      <w:r w:rsidR="00F272DA" w:rsidRPr="0029055C">
        <w:rPr>
          <w:sz w:val="22"/>
          <w:lang w:eastAsia="en-US"/>
        </w:rPr>
        <w:t>επικοινωνίας κ.α</w:t>
      </w:r>
      <w:r w:rsidR="002A3E1F" w:rsidRPr="0029055C">
        <w:rPr>
          <w:sz w:val="22"/>
          <w:lang w:eastAsia="en-US"/>
        </w:rPr>
        <w:t>.</w:t>
      </w:r>
      <w:r w:rsidR="00F272DA" w:rsidRPr="0029055C">
        <w:rPr>
          <w:sz w:val="22"/>
          <w:lang w:eastAsia="en-US"/>
        </w:rPr>
        <w:t>) για την άρτια και αποτελεσματική υλοποίηση των παρεμβάσεων ΕΚΤ του Επιχειρησιακού Προγράμματος, την παροχή οδηγιών και υποστήριξης προς τους εμπλεκόμενους φορείς και την υποστήριξη και υποβοήθηση όλων των διοικητικών</w:t>
      </w:r>
      <w:r w:rsidR="002A6837" w:rsidRPr="0029055C">
        <w:rPr>
          <w:sz w:val="22"/>
          <w:lang w:eastAsia="en-US"/>
        </w:rPr>
        <w:t xml:space="preserve"> </w:t>
      </w:r>
      <w:r w:rsidR="00F272DA" w:rsidRPr="0029055C">
        <w:rPr>
          <w:sz w:val="22"/>
          <w:lang w:eastAsia="en-US"/>
        </w:rPr>
        <w:t>δομών που συμμετέχουν στην εφαρμογή του Προγράμματος.</w:t>
      </w:r>
    </w:p>
    <w:p w14:paraId="162FA123" w14:textId="77777777" w:rsidR="00892182" w:rsidRPr="0029055C" w:rsidRDefault="00F272DA" w:rsidP="00F272DA">
      <w:pPr>
        <w:spacing w:line="280" w:lineRule="atLeast"/>
        <w:rPr>
          <w:rFonts w:cs="Arial"/>
          <w:color w:val="000000"/>
          <w:sz w:val="22"/>
        </w:rPr>
      </w:pPr>
      <w:r w:rsidRPr="0029055C">
        <w:rPr>
          <w:rFonts w:cs="Arial"/>
          <w:color w:val="000000"/>
          <w:sz w:val="22"/>
        </w:rPr>
        <w:t xml:space="preserve">Στο πλαίσιο της 2ης Αναθεώρησης του ΕΠ ΜΔΤ, </w:t>
      </w:r>
      <w:r w:rsidR="002A6837" w:rsidRPr="0029055C">
        <w:rPr>
          <w:rFonts w:cs="Arial"/>
          <w:color w:val="000000"/>
          <w:sz w:val="22"/>
        </w:rPr>
        <w:t xml:space="preserve">δεν πραγματοποιούνται </w:t>
      </w:r>
      <w:r w:rsidRPr="0029055C">
        <w:rPr>
          <w:rFonts w:cs="Arial"/>
          <w:color w:val="000000"/>
          <w:sz w:val="22"/>
        </w:rPr>
        <w:t>τροποποιήσεις</w:t>
      </w:r>
      <w:r w:rsidR="00CD69BE" w:rsidRPr="0029055C">
        <w:rPr>
          <w:rFonts w:cs="Arial"/>
          <w:color w:val="000000"/>
          <w:sz w:val="22"/>
        </w:rPr>
        <w:t xml:space="preserve"> αναφορικά με τους </w:t>
      </w:r>
      <w:r w:rsidR="00892182" w:rsidRPr="0029055C">
        <w:rPr>
          <w:rFonts w:cs="Arial"/>
          <w:color w:val="000000"/>
          <w:sz w:val="22"/>
        </w:rPr>
        <w:t>διαθέσιμους πόρους του Προγράμματος στο Θεματικό Άξονα</w:t>
      </w:r>
      <w:r w:rsidR="00CD69BE" w:rsidRPr="0029055C">
        <w:rPr>
          <w:rFonts w:cs="Arial"/>
          <w:color w:val="000000"/>
          <w:sz w:val="22"/>
        </w:rPr>
        <w:t xml:space="preserve"> </w:t>
      </w:r>
      <w:r w:rsidR="00475924" w:rsidRPr="0029055C">
        <w:rPr>
          <w:rFonts w:cs="Arial"/>
          <w:color w:val="000000"/>
          <w:sz w:val="22"/>
        </w:rPr>
        <w:t>IV</w:t>
      </w:r>
      <w:r w:rsidR="00892182" w:rsidRPr="0029055C">
        <w:rPr>
          <w:rFonts w:cs="Arial"/>
          <w:color w:val="000000"/>
          <w:sz w:val="22"/>
        </w:rPr>
        <w:t>, ούτε τροποποίηση της χρηματοδοτικής κατανομής στους επιμέρους Ειδικούς Στόχους και Κατηγορίες Δράσης.</w:t>
      </w:r>
    </w:p>
    <w:p w14:paraId="3C458226" w14:textId="77777777" w:rsidR="00F87F86" w:rsidRPr="0029055C" w:rsidRDefault="00F87F86" w:rsidP="00F87F86">
      <w:pPr>
        <w:spacing w:line="300" w:lineRule="atLeast"/>
        <w:rPr>
          <w:rFonts w:cs="Arial"/>
          <w:color w:val="000000"/>
          <w:sz w:val="22"/>
        </w:rPr>
      </w:pPr>
      <w:r w:rsidRPr="0029055C">
        <w:rPr>
          <w:rFonts w:cs="Arial"/>
          <w:color w:val="000000"/>
          <w:sz w:val="22"/>
        </w:rPr>
        <w:t xml:space="preserve">Αναφορικά με το σύστημα δεικτών του ΘΑ </w:t>
      </w:r>
      <w:r w:rsidR="00475924" w:rsidRPr="0029055C">
        <w:rPr>
          <w:rFonts w:cs="Arial"/>
          <w:color w:val="000000"/>
          <w:sz w:val="22"/>
        </w:rPr>
        <w:t>IV</w:t>
      </w:r>
      <w:r w:rsidRPr="0029055C">
        <w:rPr>
          <w:rFonts w:cs="Arial"/>
          <w:color w:val="000000"/>
          <w:sz w:val="22"/>
        </w:rPr>
        <w:t xml:space="preserve">  προτείνεται η ακόλουθη τροποποίηση:</w:t>
      </w:r>
    </w:p>
    <w:p w14:paraId="519EBBC1" w14:textId="77777777" w:rsidR="00F87F86" w:rsidRPr="0029055C" w:rsidRDefault="00F87F86" w:rsidP="00F87F86">
      <w:pPr>
        <w:pStyle w:val="Heading5"/>
      </w:pPr>
      <w:r w:rsidRPr="0029055C">
        <w:t>Δείκτες Εκροής</w:t>
      </w:r>
    </w:p>
    <w:p w14:paraId="5195ADAF" w14:textId="77777777" w:rsidR="00B01AD7" w:rsidRPr="0029055C" w:rsidRDefault="009828BA" w:rsidP="00F87F86">
      <w:pPr>
        <w:pStyle w:val="Heading6"/>
        <w:rPr>
          <w:b/>
        </w:rPr>
      </w:pPr>
      <w:r w:rsidRPr="0029055C">
        <w:rPr>
          <w:b/>
        </w:rPr>
        <w:t xml:space="preserve">Τ4643: </w:t>
      </w:r>
      <w:r w:rsidRPr="0029055C">
        <w:t>Αριθμός Επικοινωνιακών Σχεδίων Δράσης</w:t>
      </w:r>
    </w:p>
    <w:p w14:paraId="7634F2DB" w14:textId="77777777" w:rsidR="009828BA" w:rsidRPr="0029055C" w:rsidRDefault="009828BA" w:rsidP="00F87F86">
      <w:pPr>
        <w:spacing w:line="280" w:lineRule="atLeast"/>
        <w:rPr>
          <w:sz w:val="22"/>
          <w:lang w:eastAsia="en-US"/>
        </w:rPr>
      </w:pPr>
      <w:r w:rsidRPr="0029055C">
        <w:rPr>
          <w:sz w:val="22"/>
          <w:lang w:eastAsia="en-US"/>
        </w:rPr>
        <w:t>Στο πλαίσιο της 2ης Αναθεώρησης του Προγράμματος προτείνεται η αφαίρεση του δείκτη από το σύστη</w:t>
      </w:r>
      <w:r w:rsidR="00475924" w:rsidRPr="0029055C">
        <w:rPr>
          <w:sz w:val="22"/>
          <w:lang w:eastAsia="en-US"/>
        </w:rPr>
        <w:t>μα δεικτών του Θεματικού Άξονα IV</w:t>
      </w:r>
      <w:r w:rsidRPr="0029055C">
        <w:rPr>
          <w:sz w:val="22"/>
          <w:lang w:eastAsia="en-US"/>
        </w:rPr>
        <w:t>, δεδομένου ότι το επικοινωνιακό σχέδιο του ΕΠ ΜΔΤ εκπονήθηκε από την ΕΥΔ με ίδιους πόρους.</w:t>
      </w:r>
    </w:p>
    <w:p w14:paraId="6855A50E" w14:textId="726EE1A6" w:rsidR="00475924" w:rsidRPr="0029055C" w:rsidRDefault="001C0C80" w:rsidP="00F87F86">
      <w:pPr>
        <w:spacing w:line="280" w:lineRule="atLeast"/>
        <w:rPr>
          <w:sz w:val="22"/>
          <w:lang w:eastAsia="en-US"/>
        </w:rPr>
      </w:pPr>
      <w:r w:rsidRPr="001C0C80">
        <w:rPr>
          <w:sz w:val="22"/>
          <w:lang w:eastAsia="en-US"/>
        </w:rPr>
        <w:t xml:space="preserve">Επιπρόσθετα, στο πλαίσιο της 2ης Αναθεώρησης του Προγράμματος προσδιορίσθηκε η τιμή στόχος του Δείκτη </w:t>
      </w:r>
      <w:r w:rsidRPr="001C0C80">
        <w:rPr>
          <w:i/>
          <w:sz w:val="22"/>
          <w:lang w:eastAsia="en-US"/>
        </w:rPr>
        <w:t>T4644 «Δράσεις ενημέρωσης των δυνητικών δικαιούχων σχετικά με τους στόχους και τις δυνατότητες χρηματοδότησης από το ΕΠ»</w:t>
      </w:r>
      <w:r w:rsidRPr="001C0C80">
        <w:rPr>
          <w:sz w:val="22"/>
          <w:lang w:eastAsia="en-US"/>
        </w:rPr>
        <w:t xml:space="preserve"> για το 2023 σε 15, με βάση το επικοινωνιακό σχέδιο δράσης του ΕΠ ΜΔΤ, που υλοποιήθηκε από την ΕΥΔ με ίδιους πόρους.</w:t>
      </w:r>
    </w:p>
    <w:p w14:paraId="35011E1A" w14:textId="73FFF938" w:rsidR="001C0C80" w:rsidRPr="0029055C" w:rsidRDefault="001C0C80" w:rsidP="001C0C80">
      <w:pPr>
        <w:spacing w:line="300" w:lineRule="atLeast"/>
        <w:rPr>
          <w:rFonts w:cs="Arial"/>
          <w:color w:val="000000"/>
          <w:sz w:val="22"/>
        </w:rPr>
      </w:pPr>
      <w:r w:rsidRPr="0029055C">
        <w:rPr>
          <w:rFonts w:cs="Arial"/>
          <w:color w:val="000000"/>
          <w:sz w:val="22"/>
        </w:rPr>
        <w:t>Η νέα στοχοθεσία του Θεματικού Άξονα IV παρατίθεται στον ακόλουθο Πίνακα, στον οποίο:</w:t>
      </w:r>
    </w:p>
    <w:p w14:paraId="3DF8656D" w14:textId="77777777" w:rsidR="001C0C80" w:rsidRPr="0029055C" w:rsidRDefault="001C0C80" w:rsidP="001C0C80">
      <w:pPr>
        <w:pStyle w:val="ListParagraph"/>
        <w:numPr>
          <w:ilvl w:val="0"/>
          <w:numId w:val="21"/>
        </w:numPr>
        <w:spacing w:line="300" w:lineRule="atLeast"/>
        <w:rPr>
          <w:rFonts w:cs="Arial"/>
          <w:color w:val="000000"/>
          <w:sz w:val="22"/>
        </w:rPr>
      </w:pPr>
      <w:r w:rsidRPr="0029055C">
        <w:rPr>
          <w:rFonts w:cs="Arial"/>
          <w:color w:val="000000"/>
          <w:sz w:val="22"/>
        </w:rPr>
        <w:t>Οι προηγούμενες τιμές των δεικτών, εφόσον υπάρχει τροποποίηση, παρατίθενται σε παρένθεση.</w:t>
      </w:r>
    </w:p>
    <w:p w14:paraId="7D57E59A" w14:textId="77777777" w:rsidR="001C0C80" w:rsidRPr="0029055C" w:rsidRDefault="001C0C80" w:rsidP="001C0C80">
      <w:pPr>
        <w:pStyle w:val="ListParagraph"/>
        <w:numPr>
          <w:ilvl w:val="0"/>
          <w:numId w:val="21"/>
        </w:numPr>
        <w:spacing w:line="300" w:lineRule="atLeast"/>
        <w:rPr>
          <w:rFonts w:cs="Arial"/>
          <w:color w:val="000000"/>
          <w:sz w:val="22"/>
        </w:rPr>
      </w:pPr>
      <w:r w:rsidRPr="0029055C">
        <w:rPr>
          <w:rFonts w:cs="Arial"/>
          <w:color w:val="000000"/>
          <w:sz w:val="22"/>
        </w:rPr>
        <w:t xml:space="preserve">Οι δείκτες που αφαιρούνται από το σύστημα δεικτών του ΘΑ σημειώνονται με </w:t>
      </w:r>
      <w:r w:rsidRPr="0029055C">
        <w:rPr>
          <w:rFonts w:cs="Arial"/>
          <w:color w:val="C00000"/>
          <w:sz w:val="22"/>
        </w:rPr>
        <w:t>κόκκινη γραμματοσειρά</w:t>
      </w:r>
      <w:r w:rsidRPr="0029055C">
        <w:rPr>
          <w:rFonts w:cs="Arial"/>
          <w:color w:val="000000"/>
          <w:sz w:val="22"/>
        </w:rPr>
        <w:t>.</w:t>
      </w:r>
    </w:p>
    <w:p w14:paraId="6CE99B1B" w14:textId="77777777" w:rsidR="00E1580B" w:rsidRPr="0029055C" w:rsidRDefault="00E1580B" w:rsidP="00E1580B">
      <w:pPr>
        <w:pStyle w:val="Caption"/>
        <w:spacing w:before="240" w:after="120" w:line="280" w:lineRule="atLeast"/>
        <w:rPr>
          <w:b w:val="0"/>
          <w:sz w:val="22"/>
          <w:szCs w:val="22"/>
        </w:rPr>
      </w:pPr>
      <w:r w:rsidRPr="0029055C">
        <w:rPr>
          <w:sz w:val="22"/>
          <w:szCs w:val="22"/>
        </w:rPr>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7</w:t>
      </w:r>
      <w:r w:rsidRPr="0029055C">
        <w:rPr>
          <w:sz w:val="22"/>
          <w:szCs w:val="22"/>
        </w:rPr>
        <w:fldChar w:fldCharType="end"/>
      </w:r>
      <w:r w:rsidRPr="0029055C">
        <w:rPr>
          <w:b w:val="0"/>
          <w:sz w:val="22"/>
          <w:szCs w:val="22"/>
        </w:rPr>
        <w:t xml:space="preserve">. Δείκτες Θεματικού Άξονα </w:t>
      </w:r>
      <w:r w:rsidR="00AC462E" w:rsidRPr="0029055C">
        <w:rPr>
          <w:b w:val="0"/>
          <w:sz w:val="22"/>
          <w:szCs w:val="22"/>
        </w:rPr>
        <w:t>IV</w:t>
      </w:r>
      <w:r w:rsidRPr="0029055C">
        <w:rPr>
          <w:b w:val="0"/>
          <w:sz w:val="22"/>
          <w:szCs w:val="22"/>
        </w:rPr>
        <w:t xml:space="preserve"> </w:t>
      </w:r>
    </w:p>
    <w:tbl>
      <w:tblPr>
        <w:tblStyle w:val="GridTable6Colorful-Accent5"/>
        <w:tblW w:w="5000" w:type="pct"/>
        <w:jc w:val="center"/>
        <w:tblLayout w:type="fixed"/>
        <w:tblCellMar>
          <w:left w:w="28" w:type="dxa"/>
          <w:right w:w="28" w:type="dxa"/>
        </w:tblCellMar>
        <w:tblLook w:val="06A0" w:firstRow="1" w:lastRow="0" w:firstColumn="1" w:lastColumn="0" w:noHBand="1" w:noVBand="1"/>
      </w:tblPr>
      <w:tblGrid>
        <w:gridCol w:w="7650"/>
        <w:gridCol w:w="1410"/>
      </w:tblGrid>
      <w:tr w:rsidR="004047C6" w:rsidRPr="0029055C" w14:paraId="5B21ABC0" w14:textId="77777777" w:rsidTr="004047C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222" w:type="pct"/>
            <w:tcBorders>
              <w:bottom w:val="thickThinSmallGap" w:sz="24" w:space="0" w:color="92CDDC" w:themeColor="accent5" w:themeTint="99"/>
            </w:tcBorders>
            <w:noWrap/>
            <w:vAlign w:val="center"/>
            <w:hideMark/>
          </w:tcPr>
          <w:p w14:paraId="58F050F8" w14:textId="77777777" w:rsidR="004047C6" w:rsidRPr="0029055C" w:rsidRDefault="004047C6" w:rsidP="004047C6">
            <w:pPr>
              <w:keepNext/>
              <w:spacing w:line="240" w:lineRule="auto"/>
              <w:jc w:val="center"/>
              <w:rPr>
                <w:rFonts w:asciiTheme="minorHAnsi" w:hAnsiTheme="minorHAnsi" w:cstheme="minorHAnsi"/>
                <w:sz w:val="18"/>
                <w:szCs w:val="20"/>
              </w:rPr>
            </w:pPr>
            <w:r w:rsidRPr="0029055C">
              <w:rPr>
                <w:rFonts w:asciiTheme="minorHAnsi" w:hAnsiTheme="minorHAnsi" w:cstheme="minorHAnsi"/>
                <w:sz w:val="18"/>
                <w:szCs w:val="20"/>
              </w:rPr>
              <w:t>Δείκτης</w:t>
            </w:r>
          </w:p>
        </w:tc>
        <w:tc>
          <w:tcPr>
            <w:tcW w:w="778" w:type="pct"/>
            <w:tcBorders>
              <w:bottom w:val="thickThinSmallGap" w:sz="24" w:space="0" w:color="92CDDC" w:themeColor="accent5" w:themeTint="99"/>
            </w:tcBorders>
            <w:vAlign w:val="center"/>
          </w:tcPr>
          <w:p w14:paraId="165F252B" w14:textId="77777777" w:rsidR="004047C6" w:rsidRPr="0029055C" w:rsidRDefault="004047C6" w:rsidP="004047C6">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2023</w:t>
            </w:r>
          </w:p>
        </w:tc>
      </w:tr>
      <w:tr w:rsidR="00E1580B" w:rsidRPr="0029055C" w14:paraId="262865E8" w14:textId="77777777" w:rsidTr="004047C6">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4A9C4"/>
            <w:noWrap/>
            <w:vAlign w:val="center"/>
          </w:tcPr>
          <w:p w14:paraId="35C6C961" w14:textId="77777777" w:rsidR="00E1580B" w:rsidRPr="0029055C" w:rsidRDefault="00E1580B" w:rsidP="004047C6">
            <w:pPr>
              <w:keepNext/>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color w:val="FFFFFF" w:themeColor="background1"/>
                <w:sz w:val="18"/>
                <w:szCs w:val="20"/>
              </w:rPr>
              <w:t>ΔΕΙΚΤΕΣ ΕΚΡΟΗΣ</w:t>
            </w:r>
          </w:p>
        </w:tc>
      </w:tr>
      <w:tr w:rsidR="004047C6" w:rsidRPr="0029055C" w14:paraId="7F1DCE1B" w14:textId="77777777" w:rsidTr="004047C6">
        <w:trPr>
          <w:jc w:val="center"/>
        </w:trPr>
        <w:tc>
          <w:tcPr>
            <w:cnfStyle w:val="001000000000" w:firstRow="0" w:lastRow="0" w:firstColumn="1" w:lastColumn="0" w:oddVBand="0" w:evenVBand="0" w:oddHBand="0" w:evenHBand="0" w:firstRowFirstColumn="0" w:firstRowLastColumn="0" w:lastRowFirstColumn="0" w:lastRowLastColumn="0"/>
            <w:tcW w:w="4222" w:type="pct"/>
            <w:shd w:val="clear" w:color="auto" w:fill="auto"/>
            <w:noWrap/>
          </w:tcPr>
          <w:p w14:paraId="76DA3CAF" w14:textId="77777777" w:rsidR="004047C6" w:rsidRPr="0029055C" w:rsidRDefault="004047C6" w:rsidP="004047C6">
            <w:pPr>
              <w:spacing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T4641. </w:t>
            </w:r>
            <w:r w:rsidRPr="0029055C">
              <w:rPr>
                <w:rFonts w:asciiTheme="minorHAnsi" w:hAnsiTheme="minorHAnsi" w:cstheme="minorHAnsi"/>
                <w:b w:val="0"/>
                <w:sz w:val="18"/>
                <w:szCs w:val="20"/>
              </w:rPr>
              <w:t>Αριθμός έργων για την βελτίωση των συστημάτων και των διαδικασιών διοίκησης και εφαρμογής του ΕΠ</w:t>
            </w:r>
          </w:p>
        </w:tc>
        <w:tc>
          <w:tcPr>
            <w:tcW w:w="778" w:type="pct"/>
            <w:vAlign w:val="center"/>
          </w:tcPr>
          <w:p w14:paraId="2D5709C0" w14:textId="77777777" w:rsidR="004047C6" w:rsidRPr="0029055C" w:rsidRDefault="004047C6" w:rsidP="004047C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b/>
                <w:sz w:val="18"/>
                <w:szCs w:val="20"/>
              </w:rPr>
              <w:t xml:space="preserve">10 </w:t>
            </w:r>
          </w:p>
        </w:tc>
      </w:tr>
      <w:tr w:rsidR="004047C6" w:rsidRPr="0029055C" w14:paraId="4B656D76" w14:textId="77777777" w:rsidTr="004047C6">
        <w:trPr>
          <w:jc w:val="center"/>
        </w:trPr>
        <w:tc>
          <w:tcPr>
            <w:cnfStyle w:val="001000000000" w:firstRow="0" w:lastRow="0" w:firstColumn="1" w:lastColumn="0" w:oddVBand="0" w:evenVBand="0" w:oddHBand="0" w:evenHBand="0" w:firstRowFirstColumn="0" w:firstRowLastColumn="0" w:lastRowFirstColumn="0" w:lastRowLastColumn="0"/>
            <w:tcW w:w="4222" w:type="pct"/>
            <w:shd w:val="clear" w:color="auto" w:fill="auto"/>
            <w:noWrap/>
          </w:tcPr>
          <w:p w14:paraId="3578ED53" w14:textId="77777777" w:rsidR="004047C6" w:rsidRPr="0029055C" w:rsidRDefault="004047C6" w:rsidP="004047C6">
            <w:pPr>
              <w:spacing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T4642. </w:t>
            </w:r>
            <w:r w:rsidRPr="0029055C">
              <w:rPr>
                <w:rFonts w:asciiTheme="minorHAnsi" w:hAnsiTheme="minorHAnsi" w:cstheme="minorHAnsi"/>
                <w:b w:val="0"/>
                <w:sz w:val="18"/>
                <w:szCs w:val="20"/>
              </w:rPr>
              <w:t>Αριθμός ελέγχων και επιθεωρήσεων σε πράξεις του ΕΠ</w:t>
            </w:r>
          </w:p>
        </w:tc>
        <w:tc>
          <w:tcPr>
            <w:tcW w:w="778" w:type="pct"/>
            <w:vAlign w:val="center"/>
          </w:tcPr>
          <w:p w14:paraId="7B356B61" w14:textId="77777777" w:rsidR="004047C6" w:rsidRPr="0029055C" w:rsidRDefault="004047C6" w:rsidP="004047C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80</w:t>
            </w:r>
          </w:p>
        </w:tc>
      </w:tr>
      <w:tr w:rsidR="004047C6" w:rsidRPr="0029055C" w14:paraId="23695F2D" w14:textId="77777777" w:rsidTr="004047C6">
        <w:trPr>
          <w:jc w:val="center"/>
        </w:trPr>
        <w:tc>
          <w:tcPr>
            <w:cnfStyle w:val="001000000000" w:firstRow="0" w:lastRow="0" w:firstColumn="1" w:lastColumn="0" w:oddVBand="0" w:evenVBand="0" w:oddHBand="0" w:evenHBand="0" w:firstRowFirstColumn="0" w:firstRowLastColumn="0" w:lastRowFirstColumn="0" w:lastRowLastColumn="0"/>
            <w:tcW w:w="4222" w:type="pct"/>
            <w:shd w:val="clear" w:color="auto" w:fill="auto"/>
            <w:noWrap/>
          </w:tcPr>
          <w:p w14:paraId="0D252036" w14:textId="77777777" w:rsidR="004047C6" w:rsidRPr="0029055C" w:rsidRDefault="004047C6" w:rsidP="004047C6">
            <w:pPr>
              <w:spacing w:line="240" w:lineRule="auto"/>
              <w:jc w:val="left"/>
              <w:rPr>
                <w:rFonts w:asciiTheme="minorHAnsi" w:hAnsiTheme="minorHAnsi" w:cstheme="minorHAnsi"/>
                <w:color w:val="C00000"/>
                <w:sz w:val="18"/>
                <w:szCs w:val="20"/>
              </w:rPr>
            </w:pPr>
            <w:r w:rsidRPr="0029055C">
              <w:rPr>
                <w:rFonts w:asciiTheme="minorHAnsi" w:hAnsiTheme="minorHAnsi" w:cstheme="minorHAnsi"/>
                <w:color w:val="C00000"/>
                <w:sz w:val="18"/>
                <w:szCs w:val="20"/>
              </w:rPr>
              <w:t xml:space="preserve">T4643. </w:t>
            </w:r>
            <w:r w:rsidRPr="0029055C">
              <w:rPr>
                <w:rFonts w:asciiTheme="minorHAnsi" w:hAnsiTheme="minorHAnsi" w:cstheme="minorHAnsi"/>
                <w:b w:val="0"/>
                <w:color w:val="C00000"/>
                <w:sz w:val="18"/>
                <w:szCs w:val="20"/>
              </w:rPr>
              <w:t>Αριθμός Επικοινωνιακών Σχεδίων Δράσης</w:t>
            </w:r>
          </w:p>
        </w:tc>
        <w:tc>
          <w:tcPr>
            <w:tcW w:w="778" w:type="pct"/>
            <w:vAlign w:val="center"/>
          </w:tcPr>
          <w:p w14:paraId="64517103" w14:textId="77777777" w:rsidR="004047C6" w:rsidRPr="0029055C" w:rsidRDefault="004047C6" w:rsidP="004047C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C00000"/>
                <w:sz w:val="18"/>
                <w:szCs w:val="20"/>
              </w:rPr>
            </w:pPr>
            <w:r w:rsidRPr="0029055C">
              <w:rPr>
                <w:rFonts w:asciiTheme="minorHAnsi" w:hAnsiTheme="minorHAnsi" w:cstheme="minorHAnsi"/>
                <w:b/>
                <w:color w:val="C00000"/>
                <w:sz w:val="18"/>
                <w:szCs w:val="20"/>
              </w:rPr>
              <w:t>1</w:t>
            </w:r>
          </w:p>
        </w:tc>
      </w:tr>
      <w:tr w:rsidR="004047C6" w:rsidRPr="0029055C" w14:paraId="0385DB72" w14:textId="77777777" w:rsidTr="004047C6">
        <w:trPr>
          <w:jc w:val="center"/>
        </w:trPr>
        <w:tc>
          <w:tcPr>
            <w:cnfStyle w:val="001000000000" w:firstRow="0" w:lastRow="0" w:firstColumn="1" w:lastColumn="0" w:oddVBand="0" w:evenVBand="0" w:oddHBand="0" w:evenHBand="0" w:firstRowFirstColumn="0" w:firstRowLastColumn="0" w:lastRowFirstColumn="0" w:lastRowLastColumn="0"/>
            <w:tcW w:w="4222" w:type="pct"/>
            <w:shd w:val="clear" w:color="auto" w:fill="auto"/>
            <w:noWrap/>
            <w:vAlign w:val="center"/>
          </w:tcPr>
          <w:p w14:paraId="1C750815" w14:textId="77777777" w:rsidR="004047C6" w:rsidRPr="0029055C" w:rsidRDefault="004047C6" w:rsidP="004047C6">
            <w:pPr>
              <w:spacing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T4644. </w:t>
            </w:r>
            <w:r w:rsidRPr="0029055C">
              <w:rPr>
                <w:rFonts w:asciiTheme="minorHAnsi" w:hAnsiTheme="minorHAnsi" w:cstheme="minorHAnsi"/>
                <w:b w:val="0"/>
                <w:sz w:val="18"/>
                <w:szCs w:val="20"/>
              </w:rPr>
              <w:t>Δράσεις ενημέρωσης των δυνητικών δικαιούχων σχετικά με τους στόχους και τις δυνατότητες χρηματοδότησης από το ΕΠ</w:t>
            </w:r>
          </w:p>
        </w:tc>
        <w:tc>
          <w:tcPr>
            <w:tcW w:w="778" w:type="pct"/>
            <w:vAlign w:val="center"/>
          </w:tcPr>
          <w:p w14:paraId="50C3D316" w14:textId="7369F16F" w:rsidR="004047C6" w:rsidRPr="001C0C80" w:rsidRDefault="00A50CD1" w:rsidP="001C0C8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1C0C80">
              <w:rPr>
                <w:rFonts w:asciiTheme="minorHAnsi" w:hAnsiTheme="minorHAnsi" w:cstheme="minorHAnsi"/>
                <w:b/>
                <w:sz w:val="18"/>
                <w:szCs w:val="20"/>
              </w:rPr>
              <w:t>15</w:t>
            </w:r>
            <w:r w:rsidR="001C0C80" w:rsidRPr="001C0C80">
              <w:rPr>
                <w:rFonts w:asciiTheme="minorHAnsi" w:hAnsiTheme="minorHAnsi" w:cstheme="minorHAnsi"/>
                <w:b/>
                <w:sz w:val="18"/>
                <w:szCs w:val="20"/>
              </w:rPr>
              <w:t xml:space="preserve"> </w:t>
            </w:r>
            <w:r w:rsidR="001C0C80" w:rsidRPr="001C0C80">
              <w:rPr>
                <w:rFonts w:asciiTheme="minorHAnsi" w:hAnsiTheme="minorHAnsi" w:cstheme="minorHAnsi"/>
                <w:sz w:val="18"/>
                <w:szCs w:val="20"/>
              </w:rPr>
              <w:t>( - )</w:t>
            </w:r>
          </w:p>
        </w:tc>
      </w:tr>
      <w:tr w:rsidR="004047C6" w:rsidRPr="0029055C" w14:paraId="4280BB4D" w14:textId="77777777" w:rsidTr="004047C6">
        <w:trPr>
          <w:jc w:val="center"/>
        </w:trPr>
        <w:tc>
          <w:tcPr>
            <w:cnfStyle w:val="001000000000" w:firstRow="0" w:lastRow="0" w:firstColumn="1" w:lastColumn="0" w:oddVBand="0" w:evenVBand="0" w:oddHBand="0" w:evenHBand="0" w:firstRowFirstColumn="0" w:firstRowLastColumn="0" w:lastRowFirstColumn="0" w:lastRowLastColumn="0"/>
            <w:tcW w:w="4222" w:type="pct"/>
            <w:shd w:val="clear" w:color="auto" w:fill="auto"/>
            <w:noWrap/>
          </w:tcPr>
          <w:p w14:paraId="41405FD5" w14:textId="77777777" w:rsidR="004047C6" w:rsidRPr="0029055C" w:rsidRDefault="004047C6" w:rsidP="004047C6">
            <w:pPr>
              <w:spacing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T4645. </w:t>
            </w:r>
            <w:r w:rsidRPr="0029055C">
              <w:rPr>
                <w:rFonts w:asciiTheme="minorHAnsi" w:hAnsiTheme="minorHAnsi" w:cstheme="minorHAnsi"/>
                <w:b w:val="0"/>
                <w:sz w:val="18"/>
                <w:szCs w:val="20"/>
              </w:rPr>
              <w:t>Αριθμός μελετών,  εμπειρογνωμοσυνών, ερευνών, αξιολογήσεων, έργων τεχνικής υποστήριξης</w:t>
            </w:r>
          </w:p>
        </w:tc>
        <w:tc>
          <w:tcPr>
            <w:tcW w:w="778" w:type="pct"/>
            <w:vAlign w:val="center"/>
          </w:tcPr>
          <w:p w14:paraId="5DA949CA" w14:textId="77777777" w:rsidR="004047C6" w:rsidRPr="0029055C" w:rsidRDefault="004047C6" w:rsidP="004047C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15</w:t>
            </w:r>
          </w:p>
        </w:tc>
      </w:tr>
    </w:tbl>
    <w:p w14:paraId="5F9E488B" w14:textId="77777777" w:rsidR="00B01AD7" w:rsidRPr="0029055C" w:rsidRDefault="00B01AD7" w:rsidP="00CA04DD">
      <w:pPr>
        <w:pStyle w:val="Heading4"/>
      </w:pPr>
      <w:r w:rsidRPr="0029055C">
        <w:lastRenderedPageBreak/>
        <w:t xml:space="preserve">Θεματικός Άξονας </w:t>
      </w:r>
      <w:r w:rsidR="00475924" w:rsidRPr="0029055C">
        <w:t>V</w:t>
      </w:r>
      <w:r w:rsidRPr="0029055C">
        <w:t xml:space="preserve"> «Τεχνική Υποστήριξη για την Εφαρμογή / Υλοποίηση των Δράσεων ΕΤΠΑ του Επιχειρησιακού Προγράμματος</w:t>
      </w:r>
      <w:r w:rsidR="00281C61" w:rsidRPr="0029055C">
        <w:t>»</w:t>
      </w:r>
      <w:r w:rsidRPr="0029055C">
        <w:t xml:space="preserve"> (Άξονες Προτεραιότητας 13, 14 &amp; 15)</w:t>
      </w:r>
    </w:p>
    <w:p w14:paraId="5651F8F3" w14:textId="77777777" w:rsidR="00CD69BE" w:rsidRPr="0029055C" w:rsidRDefault="00CD69BE" w:rsidP="00CD69BE">
      <w:pPr>
        <w:spacing w:line="280" w:lineRule="atLeast"/>
        <w:rPr>
          <w:sz w:val="22"/>
          <w:lang w:eastAsia="en-US"/>
        </w:rPr>
      </w:pPr>
      <w:r w:rsidRPr="0029055C">
        <w:rPr>
          <w:sz w:val="22"/>
          <w:lang w:eastAsia="en-US"/>
        </w:rPr>
        <w:t xml:space="preserve">Ο Θεματικός Άξονας </w:t>
      </w:r>
      <w:r w:rsidR="00475924" w:rsidRPr="0029055C">
        <w:rPr>
          <w:sz w:val="22"/>
          <w:lang w:eastAsia="en-US"/>
        </w:rPr>
        <w:t>V</w:t>
      </w:r>
      <w:r w:rsidRPr="0029055C">
        <w:rPr>
          <w:sz w:val="22"/>
          <w:lang w:eastAsia="en-US"/>
        </w:rPr>
        <w:t xml:space="preserve"> του ΕΠ ΜΔΤ αφορά στην Τεχνική Βοήθεια του Προγράμματος για την εφαρμογή των δράσεων ΕΤΠΑ που υλοποιούνται στο πλαίσιο του Θεματικού Άξονα </w:t>
      </w:r>
      <w:r w:rsidR="00475924" w:rsidRPr="0029055C">
        <w:rPr>
          <w:sz w:val="22"/>
          <w:lang w:eastAsia="en-US"/>
        </w:rPr>
        <w:t>II</w:t>
      </w:r>
      <w:r w:rsidRPr="0029055C">
        <w:rPr>
          <w:sz w:val="22"/>
          <w:lang w:eastAsia="en-US"/>
        </w:rPr>
        <w:t xml:space="preserve"> και περιλαμβάνει το σύνολο των ενεργειών που αφορούν στην τεχνική υποστήριξη (προετοιμασία, διαχείριση, υλοποίηση, παρακολούθηση, έλεγχο, αξιολόγηση, ενημέρωσης και επικοινωνίας κ.α</w:t>
      </w:r>
      <w:r w:rsidR="002A3E1F" w:rsidRPr="0029055C">
        <w:rPr>
          <w:sz w:val="22"/>
          <w:lang w:eastAsia="en-US"/>
        </w:rPr>
        <w:t>.</w:t>
      </w:r>
      <w:r w:rsidRPr="0029055C">
        <w:rPr>
          <w:sz w:val="22"/>
          <w:lang w:eastAsia="en-US"/>
        </w:rPr>
        <w:t>) για την άρτια και αποτελεσματική υλοποίηση των παρεμβάσεων ΕΤΠΑ του Επιχειρησιακού Προγράμματος, την παροχή οδηγιών και υποστήριξης προς τους εμπλεκόμενους φορείς και την υποστήριξη και υποβοήθηση όλων των διοικητικών δομών που συμμετέχουν στην εφαρμογή του Προγράμματος.</w:t>
      </w:r>
    </w:p>
    <w:p w14:paraId="21C8772B" w14:textId="77777777" w:rsidR="00CD69BE" w:rsidRPr="0029055C" w:rsidRDefault="00CD69BE" w:rsidP="00CD69BE">
      <w:pPr>
        <w:spacing w:line="280" w:lineRule="atLeast"/>
        <w:rPr>
          <w:rFonts w:cs="Arial"/>
          <w:color w:val="000000"/>
          <w:sz w:val="22"/>
        </w:rPr>
      </w:pPr>
      <w:r w:rsidRPr="0029055C">
        <w:rPr>
          <w:rFonts w:cs="Arial"/>
          <w:color w:val="000000"/>
          <w:sz w:val="22"/>
        </w:rPr>
        <w:t xml:space="preserve">Στο πλαίσιο της 2ης Αναθεώρησης του ΕΠ ΜΔΤ, δεν πραγματοποιούνται τροποποιήσεις αναφορικά με τους διαθέσιμους πόρους του Προγράμματος στο Θεματικό Άξονα </w:t>
      </w:r>
      <w:r w:rsidR="00475924" w:rsidRPr="0029055C">
        <w:rPr>
          <w:rFonts w:cs="Arial"/>
          <w:color w:val="000000"/>
          <w:sz w:val="22"/>
        </w:rPr>
        <w:t>V</w:t>
      </w:r>
      <w:r w:rsidRPr="0029055C">
        <w:rPr>
          <w:rFonts w:cs="Arial"/>
          <w:color w:val="000000"/>
          <w:sz w:val="22"/>
        </w:rPr>
        <w:t>, ούτε τροποποίηση της χρηματοδοτικής κατανομής στους επιμέρους Ειδικούς Στόχους και Κατηγορίες Δράσης.</w:t>
      </w:r>
    </w:p>
    <w:p w14:paraId="22906DE3" w14:textId="77777777" w:rsidR="00F87F86" w:rsidRPr="0029055C" w:rsidRDefault="00F87F86" w:rsidP="00F87F86">
      <w:pPr>
        <w:spacing w:line="300" w:lineRule="atLeast"/>
        <w:rPr>
          <w:rFonts w:cs="Arial"/>
          <w:color w:val="000000"/>
          <w:sz w:val="22"/>
        </w:rPr>
      </w:pPr>
      <w:r w:rsidRPr="0029055C">
        <w:rPr>
          <w:rFonts w:cs="Arial"/>
          <w:color w:val="000000"/>
          <w:sz w:val="22"/>
        </w:rPr>
        <w:t xml:space="preserve">Αναφορικά με το σύστημα δεικτών του ΘΑ </w:t>
      </w:r>
      <w:r w:rsidR="00475924" w:rsidRPr="0029055C">
        <w:rPr>
          <w:rFonts w:cs="Arial"/>
          <w:color w:val="000000"/>
          <w:sz w:val="22"/>
        </w:rPr>
        <w:t>V</w:t>
      </w:r>
      <w:r w:rsidRPr="0029055C">
        <w:rPr>
          <w:rFonts w:cs="Arial"/>
          <w:color w:val="000000"/>
          <w:sz w:val="22"/>
        </w:rPr>
        <w:t xml:space="preserve">  προτείνεται η ακόλουθη τροποποίηση:</w:t>
      </w:r>
    </w:p>
    <w:p w14:paraId="19D458F6" w14:textId="77777777" w:rsidR="00F87F86" w:rsidRPr="0029055C" w:rsidRDefault="00F87F86" w:rsidP="00F87F86">
      <w:pPr>
        <w:pStyle w:val="Heading5"/>
      </w:pPr>
      <w:r w:rsidRPr="0029055C">
        <w:t>Δείκτες Εκροής</w:t>
      </w:r>
    </w:p>
    <w:p w14:paraId="02659164" w14:textId="77777777" w:rsidR="00F87F86" w:rsidRPr="0029055C" w:rsidRDefault="00F87F86" w:rsidP="00F87F86">
      <w:pPr>
        <w:pStyle w:val="Heading6"/>
        <w:rPr>
          <w:b/>
        </w:rPr>
      </w:pPr>
      <w:r w:rsidRPr="0029055C">
        <w:rPr>
          <w:b/>
        </w:rPr>
        <w:t xml:space="preserve">Τ4648: </w:t>
      </w:r>
      <w:r w:rsidRPr="0029055C">
        <w:t>Αριθμός Επικοινωνιακών Σχεδίων Δράσης</w:t>
      </w:r>
    </w:p>
    <w:p w14:paraId="0D874967" w14:textId="77777777" w:rsidR="00F87F86" w:rsidRPr="0029055C" w:rsidRDefault="00F87F86" w:rsidP="00F87F86">
      <w:pPr>
        <w:spacing w:line="280" w:lineRule="atLeast"/>
        <w:rPr>
          <w:sz w:val="22"/>
          <w:lang w:eastAsia="en-US"/>
        </w:rPr>
      </w:pPr>
      <w:r w:rsidRPr="0029055C">
        <w:rPr>
          <w:sz w:val="22"/>
          <w:lang w:eastAsia="en-US"/>
        </w:rPr>
        <w:t xml:space="preserve">Στο πλαίσιο της 2ης Αναθεώρησης του Προγράμματος προτείνεται η αφαίρεση του δείκτη από το σύστημα δεικτών του Θεματικού Άξονα </w:t>
      </w:r>
      <w:r w:rsidR="00475924" w:rsidRPr="0029055C">
        <w:rPr>
          <w:sz w:val="22"/>
          <w:lang w:eastAsia="en-US"/>
        </w:rPr>
        <w:t>V</w:t>
      </w:r>
      <w:r w:rsidRPr="0029055C">
        <w:rPr>
          <w:sz w:val="22"/>
          <w:lang w:eastAsia="en-US"/>
        </w:rPr>
        <w:t>, δεδομένου ότι το επικοινωνιακό σχέδιο του ΕΠ ΜΔΤ εκπονήθηκε από την ΕΥΔ με ίδιους πόρους.</w:t>
      </w:r>
    </w:p>
    <w:p w14:paraId="02FBB0E2" w14:textId="3A0925C6" w:rsidR="001C0C80" w:rsidRPr="0029055C" w:rsidRDefault="001C0C80" w:rsidP="001C0C80">
      <w:pPr>
        <w:spacing w:line="280" w:lineRule="atLeast"/>
        <w:rPr>
          <w:sz w:val="22"/>
          <w:lang w:eastAsia="en-US"/>
        </w:rPr>
      </w:pPr>
      <w:r w:rsidRPr="001C0C80">
        <w:rPr>
          <w:sz w:val="22"/>
          <w:lang w:eastAsia="en-US"/>
        </w:rPr>
        <w:t xml:space="preserve">Επιπρόσθετα, στο πλαίσιο της 2ης Αναθεώρησης του Προγράμματος προσδιορίσθηκε η τιμή στόχος του Δείκτη </w:t>
      </w:r>
      <w:r>
        <w:rPr>
          <w:i/>
          <w:sz w:val="22"/>
          <w:lang w:eastAsia="en-US"/>
        </w:rPr>
        <w:t>T4649</w:t>
      </w:r>
      <w:r w:rsidRPr="001C0C80">
        <w:rPr>
          <w:i/>
          <w:sz w:val="22"/>
          <w:lang w:eastAsia="en-US"/>
        </w:rPr>
        <w:t xml:space="preserve"> «Δράσεις ενημέρωσης των δυνητικών δικαιούχων σχετικά με τους στόχους και τις δυνατότητες χρηματοδότησης από το ΕΠ»</w:t>
      </w:r>
      <w:r w:rsidRPr="001C0C80">
        <w:rPr>
          <w:sz w:val="22"/>
          <w:lang w:eastAsia="en-US"/>
        </w:rPr>
        <w:t xml:space="preserve"> για το 2023 σε 5, με βάση το επικοινωνιακό σχέδιο δράσης του ΕΠ ΜΔΤ, που υλοποιήθηκε από την ΕΥΔ με ίδιους πόρους.</w:t>
      </w:r>
    </w:p>
    <w:p w14:paraId="5F34A483" w14:textId="0BFADDBF" w:rsidR="001C0C80" w:rsidRPr="0029055C" w:rsidRDefault="001C0C80" w:rsidP="001C0C80">
      <w:pPr>
        <w:spacing w:line="300" w:lineRule="atLeast"/>
        <w:rPr>
          <w:rFonts w:cs="Arial"/>
          <w:color w:val="000000"/>
          <w:sz w:val="22"/>
        </w:rPr>
      </w:pPr>
      <w:r w:rsidRPr="0029055C">
        <w:rPr>
          <w:rFonts w:cs="Arial"/>
          <w:color w:val="000000"/>
          <w:sz w:val="22"/>
        </w:rPr>
        <w:t>Η νέα στοχοθεσία του Θεματικού Άξονα V παρατίθεται στον ακόλουθο Πίνακα, στον οποίο:</w:t>
      </w:r>
    </w:p>
    <w:p w14:paraId="01982AD9" w14:textId="77777777" w:rsidR="001C0C80" w:rsidRPr="0029055C" w:rsidRDefault="001C0C80" w:rsidP="001C0C80">
      <w:pPr>
        <w:pStyle w:val="ListParagraph"/>
        <w:numPr>
          <w:ilvl w:val="0"/>
          <w:numId w:val="21"/>
        </w:numPr>
        <w:spacing w:line="300" w:lineRule="atLeast"/>
        <w:rPr>
          <w:rFonts w:cs="Arial"/>
          <w:color w:val="000000"/>
          <w:sz w:val="22"/>
        </w:rPr>
      </w:pPr>
      <w:r w:rsidRPr="0029055C">
        <w:rPr>
          <w:rFonts w:cs="Arial"/>
          <w:color w:val="000000"/>
          <w:sz w:val="22"/>
        </w:rPr>
        <w:t>Οι προηγούμενες τιμές των δεικτών, εφόσον υπάρχει τροποποίηση, παρατίθενται σε παρένθεση.</w:t>
      </w:r>
    </w:p>
    <w:p w14:paraId="45B0754A" w14:textId="77777777" w:rsidR="001C0C80" w:rsidRPr="0029055C" w:rsidRDefault="001C0C80" w:rsidP="001C0C80">
      <w:pPr>
        <w:pStyle w:val="ListParagraph"/>
        <w:numPr>
          <w:ilvl w:val="0"/>
          <w:numId w:val="21"/>
        </w:numPr>
        <w:spacing w:line="300" w:lineRule="atLeast"/>
        <w:rPr>
          <w:rFonts w:cs="Arial"/>
          <w:color w:val="000000"/>
          <w:sz w:val="22"/>
        </w:rPr>
      </w:pPr>
      <w:r w:rsidRPr="0029055C">
        <w:rPr>
          <w:rFonts w:cs="Arial"/>
          <w:color w:val="000000"/>
          <w:sz w:val="22"/>
        </w:rPr>
        <w:t xml:space="preserve">Οι δείκτες που αφαιρούνται από το σύστημα δεικτών του ΘΑ σημειώνονται με </w:t>
      </w:r>
      <w:r w:rsidRPr="0029055C">
        <w:rPr>
          <w:rFonts w:cs="Arial"/>
          <w:color w:val="C00000"/>
          <w:sz w:val="22"/>
        </w:rPr>
        <w:t>κόκκινη γραμματοσειρά</w:t>
      </w:r>
      <w:r w:rsidRPr="0029055C">
        <w:rPr>
          <w:rFonts w:cs="Arial"/>
          <w:color w:val="000000"/>
          <w:sz w:val="22"/>
        </w:rPr>
        <w:t>.</w:t>
      </w:r>
    </w:p>
    <w:p w14:paraId="7CA50CBD" w14:textId="77777777" w:rsidR="004047C6" w:rsidRPr="0029055C" w:rsidRDefault="004047C6" w:rsidP="004047C6">
      <w:pPr>
        <w:pStyle w:val="Caption"/>
        <w:spacing w:before="240" w:after="120" w:line="280" w:lineRule="atLeast"/>
        <w:rPr>
          <w:b w:val="0"/>
          <w:sz w:val="22"/>
          <w:szCs w:val="22"/>
        </w:rPr>
      </w:pPr>
      <w:r w:rsidRPr="0029055C">
        <w:rPr>
          <w:sz w:val="22"/>
          <w:szCs w:val="22"/>
        </w:rPr>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8</w:t>
      </w:r>
      <w:r w:rsidRPr="0029055C">
        <w:rPr>
          <w:sz w:val="22"/>
          <w:szCs w:val="22"/>
        </w:rPr>
        <w:fldChar w:fldCharType="end"/>
      </w:r>
      <w:r w:rsidRPr="0029055C">
        <w:rPr>
          <w:b w:val="0"/>
          <w:sz w:val="22"/>
          <w:szCs w:val="22"/>
        </w:rPr>
        <w:t xml:space="preserve">. Δείκτες Θεματικού Άξονα </w:t>
      </w:r>
      <w:r w:rsidR="00AC462E" w:rsidRPr="0029055C">
        <w:rPr>
          <w:b w:val="0"/>
          <w:sz w:val="22"/>
          <w:szCs w:val="22"/>
        </w:rPr>
        <w:t>V</w:t>
      </w:r>
      <w:r w:rsidRPr="0029055C">
        <w:rPr>
          <w:b w:val="0"/>
          <w:sz w:val="22"/>
          <w:szCs w:val="22"/>
        </w:rPr>
        <w:t xml:space="preserve"> </w:t>
      </w:r>
    </w:p>
    <w:tbl>
      <w:tblPr>
        <w:tblStyle w:val="GridTable6Colorful-Accent5"/>
        <w:tblW w:w="5000" w:type="pct"/>
        <w:jc w:val="center"/>
        <w:tblLayout w:type="fixed"/>
        <w:tblCellMar>
          <w:left w:w="28" w:type="dxa"/>
          <w:right w:w="28" w:type="dxa"/>
        </w:tblCellMar>
        <w:tblLook w:val="06A0" w:firstRow="1" w:lastRow="0" w:firstColumn="1" w:lastColumn="0" w:noHBand="1" w:noVBand="1"/>
      </w:tblPr>
      <w:tblGrid>
        <w:gridCol w:w="7650"/>
        <w:gridCol w:w="1410"/>
      </w:tblGrid>
      <w:tr w:rsidR="004047C6" w:rsidRPr="0029055C" w14:paraId="027A653E" w14:textId="77777777" w:rsidTr="008A638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222" w:type="pct"/>
            <w:tcBorders>
              <w:bottom w:val="thickThinSmallGap" w:sz="24" w:space="0" w:color="92CDDC" w:themeColor="accent5" w:themeTint="99"/>
            </w:tcBorders>
            <w:noWrap/>
            <w:vAlign w:val="center"/>
            <w:hideMark/>
          </w:tcPr>
          <w:p w14:paraId="62E6A532" w14:textId="77777777" w:rsidR="004047C6" w:rsidRPr="0029055C" w:rsidRDefault="004047C6" w:rsidP="008A638E">
            <w:pPr>
              <w:keepNext/>
              <w:spacing w:line="240" w:lineRule="auto"/>
              <w:jc w:val="center"/>
              <w:rPr>
                <w:rFonts w:asciiTheme="minorHAnsi" w:hAnsiTheme="minorHAnsi" w:cstheme="minorHAnsi"/>
                <w:sz w:val="18"/>
                <w:szCs w:val="20"/>
              </w:rPr>
            </w:pPr>
            <w:r w:rsidRPr="0029055C">
              <w:rPr>
                <w:rFonts w:asciiTheme="minorHAnsi" w:hAnsiTheme="minorHAnsi" w:cstheme="minorHAnsi"/>
                <w:sz w:val="18"/>
                <w:szCs w:val="20"/>
              </w:rPr>
              <w:t>Δείκτης</w:t>
            </w:r>
          </w:p>
        </w:tc>
        <w:tc>
          <w:tcPr>
            <w:tcW w:w="778" w:type="pct"/>
            <w:tcBorders>
              <w:bottom w:val="thickThinSmallGap" w:sz="24" w:space="0" w:color="92CDDC" w:themeColor="accent5" w:themeTint="99"/>
            </w:tcBorders>
            <w:vAlign w:val="center"/>
          </w:tcPr>
          <w:p w14:paraId="455C56CA" w14:textId="77777777" w:rsidR="004047C6" w:rsidRPr="0029055C" w:rsidRDefault="004047C6" w:rsidP="008A638E">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2023</w:t>
            </w:r>
          </w:p>
        </w:tc>
      </w:tr>
      <w:tr w:rsidR="004047C6" w:rsidRPr="0029055C" w14:paraId="60B015EE" w14:textId="77777777" w:rsidTr="008A638E">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4A9C4"/>
            <w:noWrap/>
            <w:vAlign w:val="center"/>
          </w:tcPr>
          <w:p w14:paraId="2C8AB78B" w14:textId="77777777" w:rsidR="004047C6" w:rsidRPr="0029055C" w:rsidRDefault="004047C6" w:rsidP="008A638E">
            <w:pPr>
              <w:keepNext/>
              <w:spacing w:before="40" w:after="40" w:line="240" w:lineRule="auto"/>
              <w:jc w:val="left"/>
              <w:rPr>
                <w:rFonts w:asciiTheme="minorHAnsi" w:hAnsiTheme="minorHAnsi" w:cstheme="minorHAnsi"/>
                <w:b w:val="0"/>
                <w:sz w:val="18"/>
                <w:szCs w:val="20"/>
              </w:rPr>
            </w:pPr>
            <w:r w:rsidRPr="0029055C">
              <w:rPr>
                <w:rFonts w:asciiTheme="minorHAnsi" w:hAnsiTheme="minorHAnsi" w:cstheme="minorHAnsi"/>
                <w:color w:val="FFFFFF" w:themeColor="background1"/>
                <w:sz w:val="18"/>
                <w:szCs w:val="20"/>
              </w:rPr>
              <w:t>ΔΕΙΚΤΕΣ ΕΚΡΟΗΣ</w:t>
            </w:r>
          </w:p>
        </w:tc>
      </w:tr>
      <w:tr w:rsidR="004047C6" w:rsidRPr="0029055C" w14:paraId="5C071232" w14:textId="77777777" w:rsidTr="008A638E">
        <w:trPr>
          <w:jc w:val="center"/>
        </w:trPr>
        <w:tc>
          <w:tcPr>
            <w:cnfStyle w:val="001000000000" w:firstRow="0" w:lastRow="0" w:firstColumn="1" w:lastColumn="0" w:oddVBand="0" w:evenVBand="0" w:oddHBand="0" w:evenHBand="0" w:firstRowFirstColumn="0" w:firstRowLastColumn="0" w:lastRowFirstColumn="0" w:lastRowLastColumn="0"/>
            <w:tcW w:w="4222" w:type="pct"/>
            <w:shd w:val="clear" w:color="auto" w:fill="auto"/>
            <w:noWrap/>
          </w:tcPr>
          <w:p w14:paraId="5E463269" w14:textId="77777777" w:rsidR="004047C6" w:rsidRPr="0029055C" w:rsidRDefault="004047C6" w:rsidP="008A638E">
            <w:pPr>
              <w:spacing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T4646. </w:t>
            </w:r>
            <w:r w:rsidRPr="0029055C">
              <w:rPr>
                <w:rFonts w:asciiTheme="minorHAnsi" w:hAnsiTheme="minorHAnsi" w:cstheme="minorHAnsi"/>
                <w:b w:val="0"/>
                <w:sz w:val="18"/>
                <w:szCs w:val="20"/>
              </w:rPr>
              <w:t>Αριθμός έργων για την βελτίωση των συστημάτων και των διαδικασιών διοίκησης και εφαρμογής του ΕΠ</w:t>
            </w:r>
          </w:p>
        </w:tc>
        <w:tc>
          <w:tcPr>
            <w:tcW w:w="778" w:type="pct"/>
            <w:vAlign w:val="center"/>
          </w:tcPr>
          <w:p w14:paraId="4608D603" w14:textId="77777777" w:rsidR="004047C6" w:rsidRPr="0029055C" w:rsidRDefault="004047C6" w:rsidP="008A638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b/>
                <w:sz w:val="18"/>
                <w:szCs w:val="20"/>
              </w:rPr>
              <w:t>8</w:t>
            </w:r>
          </w:p>
        </w:tc>
      </w:tr>
      <w:tr w:rsidR="004047C6" w:rsidRPr="0029055C" w14:paraId="0CEEC5EC" w14:textId="77777777" w:rsidTr="008A638E">
        <w:trPr>
          <w:jc w:val="center"/>
        </w:trPr>
        <w:tc>
          <w:tcPr>
            <w:cnfStyle w:val="001000000000" w:firstRow="0" w:lastRow="0" w:firstColumn="1" w:lastColumn="0" w:oddVBand="0" w:evenVBand="0" w:oddHBand="0" w:evenHBand="0" w:firstRowFirstColumn="0" w:firstRowLastColumn="0" w:lastRowFirstColumn="0" w:lastRowLastColumn="0"/>
            <w:tcW w:w="4222" w:type="pct"/>
            <w:shd w:val="clear" w:color="auto" w:fill="auto"/>
            <w:noWrap/>
          </w:tcPr>
          <w:p w14:paraId="1651F197" w14:textId="77777777" w:rsidR="004047C6" w:rsidRPr="0029055C" w:rsidRDefault="004047C6" w:rsidP="004047C6">
            <w:pPr>
              <w:spacing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T4647. </w:t>
            </w:r>
            <w:r w:rsidRPr="0029055C">
              <w:rPr>
                <w:rFonts w:asciiTheme="minorHAnsi" w:hAnsiTheme="minorHAnsi" w:cstheme="minorHAnsi"/>
                <w:b w:val="0"/>
                <w:sz w:val="18"/>
                <w:szCs w:val="20"/>
              </w:rPr>
              <w:t>Αριθμός ελέγχων και επιθεωρήσεων σε πράξεις του ΕΠ</w:t>
            </w:r>
          </w:p>
        </w:tc>
        <w:tc>
          <w:tcPr>
            <w:tcW w:w="778" w:type="pct"/>
            <w:vAlign w:val="center"/>
          </w:tcPr>
          <w:p w14:paraId="60ADF722" w14:textId="77777777" w:rsidR="004047C6" w:rsidRPr="0029055C" w:rsidRDefault="004047C6" w:rsidP="004047C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40</w:t>
            </w:r>
          </w:p>
        </w:tc>
      </w:tr>
      <w:tr w:rsidR="004047C6" w:rsidRPr="0029055C" w14:paraId="59E74878" w14:textId="77777777" w:rsidTr="008A638E">
        <w:trPr>
          <w:jc w:val="center"/>
        </w:trPr>
        <w:tc>
          <w:tcPr>
            <w:cnfStyle w:val="001000000000" w:firstRow="0" w:lastRow="0" w:firstColumn="1" w:lastColumn="0" w:oddVBand="0" w:evenVBand="0" w:oddHBand="0" w:evenHBand="0" w:firstRowFirstColumn="0" w:firstRowLastColumn="0" w:lastRowFirstColumn="0" w:lastRowLastColumn="0"/>
            <w:tcW w:w="4222" w:type="pct"/>
            <w:shd w:val="clear" w:color="auto" w:fill="auto"/>
            <w:noWrap/>
          </w:tcPr>
          <w:p w14:paraId="3F2B97CC" w14:textId="77777777" w:rsidR="004047C6" w:rsidRPr="0029055C" w:rsidRDefault="004047C6" w:rsidP="008A638E">
            <w:pPr>
              <w:spacing w:line="240" w:lineRule="auto"/>
              <w:jc w:val="left"/>
              <w:rPr>
                <w:rFonts w:asciiTheme="minorHAnsi" w:hAnsiTheme="minorHAnsi" w:cstheme="minorHAnsi"/>
                <w:color w:val="C00000"/>
                <w:sz w:val="18"/>
                <w:szCs w:val="20"/>
              </w:rPr>
            </w:pPr>
            <w:r w:rsidRPr="0029055C">
              <w:rPr>
                <w:rFonts w:asciiTheme="minorHAnsi" w:hAnsiTheme="minorHAnsi" w:cstheme="minorHAnsi"/>
                <w:color w:val="C00000"/>
                <w:sz w:val="18"/>
                <w:szCs w:val="20"/>
              </w:rPr>
              <w:t xml:space="preserve">T4648. </w:t>
            </w:r>
            <w:r w:rsidRPr="0029055C">
              <w:rPr>
                <w:rFonts w:asciiTheme="minorHAnsi" w:hAnsiTheme="minorHAnsi" w:cstheme="minorHAnsi"/>
                <w:b w:val="0"/>
                <w:color w:val="C00000"/>
                <w:sz w:val="18"/>
                <w:szCs w:val="20"/>
              </w:rPr>
              <w:t>Αριθμός Επικοινωνιακών Σχεδίων Δράσης</w:t>
            </w:r>
          </w:p>
        </w:tc>
        <w:tc>
          <w:tcPr>
            <w:tcW w:w="778" w:type="pct"/>
            <w:vAlign w:val="center"/>
          </w:tcPr>
          <w:p w14:paraId="066B3545" w14:textId="77777777" w:rsidR="004047C6" w:rsidRPr="0029055C" w:rsidRDefault="004047C6" w:rsidP="008A638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C00000"/>
                <w:sz w:val="18"/>
                <w:szCs w:val="20"/>
              </w:rPr>
            </w:pPr>
            <w:r w:rsidRPr="0029055C">
              <w:rPr>
                <w:rFonts w:asciiTheme="minorHAnsi" w:hAnsiTheme="minorHAnsi" w:cstheme="minorHAnsi"/>
                <w:b/>
                <w:color w:val="C00000"/>
                <w:sz w:val="18"/>
                <w:szCs w:val="20"/>
              </w:rPr>
              <w:t>1</w:t>
            </w:r>
          </w:p>
        </w:tc>
      </w:tr>
      <w:tr w:rsidR="004047C6" w:rsidRPr="0029055C" w14:paraId="0B0E7501" w14:textId="77777777" w:rsidTr="008A638E">
        <w:trPr>
          <w:jc w:val="center"/>
        </w:trPr>
        <w:tc>
          <w:tcPr>
            <w:cnfStyle w:val="001000000000" w:firstRow="0" w:lastRow="0" w:firstColumn="1" w:lastColumn="0" w:oddVBand="0" w:evenVBand="0" w:oddHBand="0" w:evenHBand="0" w:firstRowFirstColumn="0" w:firstRowLastColumn="0" w:lastRowFirstColumn="0" w:lastRowLastColumn="0"/>
            <w:tcW w:w="4222" w:type="pct"/>
            <w:shd w:val="clear" w:color="auto" w:fill="auto"/>
            <w:noWrap/>
          </w:tcPr>
          <w:p w14:paraId="18D40A79" w14:textId="77777777" w:rsidR="004047C6" w:rsidRPr="0029055C" w:rsidRDefault="004047C6" w:rsidP="004047C6">
            <w:pPr>
              <w:spacing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T4649. </w:t>
            </w:r>
            <w:r w:rsidRPr="0029055C">
              <w:rPr>
                <w:rFonts w:asciiTheme="minorHAnsi" w:hAnsiTheme="minorHAnsi" w:cstheme="minorHAnsi"/>
                <w:b w:val="0"/>
                <w:sz w:val="18"/>
                <w:szCs w:val="20"/>
              </w:rPr>
              <w:t>Δράσεις ενημέρωσης των δυνητικών δικαιούχων σχετικά με τους στόχους και τις δυνατότητες χρηματοδότησης από το ΕΠ</w:t>
            </w:r>
          </w:p>
        </w:tc>
        <w:tc>
          <w:tcPr>
            <w:tcW w:w="778" w:type="pct"/>
            <w:vAlign w:val="center"/>
          </w:tcPr>
          <w:p w14:paraId="19A2867F" w14:textId="071DB439" w:rsidR="004047C6" w:rsidRPr="0029055C" w:rsidRDefault="00A50CD1" w:rsidP="004047C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6"/>
                <w:szCs w:val="20"/>
              </w:rPr>
            </w:pPr>
            <w:r w:rsidRPr="0029055C">
              <w:rPr>
                <w:rFonts w:asciiTheme="minorHAnsi" w:hAnsiTheme="minorHAnsi" w:cstheme="minorHAnsi"/>
                <w:b/>
                <w:sz w:val="18"/>
                <w:szCs w:val="20"/>
              </w:rPr>
              <w:t>5</w:t>
            </w:r>
            <w:r w:rsidR="00A8078E">
              <w:rPr>
                <w:rFonts w:asciiTheme="minorHAnsi" w:hAnsiTheme="minorHAnsi" w:cstheme="minorHAnsi"/>
                <w:b/>
                <w:sz w:val="18"/>
                <w:szCs w:val="20"/>
              </w:rPr>
              <w:t xml:space="preserve"> </w:t>
            </w:r>
            <w:r w:rsidR="00A8078E" w:rsidRPr="00A8078E">
              <w:rPr>
                <w:rFonts w:asciiTheme="minorHAnsi" w:hAnsiTheme="minorHAnsi" w:cstheme="minorHAnsi"/>
                <w:sz w:val="18"/>
                <w:szCs w:val="20"/>
              </w:rPr>
              <w:t>( - )</w:t>
            </w:r>
          </w:p>
        </w:tc>
      </w:tr>
      <w:tr w:rsidR="004047C6" w:rsidRPr="0029055C" w14:paraId="2DAE927D" w14:textId="77777777" w:rsidTr="008A638E">
        <w:trPr>
          <w:jc w:val="center"/>
        </w:trPr>
        <w:tc>
          <w:tcPr>
            <w:cnfStyle w:val="001000000000" w:firstRow="0" w:lastRow="0" w:firstColumn="1" w:lastColumn="0" w:oddVBand="0" w:evenVBand="0" w:oddHBand="0" w:evenHBand="0" w:firstRowFirstColumn="0" w:firstRowLastColumn="0" w:lastRowFirstColumn="0" w:lastRowLastColumn="0"/>
            <w:tcW w:w="4222" w:type="pct"/>
            <w:shd w:val="clear" w:color="auto" w:fill="auto"/>
            <w:noWrap/>
          </w:tcPr>
          <w:p w14:paraId="44AB6A0D" w14:textId="77777777" w:rsidR="004047C6" w:rsidRPr="0029055C" w:rsidRDefault="004047C6" w:rsidP="008A638E">
            <w:pPr>
              <w:spacing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T4650. </w:t>
            </w:r>
            <w:r w:rsidRPr="0029055C">
              <w:rPr>
                <w:rFonts w:asciiTheme="minorHAnsi" w:hAnsiTheme="minorHAnsi" w:cstheme="minorHAnsi"/>
                <w:b w:val="0"/>
                <w:sz w:val="18"/>
                <w:szCs w:val="20"/>
              </w:rPr>
              <w:t>Αριθμός μελετών,  εμπειρογνωμοσυνών, ερευνών, αξιολογήσεων, έργων τεχνικής υποστήριξης</w:t>
            </w:r>
          </w:p>
        </w:tc>
        <w:tc>
          <w:tcPr>
            <w:tcW w:w="778" w:type="pct"/>
            <w:vAlign w:val="center"/>
          </w:tcPr>
          <w:p w14:paraId="7F104185" w14:textId="77777777" w:rsidR="004047C6" w:rsidRPr="0029055C" w:rsidRDefault="004047C6" w:rsidP="004047C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10</w:t>
            </w:r>
          </w:p>
        </w:tc>
      </w:tr>
    </w:tbl>
    <w:p w14:paraId="51B0C121" w14:textId="77777777" w:rsidR="00CA04DD" w:rsidRPr="0029055C" w:rsidRDefault="00CA04DD" w:rsidP="00473DE1">
      <w:pPr>
        <w:pStyle w:val="Heading3"/>
      </w:pPr>
      <w:bookmarkStart w:id="8" w:name="_Toc519758757"/>
      <w:r w:rsidRPr="0029055C">
        <w:lastRenderedPageBreak/>
        <w:t>Χρηματοδοτικοί Πίνακες ΕΠ ΜΔΤ</w:t>
      </w:r>
      <w:bookmarkEnd w:id="8"/>
    </w:p>
    <w:p w14:paraId="04EE000F" w14:textId="18D8C301" w:rsidR="00CA04DD" w:rsidRPr="0029055C" w:rsidRDefault="004323CE" w:rsidP="00CA04DD">
      <w:pPr>
        <w:rPr>
          <w:sz w:val="22"/>
        </w:rPr>
      </w:pPr>
      <w:r w:rsidRPr="00A8078E">
        <w:rPr>
          <w:sz w:val="22"/>
        </w:rPr>
        <w:t xml:space="preserve">Με βάση την ανωτέρω πρόταση αναθεώρησης, </w:t>
      </w:r>
      <w:r w:rsidR="00615092" w:rsidRPr="00A8078E">
        <w:rPr>
          <w:sz w:val="22"/>
        </w:rPr>
        <w:t>η τροποποίηση της κ</w:t>
      </w:r>
      <w:r w:rsidR="00615092" w:rsidRPr="00A8078E">
        <w:rPr>
          <w:sz w:val="22"/>
          <w:lang w:eastAsia="en-US"/>
        </w:rPr>
        <w:t>ατανομής της κοινοτικής συνδρομής και της συνολικής χρηματοδότησης ανά Θεματικό Άξονα και Άξονα Προτεραιότητας παρουσιάζεται στον Πίνακα</w:t>
      </w:r>
      <w:r w:rsidR="00A8078E" w:rsidRPr="00A8078E">
        <w:rPr>
          <w:sz w:val="22"/>
          <w:lang w:eastAsia="en-US"/>
        </w:rPr>
        <w:t xml:space="preserve"> 9</w:t>
      </w:r>
      <w:r w:rsidR="00615092" w:rsidRPr="00A8078E">
        <w:rPr>
          <w:sz w:val="22"/>
          <w:lang w:eastAsia="en-US"/>
        </w:rPr>
        <w:t xml:space="preserve">, ενώ οι βασικοί </w:t>
      </w:r>
      <w:r w:rsidRPr="00A8078E">
        <w:rPr>
          <w:sz w:val="22"/>
        </w:rPr>
        <w:t xml:space="preserve">χρηματοδοτικοί πίνακες του Προγράμματος </w:t>
      </w:r>
      <w:r w:rsidR="00615092" w:rsidRPr="00A8078E">
        <w:rPr>
          <w:sz w:val="22"/>
        </w:rPr>
        <w:t>παρατίθενται στη συνέχεια.</w:t>
      </w:r>
    </w:p>
    <w:p w14:paraId="3984F699" w14:textId="77777777" w:rsidR="004323CE" w:rsidRPr="0029055C" w:rsidRDefault="004323CE" w:rsidP="00CA04DD">
      <w:pPr>
        <w:rPr>
          <w:lang w:eastAsia="en-US"/>
        </w:rPr>
      </w:pPr>
    </w:p>
    <w:p w14:paraId="3CF5196F" w14:textId="77777777" w:rsidR="00615092" w:rsidRPr="0029055C" w:rsidRDefault="00615092" w:rsidP="00CA04DD">
      <w:pPr>
        <w:rPr>
          <w:lang w:eastAsia="en-US"/>
        </w:rPr>
      </w:pPr>
    </w:p>
    <w:p w14:paraId="21DD869A" w14:textId="77777777" w:rsidR="00615092" w:rsidRPr="0029055C" w:rsidRDefault="00615092" w:rsidP="00CA04DD">
      <w:pPr>
        <w:rPr>
          <w:lang w:eastAsia="en-US"/>
        </w:rPr>
        <w:sectPr w:rsidR="00615092" w:rsidRPr="0029055C" w:rsidSect="00D00424">
          <w:footerReference w:type="default" r:id="rId15"/>
          <w:pgSz w:w="11906" w:h="16838" w:code="9"/>
          <w:pgMar w:top="1814" w:right="1418" w:bottom="1134" w:left="1418" w:header="567" w:footer="284" w:gutter="0"/>
          <w:pgNumType w:start="1"/>
          <w:cols w:space="708"/>
          <w:docGrid w:linePitch="360"/>
        </w:sectPr>
      </w:pPr>
    </w:p>
    <w:p w14:paraId="4A817C2A" w14:textId="5CCD8600" w:rsidR="004323CE" w:rsidRPr="00A8078E" w:rsidRDefault="00A8078E" w:rsidP="00CA04DD">
      <w:pPr>
        <w:rPr>
          <w:sz w:val="22"/>
          <w:szCs w:val="22"/>
          <w:lang w:eastAsia="en-US"/>
        </w:rPr>
      </w:pPr>
      <w:r w:rsidRPr="00A8078E">
        <w:rPr>
          <w:b/>
          <w:sz w:val="22"/>
          <w:szCs w:val="22"/>
        </w:rPr>
        <w:lastRenderedPageBreak/>
        <w:t xml:space="preserve">Πίνακας </w:t>
      </w:r>
      <w:r w:rsidRPr="00A8078E">
        <w:rPr>
          <w:b/>
          <w:sz w:val="22"/>
          <w:szCs w:val="22"/>
        </w:rPr>
        <w:fldChar w:fldCharType="begin"/>
      </w:r>
      <w:r w:rsidRPr="00A8078E">
        <w:rPr>
          <w:b/>
          <w:sz w:val="22"/>
          <w:szCs w:val="22"/>
        </w:rPr>
        <w:instrText xml:space="preserve"> SEQ Πίνακας \* ARABIC </w:instrText>
      </w:r>
      <w:r w:rsidRPr="00A8078E">
        <w:rPr>
          <w:b/>
          <w:sz w:val="22"/>
          <w:szCs w:val="22"/>
        </w:rPr>
        <w:fldChar w:fldCharType="separate"/>
      </w:r>
      <w:r w:rsidR="00292BCA">
        <w:rPr>
          <w:b/>
          <w:noProof/>
          <w:sz w:val="22"/>
          <w:szCs w:val="22"/>
        </w:rPr>
        <w:t>9</w:t>
      </w:r>
      <w:r w:rsidRPr="00A8078E">
        <w:rPr>
          <w:b/>
          <w:sz w:val="22"/>
          <w:szCs w:val="22"/>
        </w:rPr>
        <w:fldChar w:fldCharType="end"/>
      </w:r>
      <w:r w:rsidRPr="00A8078E">
        <w:rPr>
          <w:b/>
          <w:sz w:val="22"/>
          <w:szCs w:val="22"/>
        </w:rPr>
        <w:t xml:space="preserve">. </w:t>
      </w:r>
      <w:r w:rsidR="00615092" w:rsidRPr="00A8078E">
        <w:rPr>
          <w:sz w:val="22"/>
          <w:szCs w:val="22"/>
          <w:lang w:eastAsia="en-US"/>
        </w:rPr>
        <w:t>Τροποποίηση της κατανομής κοινοτικής συνδρομής και συνολικής χρηματοδότησης ανά Θεματικό Άξονα και Άξονα Προτεραιότητας με την προτεινόμενη 2η Αναθεώρηση του ΕΠ ΜΔΤ</w:t>
      </w:r>
    </w:p>
    <w:tbl>
      <w:tblPr>
        <w:tblStyle w:val="GridTable6Colorful-Accent5"/>
        <w:tblW w:w="14541" w:type="dxa"/>
        <w:jc w:val="center"/>
        <w:tblLayout w:type="fixed"/>
        <w:tblCellMar>
          <w:left w:w="28" w:type="dxa"/>
          <w:right w:w="28" w:type="dxa"/>
        </w:tblCellMar>
        <w:tblLook w:val="06A0" w:firstRow="1" w:lastRow="0" w:firstColumn="1" w:lastColumn="0" w:noHBand="1" w:noVBand="1"/>
      </w:tblPr>
      <w:tblGrid>
        <w:gridCol w:w="1121"/>
        <w:gridCol w:w="1430"/>
        <w:gridCol w:w="2268"/>
        <w:gridCol w:w="2268"/>
        <w:gridCol w:w="1459"/>
        <w:gridCol w:w="2247"/>
        <w:gridCol w:w="2248"/>
        <w:gridCol w:w="1500"/>
      </w:tblGrid>
      <w:tr w:rsidR="009F1BD4" w:rsidRPr="0029055C" w14:paraId="379A6470" w14:textId="77777777" w:rsidTr="00A8078E">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121" w:type="dxa"/>
            <w:vAlign w:val="center"/>
            <w:hideMark/>
          </w:tcPr>
          <w:p w14:paraId="64853644" w14:textId="77777777" w:rsidR="009F1BD4" w:rsidRPr="0029055C" w:rsidRDefault="009F1BD4" w:rsidP="009F1BD4">
            <w:pPr>
              <w:spacing w:before="0" w:after="0" w:line="240" w:lineRule="auto"/>
              <w:jc w:val="center"/>
              <w:rPr>
                <w:rFonts w:cs="Calibri"/>
                <w:color w:val="000000"/>
                <w:sz w:val="18"/>
                <w:szCs w:val="18"/>
              </w:rPr>
            </w:pPr>
            <w:r w:rsidRPr="0029055C">
              <w:rPr>
                <w:rFonts w:cs="Calibri"/>
                <w:color w:val="000000"/>
                <w:sz w:val="18"/>
                <w:szCs w:val="18"/>
              </w:rPr>
              <w:t>Θεματικός Άξονας</w:t>
            </w:r>
          </w:p>
        </w:tc>
        <w:tc>
          <w:tcPr>
            <w:tcW w:w="1430" w:type="dxa"/>
            <w:vAlign w:val="center"/>
            <w:hideMark/>
          </w:tcPr>
          <w:p w14:paraId="657FB4D4" w14:textId="77777777" w:rsidR="009F1BD4" w:rsidRPr="0029055C" w:rsidRDefault="009F1BD4" w:rsidP="009F1BD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Άξονας Προτεραιότητας</w:t>
            </w:r>
          </w:p>
        </w:tc>
        <w:tc>
          <w:tcPr>
            <w:tcW w:w="2268" w:type="dxa"/>
            <w:noWrap/>
            <w:vAlign w:val="center"/>
            <w:hideMark/>
          </w:tcPr>
          <w:p w14:paraId="6F4918F5" w14:textId="77777777" w:rsidR="009F1BD4" w:rsidRPr="0029055C" w:rsidRDefault="009F1BD4" w:rsidP="009F1BD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Ισχύουσα Κοινοτική Συνδρομή (1η Αναθεώρηση)</w:t>
            </w:r>
          </w:p>
        </w:tc>
        <w:tc>
          <w:tcPr>
            <w:tcW w:w="2268" w:type="dxa"/>
            <w:noWrap/>
            <w:vAlign w:val="center"/>
            <w:hideMark/>
          </w:tcPr>
          <w:p w14:paraId="624F5714" w14:textId="77777777" w:rsidR="009F1BD4" w:rsidRPr="0029055C" w:rsidRDefault="009F1BD4" w:rsidP="009F1BD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Προτεινόμενη Κοινοτική Συνδρομή (2η Αναθεώρηση)</w:t>
            </w:r>
          </w:p>
        </w:tc>
        <w:tc>
          <w:tcPr>
            <w:tcW w:w="1459" w:type="dxa"/>
            <w:shd w:val="clear" w:color="auto" w:fill="EEECE1" w:themeFill="background2"/>
            <w:noWrap/>
            <w:vAlign w:val="center"/>
            <w:hideMark/>
          </w:tcPr>
          <w:p w14:paraId="18CC7FA5" w14:textId="77777777" w:rsidR="009F1BD4" w:rsidRPr="0029055C" w:rsidRDefault="009F1BD4" w:rsidP="009F1BD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 xml:space="preserve">Απόλυτη </w:t>
            </w:r>
            <w:r w:rsidRPr="0029055C">
              <w:rPr>
                <w:rFonts w:cs="Calibri"/>
                <w:color w:val="000000"/>
                <w:sz w:val="18"/>
                <w:szCs w:val="18"/>
              </w:rPr>
              <w:br/>
              <w:t>Μεταβολή (ΚΣ)</w:t>
            </w:r>
          </w:p>
        </w:tc>
        <w:tc>
          <w:tcPr>
            <w:tcW w:w="2247" w:type="dxa"/>
            <w:vAlign w:val="center"/>
            <w:hideMark/>
          </w:tcPr>
          <w:p w14:paraId="7849AD90" w14:textId="77777777" w:rsidR="009F1BD4" w:rsidRPr="0029055C" w:rsidRDefault="009F1BD4" w:rsidP="009F1BD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Ισχύουσα Συνολική Χρηματοδότηση (1η Αναθεώρηση)</w:t>
            </w:r>
          </w:p>
        </w:tc>
        <w:tc>
          <w:tcPr>
            <w:tcW w:w="2248" w:type="dxa"/>
            <w:noWrap/>
            <w:vAlign w:val="center"/>
            <w:hideMark/>
          </w:tcPr>
          <w:p w14:paraId="3D94583C" w14:textId="77777777" w:rsidR="009F1BD4" w:rsidRPr="0029055C" w:rsidRDefault="009F1BD4" w:rsidP="009F1BD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Προτεινόμενη Συνολική Χρηματοδότηση (2η Αναθεώρηση)</w:t>
            </w:r>
          </w:p>
        </w:tc>
        <w:tc>
          <w:tcPr>
            <w:tcW w:w="1500" w:type="dxa"/>
            <w:shd w:val="clear" w:color="auto" w:fill="EEECE1" w:themeFill="background2"/>
            <w:noWrap/>
            <w:vAlign w:val="center"/>
            <w:hideMark/>
          </w:tcPr>
          <w:p w14:paraId="7F09D76D" w14:textId="77777777" w:rsidR="009F1BD4" w:rsidRPr="0029055C" w:rsidRDefault="009F1BD4" w:rsidP="009F1BD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 xml:space="preserve">Απόλυτη </w:t>
            </w:r>
            <w:r w:rsidRPr="0029055C">
              <w:rPr>
                <w:rFonts w:cs="Calibri"/>
                <w:color w:val="000000"/>
                <w:sz w:val="18"/>
                <w:szCs w:val="18"/>
              </w:rPr>
              <w:br/>
              <w:t>Μεταβολή (ΔΔ)</w:t>
            </w:r>
          </w:p>
        </w:tc>
      </w:tr>
      <w:tr w:rsidR="009F1BD4" w:rsidRPr="0029055C" w14:paraId="331F21ED"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hideMark/>
          </w:tcPr>
          <w:p w14:paraId="390BEFA2" w14:textId="77777777" w:rsidR="009F1BD4" w:rsidRPr="0029055C" w:rsidRDefault="009F1BD4" w:rsidP="00627C2C">
            <w:pPr>
              <w:spacing w:before="40" w:after="40" w:line="240" w:lineRule="auto"/>
              <w:jc w:val="left"/>
              <w:rPr>
                <w:rFonts w:cs="Calibri"/>
                <w:color w:val="000000"/>
                <w:sz w:val="18"/>
                <w:szCs w:val="18"/>
              </w:rPr>
            </w:pPr>
            <w:r w:rsidRPr="0029055C">
              <w:rPr>
                <w:rFonts w:cs="Calibri"/>
                <w:color w:val="000000"/>
                <w:sz w:val="18"/>
                <w:szCs w:val="18"/>
              </w:rPr>
              <w:t>ΘΑ I</w:t>
            </w:r>
          </w:p>
        </w:tc>
        <w:tc>
          <w:tcPr>
            <w:tcW w:w="1430" w:type="dxa"/>
            <w:noWrap/>
            <w:vAlign w:val="center"/>
            <w:hideMark/>
          </w:tcPr>
          <w:p w14:paraId="19F4F69E"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w:t>
            </w:r>
          </w:p>
        </w:tc>
        <w:tc>
          <w:tcPr>
            <w:tcW w:w="2268" w:type="dxa"/>
            <w:noWrap/>
            <w:hideMark/>
          </w:tcPr>
          <w:p w14:paraId="65A5B9ED"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121.394.267,00</w:t>
            </w:r>
          </w:p>
        </w:tc>
        <w:tc>
          <w:tcPr>
            <w:tcW w:w="2268" w:type="dxa"/>
            <w:noWrap/>
            <w:hideMark/>
          </w:tcPr>
          <w:p w14:paraId="21DAB196"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116.350.795,00</w:t>
            </w:r>
          </w:p>
        </w:tc>
        <w:tc>
          <w:tcPr>
            <w:tcW w:w="1459" w:type="dxa"/>
            <w:shd w:val="clear" w:color="auto" w:fill="EEECE1" w:themeFill="background2"/>
            <w:noWrap/>
            <w:hideMark/>
          </w:tcPr>
          <w:p w14:paraId="5DDB7DF7"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C00000"/>
                <w:sz w:val="18"/>
                <w:szCs w:val="18"/>
              </w:rPr>
            </w:pPr>
            <w:r w:rsidRPr="0029055C">
              <w:rPr>
                <w:rFonts w:cs="Calibri"/>
                <w:color w:val="C00000"/>
                <w:sz w:val="18"/>
                <w:szCs w:val="18"/>
              </w:rPr>
              <w:t>-5.043.472,00</w:t>
            </w:r>
          </w:p>
        </w:tc>
        <w:tc>
          <w:tcPr>
            <w:tcW w:w="2247" w:type="dxa"/>
            <w:noWrap/>
            <w:hideMark/>
          </w:tcPr>
          <w:p w14:paraId="487C4898"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151.742.835,00</w:t>
            </w:r>
          </w:p>
        </w:tc>
        <w:tc>
          <w:tcPr>
            <w:tcW w:w="2248" w:type="dxa"/>
            <w:noWrap/>
            <w:hideMark/>
          </w:tcPr>
          <w:p w14:paraId="62F9BD38"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145.438.495,00</w:t>
            </w:r>
          </w:p>
        </w:tc>
        <w:tc>
          <w:tcPr>
            <w:tcW w:w="1500" w:type="dxa"/>
            <w:shd w:val="clear" w:color="auto" w:fill="EEECE1" w:themeFill="background2"/>
            <w:noWrap/>
            <w:hideMark/>
          </w:tcPr>
          <w:p w14:paraId="21DCEA8F"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C00000"/>
                <w:sz w:val="18"/>
                <w:szCs w:val="18"/>
              </w:rPr>
            </w:pPr>
            <w:r w:rsidRPr="0029055C">
              <w:rPr>
                <w:rFonts w:cs="Calibri"/>
                <w:color w:val="C00000"/>
                <w:sz w:val="18"/>
                <w:szCs w:val="18"/>
              </w:rPr>
              <w:t>-6.304.340,00</w:t>
            </w:r>
          </w:p>
        </w:tc>
      </w:tr>
      <w:tr w:rsidR="009F1BD4" w:rsidRPr="0029055C" w14:paraId="309E5F77"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tcPr>
          <w:p w14:paraId="4C6560DB" w14:textId="77777777" w:rsidR="009F1BD4" w:rsidRPr="0029055C" w:rsidRDefault="009F1BD4" w:rsidP="00627C2C">
            <w:pPr>
              <w:spacing w:before="40" w:after="40" w:line="240" w:lineRule="auto"/>
              <w:jc w:val="right"/>
              <w:rPr>
                <w:rFonts w:cs="Calibri"/>
                <w:color w:val="000000"/>
                <w:sz w:val="18"/>
                <w:szCs w:val="18"/>
              </w:rPr>
            </w:pPr>
          </w:p>
        </w:tc>
        <w:tc>
          <w:tcPr>
            <w:tcW w:w="1430" w:type="dxa"/>
            <w:noWrap/>
            <w:vAlign w:val="center"/>
            <w:hideMark/>
          </w:tcPr>
          <w:p w14:paraId="684190A4"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2</w:t>
            </w:r>
          </w:p>
        </w:tc>
        <w:tc>
          <w:tcPr>
            <w:tcW w:w="2268" w:type="dxa"/>
            <w:noWrap/>
            <w:hideMark/>
          </w:tcPr>
          <w:p w14:paraId="3656D0AD"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6.730.826,00</w:t>
            </w:r>
          </w:p>
        </w:tc>
        <w:tc>
          <w:tcPr>
            <w:tcW w:w="2268" w:type="dxa"/>
            <w:noWrap/>
            <w:hideMark/>
          </w:tcPr>
          <w:p w14:paraId="3B90424F"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6.451.186,00</w:t>
            </w:r>
          </w:p>
        </w:tc>
        <w:tc>
          <w:tcPr>
            <w:tcW w:w="1459" w:type="dxa"/>
            <w:shd w:val="clear" w:color="auto" w:fill="EEECE1" w:themeFill="background2"/>
            <w:noWrap/>
            <w:hideMark/>
          </w:tcPr>
          <w:p w14:paraId="284C92CA"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C00000"/>
                <w:sz w:val="18"/>
                <w:szCs w:val="18"/>
              </w:rPr>
            </w:pPr>
            <w:r w:rsidRPr="0029055C">
              <w:rPr>
                <w:rFonts w:cs="Calibri"/>
                <w:color w:val="C00000"/>
                <w:sz w:val="18"/>
                <w:szCs w:val="18"/>
              </w:rPr>
              <w:t>-279.640,00</w:t>
            </w:r>
          </w:p>
        </w:tc>
        <w:tc>
          <w:tcPr>
            <w:tcW w:w="2247" w:type="dxa"/>
            <w:noWrap/>
            <w:hideMark/>
          </w:tcPr>
          <w:p w14:paraId="1CA80ACE"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13.461.653,00</w:t>
            </w:r>
          </w:p>
        </w:tc>
        <w:tc>
          <w:tcPr>
            <w:tcW w:w="2248" w:type="dxa"/>
            <w:noWrap/>
            <w:hideMark/>
          </w:tcPr>
          <w:p w14:paraId="75B335E2"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12.902.372,00</w:t>
            </w:r>
          </w:p>
        </w:tc>
        <w:tc>
          <w:tcPr>
            <w:tcW w:w="1500" w:type="dxa"/>
            <w:shd w:val="clear" w:color="auto" w:fill="EEECE1" w:themeFill="background2"/>
            <w:noWrap/>
            <w:hideMark/>
          </w:tcPr>
          <w:p w14:paraId="77271004"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C00000"/>
                <w:sz w:val="18"/>
                <w:szCs w:val="18"/>
              </w:rPr>
            </w:pPr>
            <w:r w:rsidRPr="0029055C">
              <w:rPr>
                <w:rFonts w:cs="Calibri"/>
                <w:color w:val="C00000"/>
                <w:sz w:val="18"/>
                <w:szCs w:val="18"/>
              </w:rPr>
              <w:t>-559.281,00</w:t>
            </w:r>
          </w:p>
        </w:tc>
      </w:tr>
      <w:tr w:rsidR="009F1BD4" w:rsidRPr="0029055C" w14:paraId="7E6A33C1"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tcPr>
          <w:p w14:paraId="46C1355E" w14:textId="77777777" w:rsidR="009F1BD4" w:rsidRPr="0029055C" w:rsidRDefault="009F1BD4" w:rsidP="00627C2C">
            <w:pPr>
              <w:spacing w:before="40" w:after="40" w:line="240" w:lineRule="auto"/>
              <w:jc w:val="right"/>
              <w:rPr>
                <w:rFonts w:cs="Calibri"/>
                <w:color w:val="000000"/>
                <w:sz w:val="18"/>
                <w:szCs w:val="18"/>
              </w:rPr>
            </w:pPr>
          </w:p>
        </w:tc>
        <w:tc>
          <w:tcPr>
            <w:tcW w:w="1430" w:type="dxa"/>
            <w:noWrap/>
            <w:vAlign w:val="center"/>
            <w:hideMark/>
          </w:tcPr>
          <w:p w14:paraId="7D292884"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w:t>
            </w:r>
          </w:p>
        </w:tc>
        <w:tc>
          <w:tcPr>
            <w:tcW w:w="2268" w:type="dxa"/>
            <w:noWrap/>
            <w:hideMark/>
          </w:tcPr>
          <w:p w14:paraId="2F045A32"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1.018.864,00</w:t>
            </w:r>
          </w:p>
        </w:tc>
        <w:tc>
          <w:tcPr>
            <w:tcW w:w="2268" w:type="dxa"/>
            <w:noWrap/>
            <w:hideMark/>
          </w:tcPr>
          <w:p w14:paraId="55050EF3"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976.534,00</w:t>
            </w:r>
          </w:p>
        </w:tc>
        <w:tc>
          <w:tcPr>
            <w:tcW w:w="1459" w:type="dxa"/>
            <w:shd w:val="clear" w:color="auto" w:fill="EEECE1" w:themeFill="background2"/>
            <w:noWrap/>
            <w:hideMark/>
          </w:tcPr>
          <w:p w14:paraId="3E1B5180"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C00000"/>
                <w:sz w:val="18"/>
                <w:szCs w:val="18"/>
              </w:rPr>
            </w:pPr>
            <w:r w:rsidRPr="0029055C">
              <w:rPr>
                <w:rFonts w:cs="Calibri"/>
                <w:color w:val="C00000"/>
                <w:sz w:val="18"/>
                <w:szCs w:val="18"/>
              </w:rPr>
              <w:t>-42.330,00</w:t>
            </w:r>
          </w:p>
        </w:tc>
        <w:tc>
          <w:tcPr>
            <w:tcW w:w="2247" w:type="dxa"/>
            <w:noWrap/>
            <w:hideMark/>
          </w:tcPr>
          <w:p w14:paraId="39127172"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2.037.727,00</w:t>
            </w:r>
          </w:p>
        </w:tc>
        <w:tc>
          <w:tcPr>
            <w:tcW w:w="2248" w:type="dxa"/>
            <w:noWrap/>
            <w:hideMark/>
          </w:tcPr>
          <w:p w14:paraId="1396E301"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1.953.068,00</w:t>
            </w:r>
          </w:p>
        </w:tc>
        <w:tc>
          <w:tcPr>
            <w:tcW w:w="1500" w:type="dxa"/>
            <w:shd w:val="clear" w:color="auto" w:fill="EEECE1" w:themeFill="background2"/>
            <w:noWrap/>
            <w:hideMark/>
          </w:tcPr>
          <w:p w14:paraId="1E8F66DF"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C00000"/>
                <w:sz w:val="18"/>
                <w:szCs w:val="18"/>
              </w:rPr>
            </w:pPr>
            <w:r w:rsidRPr="0029055C">
              <w:rPr>
                <w:rFonts w:cs="Calibri"/>
                <w:color w:val="C00000"/>
                <w:sz w:val="18"/>
                <w:szCs w:val="18"/>
              </w:rPr>
              <w:t>-84.659,00</w:t>
            </w:r>
          </w:p>
        </w:tc>
      </w:tr>
      <w:tr w:rsidR="009F1BD4" w:rsidRPr="0029055C" w14:paraId="6FD76CD2"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hideMark/>
          </w:tcPr>
          <w:p w14:paraId="4B505C89" w14:textId="0BE66185" w:rsidR="009F1BD4" w:rsidRPr="0029055C" w:rsidRDefault="00A8078E" w:rsidP="00A8078E">
            <w:pPr>
              <w:spacing w:before="40" w:after="40" w:line="240" w:lineRule="auto"/>
              <w:jc w:val="left"/>
              <w:rPr>
                <w:rFonts w:cs="Calibri"/>
                <w:color w:val="000000"/>
                <w:sz w:val="18"/>
                <w:szCs w:val="18"/>
              </w:rPr>
            </w:pPr>
            <w:r>
              <w:rPr>
                <w:rFonts w:cs="Calibri"/>
                <w:color w:val="000000"/>
                <w:sz w:val="18"/>
                <w:szCs w:val="18"/>
              </w:rPr>
              <w:t xml:space="preserve">Σύνολο </w:t>
            </w:r>
            <w:r w:rsidR="009F1BD4" w:rsidRPr="0029055C">
              <w:rPr>
                <w:rFonts w:cs="Calibri"/>
                <w:color w:val="000000"/>
                <w:sz w:val="18"/>
                <w:szCs w:val="18"/>
              </w:rPr>
              <w:t>ΘΑ I</w:t>
            </w:r>
          </w:p>
        </w:tc>
        <w:tc>
          <w:tcPr>
            <w:tcW w:w="1430" w:type="dxa"/>
            <w:noWrap/>
            <w:vAlign w:val="center"/>
            <w:hideMark/>
          </w:tcPr>
          <w:p w14:paraId="64FAE37C"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p>
        </w:tc>
        <w:tc>
          <w:tcPr>
            <w:tcW w:w="2268" w:type="dxa"/>
            <w:noWrap/>
            <w:hideMark/>
          </w:tcPr>
          <w:p w14:paraId="07F60596"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129.143.957,00</w:t>
            </w:r>
          </w:p>
        </w:tc>
        <w:tc>
          <w:tcPr>
            <w:tcW w:w="2268" w:type="dxa"/>
            <w:noWrap/>
            <w:hideMark/>
          </w:tcPr>
          <w:p w14:paraId="0440F070"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123.778.515,00</w:t>
            </w:r>
          </w:p>
        </w:tc>
        <w:tc>
          <w:tcPr>
            <w:tcW w:w="1459" w:type="dxa"/>
            <w:shd w:val="clear" w:color="auto" w:fill="EEECE1" w:themeFill="background2"/>
            <w:noWrap/>
            <w:hideMark/>
          </w:tcPr>
          <w:p w14:paraId="4A549ADB"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C00000"/>
                <w:sz w:val="18"/>
                <w:szCs w:val="18"/>
              </w:rPr>
            </w:pPr>
            <w:r w:rsidRPr="0029055C">
              <w:rPr>
                <w:rFonts w:cs="Calibri"/>
                <w:color w:val="C00000"/>
                <w:sz w:val="18"/>
                <w:szCs w:val="18"/>
              </w:rPr>
              <w:t>-5.365.442,00</w:t>
            </w:r>
          </w:p>
        </w:tc>
        <w:tc>
          <w:tcPr>
            <w:tcW w:w="2247" w:type="dxa"/>
            <w:noWrap/>
            <w:hideMark/>
          </w:tcPr>
          <w:p w14:paraId="2AC596CE"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167.242.215,00</w:t>
            </w:r>
          </w:p>
        </w:tc>
        <w:tc>
          <w:tcPr>
            <w:tcW w:w="2248" w:type="dxa"/>
            <w:noWrap/>
            <w:hideMark/>
          </w:tcPr>
          <w:p w14:paraId="79372F1B"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160.293.935,00</w:t>
            </w:r>
          </w:p>
        </w:tc>
        <w:tc>
          <w:tcPr>
            <w:tcW w:w="1500" w:type="dxa"/>
            <w:shd w:val="clear" w:color="auto" w:fill="EEECE1" w:themeFill="background2"/>
            <w:noWrap/>
            <w:hideMark/>
          </w:tcPr>
          <w:p w14:paraId="55170995"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C00000"/>
                <w:sz w:val="18"/>
                <w:szCs w:val="18"/>
              </w:rPr>
            </w:pPr>
            <w:r w:rsidRPr="0029055C">
              <w:rPr>
                <w:rFonts w:cs="Calibri"/>
                <w:color w:val="C00000"/>
                <w:sz w:val="18"/>
                <w:szCs w:val="18"/>
              </w:rPr>
              <w:t>-6.948.280,00</w:t>
            </w:r>
          </w:p>
        </w:tc>
      </w:tr>
      <w:tr w:rsidR="009F1BD4" w:rsidRPr="0029055C" w14:paraId="0FB77F12"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hideMark/>
          </w:tcPr>
          <w:p w14:paraId="3676B05F" w14:textId="77777777" w:rsidR="009F1BD4" w:rsidRPr="0029055C" w:rsidRDefault="009F1BD4" w:rsidP="00627C2C">
            <w:pPr>
              <w:spacing w:before="40" w:after="40" w:line="240" w:lineRule="auto"/>
              <w:jc w:val="left"/>
              <w:rPr>
                <w:rFonts w:cs="Calibri"/>
                <w:color w:val="000000"/>
                <w:sz w:val="18"/>
                <w:szCs w:val="18"/>
              </w:rPr>
            </w:pPr>
            <w:r w:rsidRPr="0029055C">
              <w:rPr>
                <w:rFonts w:cs="Calibri"/>
                <w:color w:val="000000"/>
                <w:sz w:val="18"/>
                <w:szCs w:val="18"/>
              </w:rPr>
              <w:t>ΘΑ II</w:t>
            </w:r>
          </w:p>
        </w:tc>
        <w:tc>
          <w:tcPr>
            <w:tcW w:w="1430" w:type="dxa"/>
            <w:noWrap/>
            <w:vAlign w:val="center"/>
            <w:hideMark/>
          </w:tcPr>
          <w:p w14:paraId="0258FE90"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4</w:t>
            </w:r>
          </w:p>
        </w:tc>
        <w:tc>
          <w:tcPr>
            <w:tcW w:w="2268" w:type="dxa"/>
            <w:noWrap/>
            <w:hideMark/>
          </w:tcPr>
          <w:p w14:paraId="2B2A89D2"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165.143.205,00</w:t>
            </w:r>
          </w:p>
        </w:tc>
        <w:tc>
          <w:tcPr>
            <w:tcW w:w="2268" w:type="dxa"/>
            <w:noWrap/>
            <w:hideMark/>
          </w:tcPr>
          <w:p w14:paraId="19F5F6EA"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224.356.005,00</w:t>
            </w:r>
          </w:p>
        </w:tc>
        <w:tc>
          <w:tcPr>
            <w:tcW w:w="1459" w:type="dxa"/>
            <w:shd w:val="clear" w:color="auto" w:fill="EEECE1" w:themeFill="background2"/>
            <w:noWrap/>
            <w:hideMark/>
          </w:tcPr>
          <w:p w14:paraId="0C0E2D47"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59.212.800,00</w:t>
            </w:r>
          </w:p>
        </w:tc>
        <w:tc>
          <w:tcPr>
            <w:tcW w:w="2247" w:type="dxa"/>
            <w:noWrap/>
            <w:hideMark/>
          </w:tcPr>
          <w:p w14:paraId="16EBAE19"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206.429.008,00</w:t>
            </w:r>
          </w:p>
        </w:tc>
        <w:tc>
          <w:tcPr>
            <w:tcW w:w="2248" w:type="dxa"/>
            <w:noWrap/>
            <w:hideMark/>
          </w:tcPr>
          <w:p w14:paraId="6A82BC7D"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280.445.008,00</w:t>
            </w:r>
          </w:p>
        </w:tc>
        <w:tc>
          <w:tcPr>
            <w:tcW w:w="1500" w:type="dxa"/>
            <w:shd w:val="clear" w:color="auto" w:fill="EEECE1" w:themeFill="background2"/>
            <w:noWrap/>
            <w:hideMark/>
          </w:tcPr>
          <w:p w14:paraId="3485E539"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74.016.000,00</w:t>
            </w:r>
          </w:p>
        </w:tc>
      </w:tr>
      <w:tr w:rsidR="009F1BD4" w:rsidRPr="0029055C" w14:paraId="17FDDB6A"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tcPr>
          <w:p w14:paraId="0D929455" w14:textId="77777777" w:rsidR="009F1BD4" w:rsidRPr="0029055C" w:rsidRDefault="009F1BD4" w:rsidP="00627C2C">
            <w:pPr>
              <w:spacing w:before="40" w:after="40" w:line="240" w:lineRule="auto"/>
              <w:jc w:val="right"/>
              <w:rPr>
                <w:rFonts w:cs="Calibri"/>
                <w:color w:val="000000"/>
                <w:sz w:val="18"/>
                <w:szCs w:val="18"/>
              </w:rPr>
            </w:pPr>
          </w:p>
        </w:tc>
        <w:tc>
          <w:tcPr>
            <w:tcW w:w="1430" w:type="dxa"/>
            <w:noWrap/>
            <w:vAlign w:val="center"/>
            <w:hideMark/>
          </w:tcPr>
          <w:p w14:paraId="4B513C99"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w:t>
            </w:r>
          </w:p>
        </w:tc>
        <w:tc>
          <w:tcPr>
            <w:tcW w:w="2268" w:type="dxa"/>
            <w:noWrap/>
            <w:hideMark/>
          </w:tcPr>
          <w:p w14:paraId="068E8A82"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5.605.111,00</w:t>
            </w:r>
          </w:p>
        </w:tc>
        <w:tc>
          <w:tcPr>
            <w:tcW w:w="2268" w:type="dxa"/>
            <w:noWrap/>
            <w:hideMark/>
          </w:tcPr>
          <w:p w14:paraId="2564574C"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7.613.111,00</w:t>
            </w:r>
          </w:p>
        </w:tc>
        <w:tc>
          <w:tcPr>
            <w:tcW w:w="1459" w:type="dxa"/>
            <w:shd w:val="clear" w:color="auto" w:fill="EEECE1" w:themeFill="background2"/>
            <w:noWrap/>
            <w:hideMark/>
          </w:tcPr>
          <w:p w14:paraId="1575CFAF"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2.008.000,00</w:t>
            </w:r>
          </w:p>
        </w:tc>
        <w:tc>
          <w:tcPr>
            <w:tcW w:w="2247" w:type="dxa"/>
            <w:noWrap/>
            <w:hideMark/>
          </w:tcPr>
          <w:p w14:paraId="63AD3494"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11.210.222,00</w:t>
            </w:r>
          </w:p>
        </w:tc>
        <w:tc>
          <w:tcPr>
            <w:tcW w:w="2248" w:type="dxa"/>
            <w:noWrap/>
            <w:hideMark/>
          </w:tcPr>
          <w:p w14:paraId="06C700F7"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15.226.222,00</w:t>
            </w:r>
          </w:p>
        </w:tc>
        <w:tc>
          <w:tcPr>
            <w:tcW w:w="1500" w:type="dxa"/>
            <w:shd w:val="clear" w:color="auto" w:fill="EEECE1" w:themeFill="background2"/>
            <w:noWrap/>
            <w:hideMark/>
          </w:tcPr>
          <w:p w14:paraId="1B7CA620"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4.016.000,00</w:t>
            </w:r>
          </w:p>
        </w:tc>
      </w:tr>
      <w:tr w:rsidR="009F1BD4" w:rsidRPr="0029055C" w14:paraId="78D2DFBF"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tcPr>
          <w:p w14:paraId="00D7376C" w14:textId="77777777" w:rsidR="009F1BD4" w:rsidRPr="0029055C" w:rsidRDefault="009F1BD4" w:rsidP="00627C2C">
            <w:pPr>
              <w:spacing w:before="40" w:after="40" w:line="240" w:lineRule="auto"/>
              <w:jc w:val="right"/>
              <w:rPr>
                <w:rFonts w:cs="Calibri"/>
                <w:color w:val="000000"/>
                <w:sz w:val="18"/>
                <w:szCs w:val="18"/>
              </w:rPr>
            </w:pPr>
          </w:p>
        </w:tc>
        <w:tc>
          <w:tcPr>
            <w:tcW w:w="1430" w:type="dxa"/>
            <w:noWrap/>
            <w:vAlign w:val="center"/>
            <w:hideMark/>
          </w:tcPr>
          <w:p w14:paraId="5B75C967"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w:t>
            </w:r>
          </w:p>
        </w:tc>
        <w:tc>
          <w:tcPr>
            <w:tcW w:w="2268" w:type="dxa"/>
            <w:noWrap/>
            <w:hideMark/>
          </w:tcPr>
          <w:p w14:paraId="50BC63D6"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2.748.996,00</w:t>
            </w:r>
          </w:p>
        </w:tc>
        <w:tc>
          <w:tcPr>
            <w:tcW w:w="2268" w:type="dxa"/>
            <w:noWrap/>
            <w:hideMark/>
          </w:tcPr>
          <w:p w14:paraId="664EF1DD"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3.732.996,00</w:t>
            </w:r>
          </w:p>
        </w:tc>
        <w:tc>
          <w:tcPr>
            <w:tcW w:w="1459" w:type="dxa"/>
            <w:shd w:val="clear" w:color="auto" w:fill="EEECE1" w:themeFill="background2"/>
            <w:noWrap/>
            <w:hideMark/>
          </w:tcPr>
          <w:p w14:paraId="7DA1A56A"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984.000,00</w:t>
            </w:r>
          </w:p>
        </w:tc>
        <w:tc>
          <w:tcPr>
            <w:tcW w:w="2247" w:type="dxa"/>
            <w:noWrap/>
            <w:hideMark/>
          </w:tcPr>
          <w:p w14:paraId="3D53D68F"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5.497.992,00</w:t>
            </w:r>
          </w:p>
        </w:tc>
        <w:tc>
          <w:tcPr>
            <w:tcW w:w="2248" w:type="dxa"/>
            <w:noWrap/>
            <w:hideMark/>
          </w:tcPr>
          <w:p w14:paraId="545AF9F3"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7.465.992,00</w:t>
            </w:r>
          </w:p>
        </w:tc>
        <w:tc>
          <w:tcPr>
            <w:tcW w:w="1500" w:type="dxa"/>
            <w:shd w:val="clear" w:color="auto" w:fill="EEECE1" w:themeFill="background2"/>
            <w:noWrap/>
            <w:hideMark/>
          </w:tcPr>
          <w:p w14:paraId="4133BC7D"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1.968.000,00</w:t>
            </w:r>
          </w:p>
        </w:tc>
      </w:tr>
      <w:tr w:rsidR="009F1BD4" w:rsidRPr="0029055C" w14:paraId="0987B144"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hideMark/>
          </w:tcPr>
          <w:p w14:paraId="4CDEA882" w14:textId="708866A2" w:rsidR="009F1BD4" w:rsidRPr="0029055C" w:rsidRDefault="00A8078E" w:rsidP="00A8078E">
            <w:pPr>
              <w:spacing w:before="40" w:after="40" w:line="240" w:lineRule="auto"/>
              <w:jc w:val="left"/>
              <w:rPr>
                <w:rFonts w:cs="Calibri"/>
                <w:color w:val="000000"/>
                <w:sz w:val="18"/>
                <w:szCs w:val="18"/>
              </w:rPr>
            </w:pPr>
            <w:r>
              <w:rPr>
                <w:rFonts w:cs="Calibri"/>
                <w:color w:val="000000"/>
                <w:sz w:val="18"/>
                <w:szCs w:val="18"/>
              </w:rPr>
              <w:t xml:space="preserve">Σύνολο </w:t>
            </w:r>
            <w:r w:rsidR="009F1BD4" w:rsidRPr="0029055C">
              <w:rPr>
                <w:rFonts w:cs="Calibri"/>
                <w:color w:val="000000"/>
                <w:sz w:val="18"/>
                <w:szCs w:val="18"/>
              </w:rPr>
              <w:t>ΘΑ II</w:t>
            </w:r>
          </w:p>
        </w:tc>
        <w:tc>
          <w:tcPr>
            <w:tcW w:w="1430" w:type="dxa"/>
            <w:noWrap/>
            <w:vAlign w:val="center"/>
            <w:hideMark/>
          </w:tcPr>
          <w:p w14:paraId="14F36277" w14:textId="16A03AD0"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p>
        </w:tc>
        <w:tc>
          <w:tcPr>
            <w:tcW w:w="2268" w:type="dxa"/>
            <w:noWrap/>
            <w:hideMark/>
          </w:tcPr>
          <w:p w14:paraId="58151D89"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173.497.312,00</w:t>
            </w:r>
          </w:p>
        </w:tc>
        <w:tc>
          <w:tcPr>
            <w:tcW w:w="2268" w:type="dxa"/>
            <w:noWrap/>
            <w:hideMark/>
          </w:tcPr>
          <w:p w14:paraId="3D1AF45A"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235.702.112,00</w:t>
            </w:r>
          </w:p>
        </w:tc>
        <w:tc>
          <w:tcPr>
            <w:tcW w:w="1459" w:type="dxa"/>
            <w:shd w:val="clear" w:color="auto" w:fill="EEECE1" w:themeFill="background2"/>
            <w:noWrap/>
            <w:hideMark/>
          </w:tcPr>
          <w:p w14:paraId="4E1CE388"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62.204.800,00</w:t>
            </w:r>
          </w:p>
        </w:tc>
        <w:tc>
          <w:tcPr>
            <w:tcW w:w="2247" w:type="dxa"/>
            <w:noWrap/>
            <w:hideMark/>
          </w:tcPr>
          <w:p w14:paraId="4551B325"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223.137.222,00</w:t>
            </w:r>
          </w:p>
        </w:tc>
        <w:tc>
          <w:tcPr>
            <w:tcW w:w="2248" w:type="dxa"/>
            <w:noWrap/>
            <w:hideMark/>
          </w:tcPr>
          <w:p w14:paraId="6A526B01"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303.137.222,00</w:t>
            </w:r>
          </w:p>
        </w:tc>
        <w:tc>
          <w:tcPr>
            <w:tcW w:w="1500" w:type="dxa"/>
            <w:shd w:val="clear" w:color="auto" w:fill="EEECE1" w:themeFill="background2"/>
            <w:noWrap/>
            <w:hideMark/>
          </w:tcPr>
          <w:p w14:paraId="76DFFA06"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80.000.000,00</w:t>
            </w:r>
          </w:p>
        </w:tc>
      </w:tr>
      <w:tr w:rsidR="009F1BD4" w:rsidRPr="0029055C" w14:paraId="274EFB91"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hideMark/>
          </w:tcPr>
          <w:p w14:paraId="35A8458F" w14:textId="77777777" w:rsidR="009F1BD4" w:rsidRPr="0029055C" w:rsidRDefault="009F1BD4" w:rsidP="00627C2C">
            <w:pPr>
              <w:spacing w:before="40" w:after="40" w:line="240" w:lineRule="auto"/>
              <w:jc w:val="left"/>
              <w:rPr>
                <w:rFonts w:cs="Calibri"/>
                <w:color w:val="000000"/>
                <w:sz w:val="18"/>
                <w:szCs w:val="18"/>
              </w:rPr>
            </w:pPr>
            <w:r w:rsidRPr="0029055C">
              <w:rPr>
                <w:rFonts w:cs="Calibri"/>
                <w:color w:val="000000"/>
                <w:sz w:val="18"/>
                <w:szCs w:val="18"/>
              </w:rPr>
              <w:t>ΘΑ III</w:t>
            </w:r>
          </w:p>
        </w:tc>
        <w:tc>
          <w:tcPr>
            <w:tcW w:w="1430" w:type="dxa"/>
            <w:noWrap/>
            <w:vAlign w:val="center"/>
            <w:hideMark/>
          </w:tcPr>
          <w:p w14:paraId="13816036"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7</w:t>
            </w:r>
          </w:p>
        </w:tc>
        <w:tc>
          <w:tcPr>
            <w:tcW w:w="2268" w:type="dxa"/>
            <w:noWrap/>
            <w:hideMark/>
          </w:tcPr>
          <w:p w14:paraId="6554A240"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83.688.566,00</w:t>
            </w:r>
          </w:p>
        </w:tc>
        <w:tc>
          <w:tcPr>
            <w:tcW w:w="2268" w:type="dxa"/>
            <w:noWrap/>
            <w:hideMark/>
          </w:tcPr>
          <w:p w14:paraId="7AE158A6"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88.732.038,00</w:t>
            </w:r>
          </w:p>
        </w:tc>
        <w:tc>
          <w:tcPr>
            <w:tcW w:w="1459" w:type="dxa"/>
            <w:shd w:val="clear" w:color="auto" w:fill="EEECE1" w:themeFill="background2"/>
            <w:noWrap/>
            <w:hideMark/>
          </w:tcPr>
          <w:p w14:paraId="3212CB9F"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5.043.472,00</w:t>
            </w:r>
          </w:p>
        </w:tc>
        <w:tc>
          <w:tcPr>
            <w:tcW w:w="2247" w:type="dxa"/>
            <w:noWrap/>
            <w:hideMark/>
          </w:tcPr>
          <w:p w14:paraId="161A5B38"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104.610.710,00</w:t>
            </w:r>
          </w:p>
        </w:tc>
        <w:tc>
          <w:tcPr>
            <w:tcW w:w="2248" w:type="dxa"/>
            <w:noWrap/>
            <w:hideMark/>
          </w:tcPr>
          <w:p w14:paraId="0C2A3FA0"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110.915.049,00</w:t>
            </w:r>
          </w:p>
        </w:tc>
        <w:tc>
          <w:tcPr>
            <w:tcW w:w="1500" w:type="dxa"/>
            <w:shd w:val="clear" w:color="auto" w:fill="EEECE1" w:themeFill="background2"/>
            <w:noWrap/>
            <w:hideMark/>
          </w:tcPr>
          <w:p w14:paraId="4BD78D27"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6.304.339,00</w:t>
            </w:r>
          </w:p>
        </w:tc>
      </w:tr>
      <w:tr w:rsidR="009F1BD4" w:rsidRPr="0029055C" w14:paraId="59129D80"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tcPr>
          <w:p w14:paraId="1C15C0D2" w14:textId="77777777" w:rsidR="009F1BD4" w:rsidRPr="0029055C" w:rsidRDefault="009F1BD4" w:rsidP="00627C2C">
            <w:pPr>
              <w:spacing w:before="40" w:after="40" w:line="240" w:lineRule="auto"/>
              <w:jc w:val="right"/>
              <w:rPr>
                <w:rFonts w:cs="Calibri"/>
                <w:color w:val="000000"/>
                <w:sz w:val="18"/>
                <w:szCs w:val="18"/>
              </w:rPr>
            </w:pPr>
          </w:p>
        </w:tc>
        <w:tc>
          <w:tcPr>
            <w:tcW w:w="1430" w:type="dxa"/>
            <w:noWrap/>
            <w:vAlign w:val="center"/>
            <w:hideMark/>
          </w:tcPr>
          <w:p w14:paraId="0992F549"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w:t>
            </w:r>
          </w:p>
        </w:tc>
        <w:tc>
          <w:tcPr>
            <w:tcW w:w="2268" w:type="dxa"/>
            <w:noWrap/>
            <w:hideMark/>
          </w:tcPr>
          <w:p w14:paraId="65D89F73"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4.132.795,00</w:t>
            </w:r>
          </w:p>
        </w:tc>
        <w:tc>
          <w:tcPr>
            <w:tcW w:w="2268" w:type="dxa"/>
            <w:noWrap/>
            <w:hideMark/>
          </w:tcPr>
          <w:p w14:paraId="4269E5E1"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4.412.435,00</w:t>
            </w:r>
          </w:p>
        </w:tc>
        <w:tc>
          <w:tcPr>
            <w:tcW w:w="1459" w:type="dxa"/>
            <w:shd w:val="clear" w:color="auto" w:fill="EEECE1" w:themeFill="background2"/>
            <w:noWrap/>
            <w:hideMark/>
          </w:tcPr>
          <w:p w14:paraId="73A4C02D"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279.640,00</w:t>
            </w:r>
          </w:p>
        </w:tc>
        <w:tc>
          <w:tcPr>
            <w:tcW w:w="2247" w:type="dxa"/>
            <w:noWrap/>
            <w:hideMark/>
          </w:tcPr>
          <w:p w14:paraId="126D7D94"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8.265.589,00</w:t>
            </w:r>
          </w:p>
        </w:tc>
        <w:tc>
          <w:tcPr>
            <w:tcW w:w="2248" w:type="dxa"/>
            <w:noWrap/>
            <w:hideMark/>
          </w:tcPr>
          <w:p w14:paraId="0D775ABB"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8.824.870,00</w:t>
            </w:r>
          </w:p>
        </w:tc>
        <w:tc>
          <w:tcPr>
            <w:tcW w:w="1500" w:type="dxa"/>
            <w:shd w:val="clear" w:color="auto" w:fill="EEECE1" w:themeFill="background2"/>
            <w:noWrap/>
            <w:hideMark/>
          </w:tcPr>
          <w:p w14:paraId="36E061BF"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559.281,00</w:t>
            </w:r>
          </w:p>
        </w:tc>
      </w:tr>
      <w:tr w:rsidR="009F1BD4" w:rsidRPr="0029055C" w14:paraId="791C2A1C"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tcPr>
          <w:p w14:paraId="3A310B6C" w14:textId="77777777" w:rsidR="009F1BD4" w:rsidRPr="0029055C" w:rsidRDefault="009F1BD4" w:rsidP="00627C2C">
            <w:pPr>
              <w:spacing w:before="40" w:after="40" w:line="240" w:lineRule="auto"/>
              <w:jc w:val="right"/>
              <w:rPr>
                <w:rFonts w:cs="Calibri"/>
                <w:color w:val="000000"/>
                <w:sz w:val="18"/>
                <w:szCs w:val="18"/>
              </w:rPr>
            </w:pPr>
          </w:p>
        </w:tc>
        <w:tc>
          <w:tcPr>
            <w:tcW w:w="1430" w:type="dxa"/>
            <w:noWrap/>
            <w:vAlign w:val="center"/>
            <w:hideMark/>
          </w:tcPr>
          <w:p w14:paraId="068FF27F"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9</w:t>
            </w:r>
          </w:p>
        </w:tc>
        <w:tc>
          <w:tcPr>
            <w:tcW w:w="2268" w:type="dxa"/>
            <w:noWrap/>
            <w:hideMark/>
          </w:tcPr>
          <w:p w14:paraId="5B56B7D2"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733.350,00</w:t>
            </w:r>
          </w:p>
        </w:tc>
        <w:tc>
          <w:tcPr>
            <w:tcW w:w="2268" w:type="dxa"/>
            <w:noWrap/>
            <w:hideMark/>
          </w:tcPr>
          <w:p w14:paraId="28D6CA48"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775.680,00</w:t>
            </w:r>
          </w:p>
        </w:tc>
        <w:tc>
          <w:tcPr>
            <w:tcW w:w="1459" w:type="dxa"/>
            <w:shd w:val="clear" w:color="auto" w:fill="EEECE1" w:themeFill="background2"/>
            <w:noWrap/>
            <w:hideMark/>
          </w:tcPr>
          <w:p w14:paraId="531B0193"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42.330,00</w:t>
            </w:r>
          </w:p>
        </w:tc>
        <w:tc>
          <w:tcPr>
            <w:tcW w:w="2247" w:type="dxa"/>
            <w:noWrap/>
            <w:hideMark/>
          </w:tcPr>
          <w:p w14:paraId="4E1840F0"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1.466.700,00</w:t>
            </w:r>
          </w:p>
        </w:tc>
        <w:tc>
          <w:tcPr>
            <w:tcW w:w="2248" w:type="dxa"/>
            <w:noWrap/>
            <w:hideMark/>
          </w:tcPr>
          <w:p w14:paraId="13801D8B"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1.551.360,00</w:t>
            </w:r>
          </w:p>
        </w:tc>
        <w:tc>
          <w:tcPr>
            <w:tcW w:w="1500" w:type="dxa"/>
            <w:shd w:val="clear" w:color="auto" w:fill="EEECE1" w:themeFill="background2"/>
            <w:noWrap/>
            <w:hideMark/>
          </w:tcPr>
          <w:p w14:paraId="34FA159E"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84.660,00</w:t>
            </w:r>
          </w:p>
        </w:tc>
      </w:tr>
      <w:tr w:rsidR="009F1BD4" w:rsidRPr="0029055C" w14:paraId="51AD9716"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hideMark/>
          </w:tcPr>
          <w:p w14:paraId="48885A99" w14:textId="65B19B20" w:rsidR="009F1BD4" w:rsidRPr="0029055C" w:rsidRDefault="00A8078E" w:rsidP="00627C2C">
            <w:pPr>
              <w:spacing w:before="40" w:after="40" w:line="240" w:lineRule="auto"/>
              <w:jc w:val="left"/>
              <w:rPr>
                <w:rFonts w:cs="Calibri"/>
                <w:color w:val="000000"/>
                <w:sz w:val="18"/>
                <w:szCs w:val="18"/>
              </w:rPr>
            </w:pPr>
            <w:r>
              <w:rPr>
                <w:rFonts w:cs="Calibri"/>
                <w:color w:val="000000"/>
                <w:sz w:val="18"/>
                <w:szCs w:val="18"/>
              </w:rPr>
              <w:t>Σύνολο ΘΑ III</w:t>
            </w:r>
          </w:p>
        </w:tc>
        <w:tc>
          <w:tcPr>
            <w:tcW w:w="1430" w:type="dxa"/>
            <w:noWrap/>
            <w:vAlign w:val="center"/>
            <w:hideMark/>
          </w:tcPr>
          <w:p w14:paraId="3208851C" w14:textId="1BFCFAEE"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p>
        </w:tc>
        <w:tc>
          <w:tcPr>
            <w:tcW w:w="2268" w:type="dxa"/>
            <w:noWrap/>
            <w:hideMark/>
          </w:tcPr>
          <w:p w14:paraId="0BE761BC"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88.554.711,00</w:t>
            </w:r>
          </w:p>
        </w:tc>
        <w:tc>
          <w:tcPr>
            <w:tcW w:w="2268" w:type="dxa"/>
            <w:noWrap/>
            <w:hideMark/>
          </w:tcPr>
          <w:p w14:paraId="469D259D"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93.920.153,00</w:t>
            </w:r>
          </w:p>
        </w:tc>
        <w:tc>
          <w:tcPr>
            <w:tcW w:w="1459" w:type="dxa"/>
            <w:shd w:val="clear" w:color="auto" w:fill="EEECE1" w:themeFill="background2"/>
            <w:noWrap/>
            <w:hideMark/>
          </w:tcPr>
          <w:p w14:paraId="15B8DA58"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5.365.442,00</w:t>
            </w:r>
          </w:p>
        </w:tc>
        <w:tc>
          <w:tcPr>
            <w:tcW w:w="2247" w:type="dxa"/>
            <w:noWrap/>
            <w:hideMark/>
          </w:tcPr>
          <w:p w14:paraId="6F9D216E"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114.342.999,00</w:t>
            </w:r>
          </w:p>
        </w:tc>
        <w:tc>
          <w:tcPr>
            <w:tcW w:w="2248" w:type="dxa"/>
            <w:noWrap/>
            <w:hideMark/>
          </w:tcPr>
          <w:p w14:paraId="7A187364"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121.291.279,00</w:t>
            </w:r>
          </w:p>
        </w:tc>
        <w:tc>
          <w:tcPr>
            <w:tcW w:w="1500" w:type="dxa"/>
            <w:shd w:val="clear" w:color="auto" w:fill="EEECE1" w:themeFill="background2"/>
            <w:noWrap/>
            <w:hideMark/>
          </w:tcPr>
          <w:p w14:paraId="170FBC0A"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6.948.280,00</w:t>
            </w:r>
          </w:p>
        </w:tc>
      </w:tr>
      <w:tr w:rsidR="009F1BD4" w:rsidRPr="0029055C" w14:paraId="73DA3DF5"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hideMark/>
          </w:tcPr>
          <w:p w14:paraId="0B89FD77" w14:textId="77777777" w:rsidR="009F1BD4" w:rsidRPr="0029055C" w:rsidRDefault="009F1BD4" w:rsidP="00627C2C">
            <w:pPr>
              <w:spacing w:before="40" w:after="40" w:line="240" w:lineRule="auto"/>
              <w:jc w:val="left"/>
              <w:rPr>
                <w:rFonts w:cs="Calibri"/>
                <w:color w:val="000000"/>
                <w:sz w:val="18"/>
                <w:szCs w:val="18"/>
              </w:rPr>
            </w:pPr>
            <w:r w:rsidRPr="0029055C">
              <w:rPr>
                <w:rFonts w:cs="Calibri"/>
                <w:color w:val="000000"/>
                <w:sz w:val="18"/>
                <w:szCs w:val="18"/>
              </w:rPr>
              <w:t>ΘΑ IV</w:t>
            </w:r>
          </w:p>
        </w:tc>
        <w:tc>
          <w:tcPr>
            <w:tcW w:w="1430" w:type="dxa"/>
            <w:noWrap/>
            <w:vAlign w:val="center"/>
            <w:hideMark/>
          </w:tcPr>
          <w:p w14:paraId="47CD62DF"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w:t>
            </w:r>
          </w:p>
        </w:tc>
        <w:tc>
          <w:tcPr>
            <w:tcW w:w="2268" w:type="dxa"/>
            <w:noWrap/>
            <w:hideMark/>
          </w:tcPr>
          <w:p w14:paraId="2D56D809"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5.314.654,00</w:t>
            </w:r>
          </w:p>
        </w:tc>
        <w:tc>
          <w:tcPr>
            <w:tcW w:w="2268" w:type="dxa"/>
            <w:noWrap/>
            <w:hideMark/>
          </w:tcPr>
          <w:p w14:paraId="77AA8EA2"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5.314.654,00</w:t>
            </w:r>
          </w:p>
        </w:tc>
        <w:tc>
          <w:tcPr>
            <w:tcW w:w="1459" w:type="dxa"/>
            <w:shd w:val="clear" w:color="auto" w:fill="EEECE1" w:themeFill="background2"/>
            <w:noWrap/>
            <w:hideMark/>
          </w:tcPr>
          <w:p w14:paraId="652ED3FC"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c>
          <w:tcPr>
            <w:tcW w:w="2247" w:type="dxa"/>
            <w:noWrap/>
            <w:hideMark/>
          </w:tcPr>
          <w:p w14:paraId="5087638E"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6.643.318,00</w:t>
            </w:r>
          </w:p>
        </w:tc>
        <w:tc>
          <w:tcPr>
            <w:tcW w:w="2248" w:type="dxa"/>
            <w:noWrap/>
            <w:hideMark/>
          </w:tcPr>
          <w:p w14:paraId="750325D6"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6.643.318,00</w:t>
            </w:r>
          </w:p>
        </w:tc>
        <w:tc>
          <w:tcPr>
            <w:tcW w:w="1500" w:type="dxa"/>
            <w:shd w:val="clear" w:color="auto" w:fill="EEECE1" w:themeFill="background2"/>
            <w:noWrap/>
            <w:hideMark/>
          </w:tcPr>
          <w:p w14:paraId="14CF6820"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r>
      <w:tr w:rsidR="009F1BD4" w:rsidRPr="0029055C" w14:paraId="7F95902E"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tcPr>
          <w:p w14:paraId="1687D1E6" w14:textId="77777777" w:rsidR="009F1BD4" w:rsidRPr="0029055C" w:rsidRDefault="009F1BD4" w:rsidP="00627C2C">
            <w:pPr>
              <w:spacing w:before="40" w:after="40" w:line="240" w:lineRule="auto"/>
              <w:jc w:val="right"/>
              <w:rPr>
                <w:rFonts w:cs="Calibri"/>
                <w:color w:val="000000"/>
                <w:sz w:val="18"/>
                <w:szCs w:val="18"/>
              </w:rPr>
            </w:pPr>
          </w:p>
        </w:tc>
        <w:tc>
          <w:tcPr>
            <w:tcW w:w="1430" w:type="dxa"/>
            <w:noWrap/>
            <w:vAlign w:val="center"/>
            <w:hideMark/>
          </w:tcPr>
          <w:p w14:paraId="738C1BA0"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11</w:t>
            </w:r>
          </w:p>
        </w:tc>
        <w:tc>
          <w:tcPr>
            <w:tcW w:w="2268" w:type="dxa"/>
            <w:noWrap/>
            <w:hideMark/>
          </w:tcPr>
          <w:p w14:paraId="610CB65E"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332.850,00</w:t>
            </w:r>
          </w:p>
        </w:tc>
        <w:tc>
          <w:tcPr>
            <w:tcW w:w="2268" w:type="dxa"/>
            <w:noWrap/>
            <w:hideMark/>
          </w:tcPr>
          <w:p w14:paraId="3FBD2E0F"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332.850,00</w:t>
            </w:r>
          </w:p>
        </w:tc>
        <w:tc>
          <w:tcPr>
            <w:tcW w:w="1459" w:type="dxa"/>
            <w:shd w:val="clear" w:color="auto" w:fill="EEECE1" w:themeFill="background2"/>
            <w:noWrap/>
            <w:hideMark/>
          </w:tcPr>
          <w:p w14:paraId="579CBD3B"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c>
          <w:tcPr>
            <w:tcW w:w="2247" w:type="dxa"/>
            <w:noWrap/>
            <w:hideMark/>
          </w:tcPr>
          <w:p w14:paraId="33145AB9"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665.700,00</w:t>
            </w:r>
          </w:p>
        </w:tc>
        <w:tc>
          <w:tcPr>
            <w:tcW w:w="2248" w:type="dxa"/>
            <w:noWrap/>
            <w:hideMark/>
          </w:tcPr>
          <w:p w14:paraId="2EE94054"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665.700,00</w:t>
            </w:r>
          </w:p>
        </w:tc>
        <w:tc>
          <w:tcPr>
            <w:tcW w:w="1500" w:type="dxa"/>
            <w:shd w:val="clear" w:color="auto" w:fill="EEECE1" w:themeFill="background2"/>
            <w:noWrap/>
            <w:hideMark/>
          </w:tcPr>
          <w:p w14:paraId="4555972E"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r>
      <w:tr w:rsidR="009F1BD4" w:rsidRPr="0029055C" w14:paraId="3DE1DC18"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tcPr>
          <w:p w14:paraId="27C93810" w14:textId="77777777" w:rsidR="009F1BD4" w:rsidRPr="0029055C" w:rsidRDefault="009F1BD4" w:rsidP="00627C2C">
            <w:pPr>
              <w:spacing w:before="40" w:after="40" w:line="240" w:lineRule="auto"/>
              <w:jc w:val="right"/>
              <w:rPr>
                <w:rFonts w:cs="Calibri"/>
                <w:color w:val="000000"/>
                <w:sz w:val="18"/>
                <w:szCs w:val="18"/>
              </w:rPr>
            </w:pPr>
          </w:p>
        </w:tc>
        <w:tc>
          <w:tcPr>
            <w:tcW w:w="1430" w:type="dxa"/>
            <w:noWrap/>
            <w:vAlign w:val="center"/>
            <w:hideMark/>
          </w:tcPr>
          <w:p w14:paraId="6D788152"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12</w:t>
            </w:r>
          </w:p>
        </w:tc>
        <w:tc>
          <w:tcPr>
            <w:tcW w:w="2268" w:type="dxa"/>
            <w:noWrap/>
            <w:hideMark/>
          </w:tcPr>
          <w:p w14:paraId="430619E1"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42.277,00</w:t>
            </w:r>
          </w:p>
        </w:tc>
        <w:tc>
          <w:tcPr>
            <w:tcW w:w="2268" w:type="dxa"/>
            <w:noWrap/>
            <w:hideMark/>
          </w:tcPr>
          <w:p w14:paraId="5C1BA693"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42.277,00</w:t>
            </w:r>
          </w:p>
        </w:tc>
        <w:tc>
          <w:tcPr>
            <w:tcW w:w="1459" w:type="dxa"/>
            <w:shd w:val="clear" w:color="auto" w:fill="EEECE1" w:themeFill="background2"/>
            <w:noWrap/>
            <w:hideMark/>
          </w:tcPr>
          <w:p w14:paraId="2BD24D70"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c>
          <w:tcPr>
            <w:tcW w:w="2247" w:type="dxa"/>
            <w:noWrap/>
            <w:hideMark/>
          </w:tcPr>
          <w:p w14:paraId="3DF19B14"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84.554,00</w:t>
            </w:r>
          </w:p>
        </w:tc>
        <w:tc>
          <w:tcPr>
            <w:tcW w:w="2248" w:type="dxa"/>
            <w:noWrap/>
            <w:hideMark/>
          </w:tcPr>
          <w:p w14:paraId="78D71C7D"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84.554,00</w:t>
            </w:r>
          </w:p>
        </w:tc>
        <w:tc>
          <w:tcPr>
            <w:tcW w:w="1500" w:type="dxa"/>
            <w:shd w:val="clear" w:color="auto" w:fill="EEECE1" w:themeFill="background2"/>
            <w:noWrap/>
            <w:hideMark/>
          </w:tcPr>
          <w:p w14:paraId="6F6CD986"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r>
      <w:tr w:rsidR="009F1BD4" w:rsidRPr="0029055C" w14:paraId="22E3A65A"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hideMark/>
          </w:tcPr>
          <w:p w14:paraId="1CC56CA6" w14:textId="3B35B652" w:rsidR="009F1BD4" w:rsidRPr="0029055C" w:rsidRDefault="00A8078E" w:rsidP="00627C2C">
            <w:pPr>
              <w:spacing w:before="40" w:after="40" w:line="240" w:lineRule="auto"/>
              <w:jc w:val="left"/>
              <w:rPr>
                <w:rFonts w:cs="Calibri"/>
                <w:color w:val="000000"/>
                <w:sz w:val="18"/>
                <w:szCs w:val="18"/>
              </w:rPr>
            </w:pPr>
            <w:r>
              <w:rPr>
                <w:rFonts w:cs="Calibri"/>
                <w:color w:val="000000"/>
                <w:sz w:val="18"/>
                <w:szCs w:val="18"/>
              </w:rPr>
              <w:t>Σύνολο ΘΑ IV</w:t>
            </w:r>
          </w:p>
        </w:tc>
        <w:tc>
          <w:tcPr>
            <w:tcW w:w="1430" w:type="dxa"/>
            <w:noWrap/>
            <w:vAlign w:val="center"/>
            <w:hideMark/>
          </w:tcPr>
          <w:p w14:paraId="5CE5CD4E" w14:textId="53334D3C"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p>
        </w:tc>
        <w:tc>
          <w:tcPr>
            <w:tcW w:w="2268" w:type="dxa"/>
            <w:noWrap/>
            <w:hideMark/>
          </w:tcPr>
          <w:p w14:paraId="77022198"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5.689.781,00</w:t>
            </w:r>
          </w:p>
        </w:tc>
        <w:tc>
          <w:tcPr>
            <w:tcW w:w="2268" w:type="dxa"/>
            <w:noWrap/>
            <w:hideMark/>
          </w:tcPr>
          <w:p w14:paraId="27CFB284"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5.689.781,00</w:t>
            </w:r>
          </w:p>
        </w:tc>
        <w:tc>
          <w:tcPr>
            <w:tcW w:w="1459" w:type="dxa"/>
            <w:shd w:val="clear" w:color="auto" w:fill="EEECE1" w:themeFill="background2"/>
            <w:noWrap/>
            <w:hideMark/>
          </w:tcPr>
          <w:p w14:paraId="660033D0"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c>
          <w:tcPr>
            <w:tcW w:w="2247" w:type="dxa"/>
            <w:noWrap/>
            <w:hideMark/>
          </w:tcPr>
          <w:p w14:paraId="30D0A5CE"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7.393.572,00</w:t>
            </w:r>
          </w:p>
        </w:tc>
        <w:tc>
          <w:tcPr>
            <w:tcW w:w="2248" w:type="dxa"/>
            <w:noWrap/>
            <w:hideMark/>
          </w:tcPr>
          <w:p w14:paraId="4F75913F"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7.393.572,00</w:t>
            </w:r>
          </w:p>
        </w:tc>
        <w:tc>
          <w:tcPr>
            <w:tcW w:w="1500" w:type="dxa"/>
            <w:shd w:val="clear" w:color="auto" w:fill="EEECE1" w:themeFill="background2"/>
            <w:noWrap/>
            <w:hideMark/>
          </w:tcPr>
          <w:p w14:paraId="6C520DAD"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r>
      <w:tr w:rsidR="009F1BD4" w:rsidRPr="0029055C" w14:paraId="1AF938BA"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hideMark/>
          </w:tcPr>
          <w:p w14:paraId="127191F5" w14:textId="77777777" w:rsidR="009F1BD4" w:rsidRPr="0029055C" w:rsidRDefault="009F1BD4" w:rsidP="00627C2C">
            <w:pPr>
              <w:spacing w:before="40" w:after="40" w:line="240" w:lineRule="auto"/>
              <w:jc w:val="left"/>
              <w:rPr>
                <w:rFonts w:cs="Calibri"/>
                <w:color w:val="000000"/>
                <w:sz w:val="18"/>
                <w:szCs w:val="18"/>
              </w:rPr>
            </w:pPr>
            <w:r w:rsidRPr="0029055C">
              <w:rPr>
                <w:rFonts w:cs="Calibri"/>
                <w:color w:val="000000"/>
                <w:sz w:val="18"/>
                <w:szCs w:val="18"/>
              </w:rPr>
              <w:t>ΘΑ V</w:t>
            </w:r>
          </w:p>
        </w:tc>
        <w:tc>
          <w:tcPr>
            <w:tcW w:w="1430" w:type="dxa"/>
            <w:noWrap/>
            <w:vAlign w:val="center"/>
            <w:hideMark/>
          </w:tcPr>
          <w:p w14:paraId="29F90D84"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13</w:t>
            </w:r>
          </w:p>
        </w:tc>
        <w:tc>
          <w:tcPr>
            <w:tcW w:w="2268" w:type="dxa"/>
            <w:noWrap/>
            <w:hideMark/>
          </w:tcPr>
          <w:p w14:paraId="52884C8E"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3.096.436,00</w:t>
            </w:r>
          </w:p>
        </w:tc>
        <w:tc>
          <w:tcPr>
            <w:tcW w:w="2268" w:type="dxa"/>
            <w:noWrap/>
            <w:hideMark/>
          </w:tcPr>
          <w:p w14:paraId="51EDC7FD"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3.096.436,00</w:t>
            </w:r>
          </w:p>
        </w:tc>
        <w:tc>
          <w:tcPr>
            <w:tcW w:w="1459" w:type="dxa"/>
            <w:shd w:val="clear" w:color="auto" w:fill="EEECE1" w:themeFill="background2"/>
            <w:noWrap/>
            <w:hideMark/>
          </w:tcPr>
          <w:p w14:paraId="2A1E1E09"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c>
          <w:tcPr>
            <w:tcW w:w="2247" w:type="dxa"/>
            <w:noWrap/>
            <w:hideMark/>
          </w:tcPr>
          <w:p w14:paraId="6073130A"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3.870.546,00</w:t>
            </w:r>
          </w:p>
        </w:tc>
        <w:tc>
          <w:tcPr>
            <w:tcW w:w="2248" w:type="dxa"/>
            <w:noWrap/>
            <w:hideMark/>
          </w:tcPr>
          <w:p w14:paraId="39AE4352"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3.870.546,00</w:t>
            </w:r>
          </w:p>
        </w:tc>
        <w:tc>
          <w:tcPr>
            <w:tcW w:w="1500" w:type="dxa"/>
            <w:shd w:val="clear" w:color="auto" w:fill="EEECE1" w:themeFill="background2"/>
            <w:noWrap/>
            <w:hideMark/>
          </w:tcPr>
          <w:p w14:paraId="6D596EB6"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r>
      <w:tr w:rsidR="009F1BD4" w:rsidRPr="0029055C" w14:paraId="1AD521F9"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tcPr>
          <w:p w14:paraId="6601EDBE" w14:textId="77777777" w:rsidR="009F1BD4" w:rsidRPr="0029055C" w:rsidRDefault="009F1BD4" w:rsidP="00627C2C">
            <w:pPr>
              <w:spacing w:before="40" w:after="40" w:line="240" w:lineRule="auto"/>
              <w:jc w:val="right"/>
              <w:rPr>
                <w:rFonts w:cs="Calibri"/>
                <w:color w:val="000000"/>
                <w:sz w:val="18"/>
                <w:szCs w:val="18"/>
              </w:rPr>
            </w:pPr>
          </w:p>
        </w:tc>
        <w:tc>
          <w:tcPr>
            <w:tcW w:w="1430" w:type="dxa"/>
            <w:noWrap/>
            <w:vAlign w:val="center"/>
            <w:hideMark/>
          </w:tcPr>
          <w:p w14:paraId="730A785F"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14</w:t>
            </w:r>
          </w:p>
        </w:tc>
        <w:tc>
          <w:tcPr>
            <w:tcW w:w="2268" w:type="dxa"/>
            <w:noWrap/>
            <w:hideMark/>
          </w:tcPr>
          <w:p w14:paraId="73B8D95B"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105.096,00</w:t>
            </w:r>
          </w:p>
        </w:tc>
        <w:tc>
          <w:tcPr>
            <w:tcW w:w="2268" w:type="dxa"/>
            <w:noWrap/>
            <w:hideMark/>
          </w:tcPr>
          <w:p w14:paraId="15777A36"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105.096,00</w:t>
            </w:r>
          </w:p>
        </w:tc>
        <w:tc>
          <w:tcPr>
            <w:tcW w:w="1459" w:type="dxa"/>
            <w:shd w:val="clear" w:color="auto" w:fill="EEECE1" w:themeFill="background2"/>
            <w:noWrap/>
            <w:hideMark/>
          </w:tcPr>
          <w:p w14:paraId="239830BA"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c>
          <w:tcPr>
            <w:tcW w:w="2247" w:type="dxa"/>
            <w:noWrap/>
            <w:hideMark/>
          </w:tcPr>
          <w:p w14:paraId="20921182"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210.192,00</w:t>
            </w:r>
          </w:p>
        </w:tc>
        <w:tc>
          <w:tcPr>
            <w:tcW w:w="2248" w:type="dxa"/>
            <w:noWrap/>
            <w:hideMark/>
          </w:tcPr>
          <w:p w14:paraId="1EB67C13"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210.192,00</w:t>
            </w:r>
          </w:p>
        </w:tc>
        <w:tc>
          <w:tcPr>
            <w:tcW w:w="1500" w:type="dxa"/>
            <w:shd w:val="clear" w:color="auto" w:fill="EEECE1" w:themeFill="background2"/>
            <w:noWrap/>
            <w:hideMark/>
          </w:tcPr>
          <w:p w14:paraId="59C2A231"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r>
      <w:tr w:rsidR="009F1BD4" w:rsidRPr="0029055C" w14:paraId="6A9F17A3"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tcPr>
          <w:p w14:paraId="7D84FDB5" w14:textId="77777777" w:rsidR="009F1BD4" w:rsidRPr="0029055C" w:rsidRDefault="009F1BD4" w:rsidP="00627C2C">
            <w:pPr>
              <w:spacing w:before="40" w:after="40" w:line="240" w:lineRule="auto"/>
              <w:jc w:val="right"/>
              <w:rPr>
                <w:rFonts w:cs="Calibri"/>
                <w:color w:val="000000"/>
                <w:sz w:val="18"/>
                <w:szCs w:val="18"/>
              </w:rPr>
            </w:pPr>
          </w:p>
        </w:tc>
        <w:tc>
          <w:tcPr>
            <w:tcW w:w="1430" w:type="dxa"/>
            <w:noWrap/>
            <w:vAlign w:val="center"/>
            <w:hideMark/>
          </w:tcPr>
          <w:p w14:paraId="7206080E"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15</w:t>
            </w:r>
          </w:p>
        </w:tc>
        <w:tc>
          <w:tcPr>
            <w:tcW w:w="2268" w:type="dxa"/>
            <w:noWrap/>
            <w:hideMark/>
          </w:tcPr>
          <w:p w14:paraId="6C6FF24D"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51.544,00</w:t>
            </w:r>
          </w:p>
        </w:tc>
        <w:tc>
          <w:tcPr>
            <w:tcW w:w="2268" w:type="dxa"/>
            <w:noWrap/>
            <w:hideMark/>
          </w:tcPr>
          <w:p w14:paraId="1DAF5F7F"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51.544,00</w:t>
            </w:r>
          </w:p>
        </w:tc>
        <w:tc>
          <w:tcPr>
            <w:tcW w:w="1459" w:type="dxa"/>
            <w:shd w:val="clear" w:color="auto" w:fill="EEECE1" w:themeFill="background2"/>
            <w:noWrap/>
            <w:hideMark/>
          </w:tcPr>
          <w:p w14:paraId="6BEF57C9"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c>
          <w:tcPr>
            <w:tcW w:w="2247" w:type="dxa"/>
            <w:noWrap/>
            <w:hideMark/>
          </w:tcPr>
          <w:p w14:paraId="5807B341"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103.088,00</w:t>
            </w:r>
          </w:p>
        </w:tc>
        <w:tc>
          <w:tcPr>
            <w:tcW w:w="2248" w:type="dxa"/>
            <w:noWrap/>
            <w:hideMark/>
          </w:tcPr>
          <w:p w14:paraId="3A749A8F"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103.088,00</w:t>
            </w:r>
          </w:p>
        </w:tc>
        <w:tc>
          <w:tcPr>
            <w:tcW w:w="1500" w:type="dxa"/>
            <w:shd w:val="clear" w:color="auto" w:fill="EEECE1" w:themeFill="background2"/>
            <w:noWrap/>
            <w:hideMark/>
          </w:tcPr>
          <w:p w14:paraId="265A208A"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r>
      <w:tr w:rsidR="009F1BD4" w:rsidRPr="0029055C" w14:paraId="52EC51C6"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1121" w:type="dxa"/>
            <w:noWrap/>
            <w:hideMark/>
          </w:tcPr>
          <w:p w14:paraId="745AA952" w14:textId="55051B8F" w:rsidR="009F1BD4" w:rsidRPr="0029055C" w:rsidRDefault="00A8078E" w:rsidP="00A8078E">
            <w:pPr>
              <w:spacing w:before="40" w:after="40" w:line="240" w:lineRule="auto"/>
              <w:jc w:val="left"/>
              <w:rPr>
                <w:rFonts w:cs="Calibri"/>
                <w:color w:val="000000"/>
                <w:sz w:val="18"/>
                <w:szCs w:val="18"/>
              </w:rPr>
            </w:pPr>
            <w:r>
              <w:rPr>
                <w:rFonts w:cs="Calibri"/>
                <w:color w:val="000000"/>
                <w:sz w:val="18"/>
                <w:szCs w:val="18"/>
              </w:rPr>
              <w:t xml:space="preserve">Σύνολο </w:t>
            </w:r>
            <w:r w:rsidR="009F1BD4" w:rsidRPr="0029055C">
              <w:rPr>
                <w:rFonts w:cs="Calibri"/>
                <w:color w:val="000000"/>
                <w:sz w:val="18"/>
                <w:szCs w:val="18"/>
              </w:rPr>
              <w:t xml:space="preserve">ΘΑ V </w:t>
            </w:r>
          </w:p>
        </w:tc>
        <w:tc>
          <w:tcPr>
            <w:tcW w:w="1430" w:type="dxa"/>
            <w:noWrap/>
            <w:vAlign w:val="center"/>
          </w:tcPr>
          <w:p w14:paraId="551E9836" w14:textId="77777777" w:rsidR="009F1BD4" w:rsidRPr="0029055C" w:rsidRDefault="009F1BD4" w:rsidP="00627C2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p>
        </w:tc>
        <w:tc>
          <w:tcPr>
            <w:tcW w:w="2268" w:type="dxa"/>
            <w:noWrap/>
            <w:hideMark/>
          </w:tcPr>
          <w:p w14:paraId="11C23F57"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3.253.076,00</w:t>
            </w:r>
          </w:p>
        </w:tc>
        <w:tc>
          <w:tcPr>
            <w:tcW w:w="2268" w:type="dxa"/>
            <w:noWrap/>
            <w:hideMark/>
          </w:tcPr>
          <w:p w14:paraId="64049969"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3.253.076,00</w:t>
            </w:r>
          </w:p>
        </w:tc>
        <w:tc>
          <w:tcPr>
            <w:tcW w:w="1459" w:type="dxa"/>
            <w:shd w:val="clear" w:color="auto" w:fill="EEECE1" w:themeFill="background2"/>
            <w:noWrap/>
            <w:hideMark/>
          </w:tcPr>
          <w:p w14:paraId="1F7E42D0"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c>
          <w:tcPr>
            <w:tcW w:w="2247" w:type="dxa"/>
            <w:noWrap/>
            <w:hideMark/>
          </w:tcPr>
          <w:p w14:paraId="49D5EE18"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4.183.826,00</w:t>
            </w:r>
          </w:p>
        </w:tc>
        <w:tc>
          <w:tcPr>
            <w:tcW w:w="2248" w:type="dxa"/>
            <w:noWrap/>
            <w:hideMark/>
          </w:tcPr>
          <w:p w14:paraId="2F1BE1F7"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4.183.826,00</w:t>
            </w:r>
          </w:p>
        </w:tc>
        <w:tc>
          <w:tcPr>
            <w:tcW w:w="1500" w:type="dxa"/>
            <w:shd w:val="clear" w:color="auto" w:fill="EEECE1" w:themeFill="background2"/>
            <w:noWrap/>
            <w:hideMark/>
          </w:tcPr>
          <w:p w14:paraId="5BB89300" w14:textId="77777777" w:rsidR="009F1BD4" w:rsidRPr="0029055C" w:rsidRDefault="009F1BD4"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0,00</w:t>
            </w:r>
          </w:p>
        </w:tc>
      </w:tr>
      <w:tr w:rsidR="00A8078E" w:rsidRPr="0029055C" w14:paraId="6A220077" w14:textId="77777777" w:rsidTr="00A8078E">
        <w:trPr>
          <w:trHeight w:val="240"/>
          <w:jc w:val="center"/>
        </w:trPr>
        <w:tc>
          <w:tcPr>
            <w:cnfStyle w:val="001000000000" w:firstRow="0" w:lastRow="0" w:firstColumn="1" w:lastColumn="0" w:oddVBand="0" w:evenVBand="0" w:oddHBand="0" w:evenHBand="0" w:firstRowFirstColumn="0" w:firstRowLastColumn="0" w:lastRowFirstColumn="0" w:lastRowLastColumn="0"/>
            <w:tcW w:w="2551" w:type="dxa"/>
            <w:gridSpan w:val="2"/>
            <w:noWrap/>
            <w:hideMark/>
          </w:tcPr>
          <w:p w14:paraId="4AC4ABF9" w14:textId="6A988ABF" w:rsidR="00A8078E" w:rsidRPr="0029055C" w:rsidRDefault="00A8078E" w:rsidP="00627C2C">
            <w:pPr>
              <w:spacing w:before="40" w:after="40" w:line="240" w:lineRule="auto"/>
              <w:jc w:val="center"/>
              <w:rPr>
                <w:rFonts w:cs="Calibri"/>
                <w:b w:val="0"/>
                <w:bCs w:val="0"/>
                <w:color w:val="000000"/>
                <w:sz w:val="18"/>
                <w:szCs w:val="18"/>
              </w:rPr>
            </w:pPr>
            <w:r>
              <w:rPr>
                <w:rFonts w:cs="Calibri"/>
                <w:color w:val="000000"/>
                <w:sz w:val="18"/>
                <w:szCs w:val="18"/>
              </w:rPr>
              <w:t>ΣΥΝΟΛΟ ΕΠ ΜΔΤ</w:t>
            </w:r>
          </w:p>
        </w:tc>
        <w:tc>
          <w:tcPr>
            <w:tcW w:w="2268" w:type="dxa"/>
            <w:noWrap/>
            <w:hideMark/>
          </w:tcPr>
          <w:p w14:paraId="7606459F" w14:textId="77777777" w:rsidR="00A8078E" w:rsidRPr="0029055C" w:rsidRDefault="00A8078E"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400.138.837,00</w:t>
            </w:r>
          </w:p>
        </w:tc>
        <w:tc>
          <w:tcPr>
            <w:tcW w:w="2268" w:type="dxa"/>
            <w:noWrap/>
            <w:hideMark/>
          </w:tcPr>
          <w:p w14:paraId="69A9E09E" w14:textId="77777777" w:rsidR="00A8078E" w:rsidRPr="0029055C" w:rsidRDefault="00A8078E"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462.343.637,00</w:t>
            </w:r>
          </w:p>
        </w:tc>
        <w:tc>
          <w:tcPr>
            <w:tcW w:w="1459" w:type="dxa"/>
            <w:shd w:val="clear" w:color="auto" w:fill="EEECE1" w:themeFill="background2"/>
            <w:noWrap/>
            <w:hideMark/>
          </w:tcPr>
          <w:p w14:paraId="351AF0FB" w14:textId="77777777" w:rsidR="00A8078E" w:rsidRPr="0029055C" w:rsidRDefault="00A8078E"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62.204.800,00</w:t>
            </w:r>
          </w:p>
        </w:tc>
        <w:tc>
          <w:tcPr>
            <w:tcW w:w="2247" w:type="dxa"/>
            <w:noWrap/>
            <w:hideMark/>
          </w:tcPr>
          <w:p w14:paraId="659B9005" w14:textId="77777777" w:rsidR="00A8078E" w:rsidRPr="0029055C" w:rsidRDefault="00A8078E"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516.299.834,00</w:t>
            </w:r>
          </w:p>
        </w:tc>
        <w:tc>
          <w:tcPr>
            <w:tcW w:w="2248" w:type="dxa"/>
            <w:noWrap/>
            <w:hideMark/>
          </w:tcPr>
          <w:p w14:paraId="1BF0EA8F" w14:textId="77777777" w:rsidR="00A8078E" w:rsidRPr="0029055C" w:rsidRDefault="00A8078E"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18"/>
                <w:szCs w:val="18"/>
              </w:rPr>
            </w:pPr>
            <w:r w:rsidRPr="0029055C">
              <w:rPr>
                <w:rFonts w:cs="Calibri"/>
                <w:b/>
                <w:bCs/>
                <w:color w:val="000000"/>
                <w:sz w:val="18"/>
                <w:szCs w:val="18"/>
              </w:rPr>
              <w:t>596.299.834,00</w:t>
            </w:r>
          </w:p>
        </w:tc>
        <w:tc>
          <w:tcPr>
            <w:tcW w:w="1500" w:type="dxa"/>
            <w:shd w:val="clear" w:color="auto" w:fill="EEECE1" w:themeFill="background2"/>
            <w:noWrap/>
            <w:hideMark/>
          </w:tcPr>
          <w:p w14:paraId="04632228" w14:textId="77777777" w:rsidR="00A8078E" w:rsidRPr="0029055C" w:rsidRDefault="00A8078E" w:rsidP="00627C2C">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29055C">
              <w:rPr>
                <w:rFonts w:cs="Calibri"/>
                <w:color w:val="000000"/>
                <w:sz w:val="18"/>
                <w:szCs w:val="18"/>
              </w:rPr>
              <w:t>80.000.000,00</w:t>
            </w:r>
          </w:p>
        </w:tc>
      </w:tr>
    </w:tbl>
    <w:p w14:paraId="3578CE51" w14:textId="77777777" w:rsidR="009F1BD4" w:rsidRPr="0029055C" w:rsidRDefault="009F1BD4" w:rsidP="00CA04DD">
      <w:pPr>
        <w:rPr>
          <w:lang w:eastAsia="en-US"/>
        </w:rPr>
      </w:pPr>
    </w:p>
    <w:p w14:paraId="768FC147" w14:textId="77777777" w:rsidR="009F1BD4" w:rsidRPr="0029055C" w:rsidRDefault="009F1BD4" w:rsidP="00CA04DD">
      <w:pPr>
        <w:rPr>
          <w:lang w:eastAsia="en-US"/>
        </w:rPr>
      </w:pPr>
    </w:p>
    <w:p w14:paraId="03F6C86B" w14:textId="77777777" w:rsidR="00615092" w:rsidRPr="0029055C" w:rsidRDefault="00615092" w:rsidP="00CA04DD">
      <w:pPr>
        <w:rPr>
          <w:lang w:eastAsia="en-US"/>
        </w:rPr>
      </w:pPr>
    </w:p>
    <w:p w14:paraId="2D735BA8" w14:textId="47D81ECD" w:rsidR="00C73BAE" w:rsidRPr="00A8078E" w:rsidRDefault="00A8078E" w:rsidP="00CA04DD">
      <w:pPr>
        <w:rPr>
          <w:sz w:val="22"/>
          <w:szCs w:val="22"/>
          <w:lang w:eastAsia="en-US"/>
        </w:rPr>
      </w:pPr>
      <w:r w:rsidRPr="00A8078E">
        <w:rPr>
          <w:b/>
          <w:sz w:val="22"/>
          <w:szCs w:val="22"/>
        </w:rPr>
        <w:lastRenderedPageBreak/>
        <w:t xml:space="preserve">Πίνακας </w:t>
      </w:r>
      <w:r w:rsidRPr="00A8078E">
        <w:rPr>
          <w:b/>
          <w:sz w:val="22"/>
          <w:szCs w:val="22"/>
        </w:rPr>
        <w:fldChar w:fldCharType="begin"/>
      </w:r>
      <w:r w:rsidRPr="00A8078E">
        <w:rPr>
          <w:b/>
          <w:sz w:val="22"/>
          <w:szCs w:val="22"/>
        </w:rPr>
        <w:instrText xml:space="preserve"> SEQ Πίνακας \* ARABIC </w:instrText>
      </w:r>
      <w:r w:rsidRPr="00A8078E">
        <w:rPr>
          <w:b/>
          <w:sz w:val="22"/>
          <w:szCs w:val="22"/>
        </w:rPr>
        <w:fldChar w:fldCharType="separate"/>
      </w:r>
      <w:r w:rsidR="00292BCA">
        <w:rPr>
          <w:b/>
          <w:noProof/>
          <w:sz w:val="22"/>
          <w:szCs w:val="22"/>
        </w:rPr>
        <w:t>10</w:t>
      </w:r>
      <w:r w:rsidRPr="00A8078E">
        <w:rPr>
          <w:b/>
          <w:sz w:val="22"/>
          <w:szCs w:val="22"/>
        </w:rPr>
        <w:fldChar w:fldCharType="end"/>
      </w:r>
      <w:r w:rsidRPr="00A8078E">
        <w:rPr>
          <w:b/>
          <w:sz w:val="22"/>
          <w:szCs w:val="22"/>
        </w:rPr>
        <w:t xml:space="preserve">. </w:t>
      </w:r>
      <w:r w:rsidR="00627C2C" w:rsidRPr="00A8078E">
        <w:rPr>
          <w:sz w:val="22"/>
          <w:szCs w:val="22"/>
          <w:lang w:eastAsia="en-US"/>
        </w:rPr>
        <w:t xml:space="preserve">Κατανομή Κοινοτικής Συνδρομής (κύρια κατανομή χρηματοδότησης και αποθεματικό επίδοσης) </w:t>
      </w:r>
      <w:r w:rsidR="00AA033B" w:rsidRPr="00A8078E">
        <w:rPr>
          <w:sz w:val="22"/>
          <w:szCs w:val="22"/>
          <w:lang w:eastAsia="en-US"/>
        </w:rPr>
        <w:t xml:space="preserve">ανά </w:t>
      </w:r>
      <w:r w:rsidR="00627C2C" w:rsidRPr="00A8078E">
        <w:rPr>
          <w:sz w:val="22"/>
          <w:szCs w:val="22"/>
          <w:lang w:eastAsia="en-US"/>
        </w:rPr>
        <w:t>Τ</w:t>
      </w:r>
      <w:r w:rsidR="00AA033B" w:rsidRPr="00A8078E">
        <w:rPr>
          <w:sz w:val="22"/>
          <w:szCs w:val="22"/>
          <w:lang w:eastAsia="en-US"/>
        </w:rPr>
        <w:t>αμείο</w:t>
      </w:r>
      <w:r w:rsidR="00627C2C" w:rsidRPr="00A8078E">
        <w:rPr>
          <w:sz w:val="22"/>
          <w:szCs w:val="22"/>
          <w:lang w:eastAsia="en-US"/>
        </w:rPr>
        <w:t>, Κατηγορία Περιφέρειας και Έτος, με την προτεινόμενη 2η Αναθεώρηση του ΕΠ ΜΔΤ (ποσά σε Ευρώ)</w:t>
      </w:r>
    </w:p>
    <w:tbl>
      <w:tblPr>
        <w:tblW w:w="5000" w:type="pct"/>
        <w:tblLayout w:type="fixed"/>
        <w:tblCellMar>
          <w:left w:w="28" w:type="dxa"/>
          <w:right w:w="28" w:type="dxa"/>
        </w:tblCellMar>
        <w:tblLook w:val="04A0" w:firstRow="1" w:lastRow="0" w:firstColumn="1" w:lastColumn="0" w:noHBand="0" w:noVBand="1"/>
      </w:tblPr>
      <w:tblGrid>
        <w:gridCol w:w="539"/>
        <w:gridCol w:w="1227"/>
        <w:gridCol w:w="763"/>
        <w:gridCol w:w="763"/>
        <w:gridCol w:w="763"/>
        <w:gridCol w:w="764"/>
        <w:gridCol w:w="764"/>
        <w:gridCol w:w="764"/>
        <w:gridCol w:w="764"/>
        <w:gridCol w:w="764"/>
        <w:gridCol w:w="764"/>
        <w:gridCol w:w="764"/>
        <w:gridCol w:w="764"/>
        <w:gridCol w:w="764"/>
        <w:gridCol w:w="764"/>
        <w:gridCol w:w="764"/>
        <w:gridCol w:w="764"/>
        <w:gridCol w:w="764"/>
      </w:tblGrid>
      <w:tr w:rsidR="004323CE" w:rsidRPr="0029055C" w14:paraId="12D194CA" w14:textId="77777777" w:rsidTr="00C73BAE">
        <w:tc>
          <w:tcPr>
            <w:tcW w:w="193" w:type="pct"/>
            <w:vMerge w:val="restart"/>
            <w:tcBorders>
              <w:top w:val="single" w:sz="8" w:space="0" w:color="auto"/>
              <w:left w:val="single" w:sz="4" w:space="0" w:color="auto"/>
              <w:bottom w:val="single" w:sz="4" w:space="0" w:color="000000"/>
              <w:right w:val="single" w:sz="4" w:space="0" w:color="auto"/>
            </w:tcBorders>
            <w:shd w:val="clear" w:color="000000" w:fill="B7DEE8"/>
            <w:vAlign w:val="center"/>
            <w:hideMark/>
          </w:tcPr>
          <w:p w14:paraId="3D900B02" w14:textId="77777777" w:rsidR="004323CE" w:rsidRPr="0029055C" w:rsidRDefault="004323CE" w:rsidP="008871FC">
            <w:pPr>
              <w:spacing w:before="60" w:after="60" w:line="240" w:lineRule="auto"/>
              <w:jc w:val="center"/>
              <w:rPr>
                <w:rFonts w:ascii="Calibri Light" w:hAnsi="Calibri Light" w:cs="Calibri Light"/>
                <w:b/>
                <w:bCs/>
                <w:color w:val="000000"/>
                <w:sz w:val="14"/>
                <w:szCs w:val="14"/>
              </w:rPr>
            </w:pPr>
            <w:r w:rsidRPr="0029055C">
              <w:rPr>
                <w:rFonts w:ascii="Calibri Light" w:hAnsi="Calibri Light" w:cs="Calibri Light"/>
                <w:b/>
                <w:bCs/>
                <w:color w:val="000000"/>
                <w:sz w:val="14"/>
                <w:szCs w:val="14"/>
              </w:rPr>
              <w:t>Ταμείο</w:t>
            </w:r>
          </w:p>
        </w:tc>
        <w:tc>
          <w:tcPr>
            <w:tcW w:w="438" w:type="pct"/>
            <w:vMerge w:val="restart"/>
            <w:tcBorders>
              <w:top w:val="single" w:sz="8" w:space="0" w:color="auto"/>
              <w:left w:val="single" w:sz="4" w:space="0" w:color="auto"/>
              <w:bottom w:val="single" w:sz="4" w:space="0" w:color="000000"/>
              <w:right w:val="single" w:sz="4" w:space="0" w:color="auto"/>
            </w:tcBorders>
            <w:shd w:val="clear" w:color="000000" w:fill="B7DEE8"/>
            <w:vAlign w:val="center"/>
            <w:hideMark/>
          </w:tcPr>
          <w:p w14:paraId="5A03106F" w14:textId="77777777" w:rsidR="004323CE" w:rsidRPr="0029055C" w:rsidRDefault="004323CE" w:rsidP="008871FC">
            <w:pPr>
              <w:spacing w:before="60" w:after="60" w:line="240" w:lineRule="auto"/>
              <w:jc w:val="center"/>
              <w:rPr>
                <w:rFonts w:ascii="Calibri Light" w:hAnsi="Calibri Light" w:cs="Calibri Light"/>
                <w:b/>
                <w:bCs/>
                <w:color w:val="000000"/>
                <w:sz w:val="14"/>
                <w:szCs w:val="14"/>
              </w:rPr>
            </w:pPr>
            <w:r w:rsidRPr="0029055C">
              <w:rPr>
                <w:rFonts w:ascii="Calibri Light" w:hAnsi="Calibri Light" w:cs="Calibri Light"/>
                <w:b/>
                <w:bCs/>
                <w:color w:val="000000"/>
                <w:sz w:val="14"/>
                <w:szCs w:val="14"/>
              </w:rPr>
              <w:t>Κατηγορία περιφέρειας</w:t>
            </w:r>
          </w:p>
        </w:tc>
        <w:tc>
          <w:tcPr>
            <w:tcW w:w="546" w:type="pct"/>
            <w:gridSpan w:val="2"/>
            <w:tcBorders>
              <w:top w:val="single" w:sz="8" w:space="0" w:color="auto"/>
              <w:left w:val="nil"/>
              <w:bottom w:val="single" w:sz="4" w:space="0" w:color="auto"/>
              <w:right w:val="single" w:sz="4" w:space="0" w:color="auto"/>
            </w:tcBorders>
            <w:shd w:val="clear" w:color="000000" w:fill="B7DEE8"/>
            <w:vAlign w:val="center"/>
            <w:hideMark/>
          </w:tcPr>
          <w:p w14:paraId="429A61D1" w14:textId="77777777" w:rsidR="004323CE" w:rsidRPr="0029055C" w:rsidRDefault="004323CE" w:rsidP="008871FC">
            <w:pPr>
              <w:spacing w:before="60" w:after="60" w:line="240" w:lineRule="auto"/>
              <w:jc w:val="center"/>
              <w:rPr>
                <w:rFonts w:ascii="Calibri Light" w:hAnsi="Calibri Light" w:cs="Calibri Light"/>
                <w:b/>
                <w:bCs/>
                <w:color w:val="000000"/>
                <w:sz w:val="14"/>
                <w:szCs w:val="14"/>
              </w:rPr>
            </w:pPr>
            <w:r w:rsidRPr="0029055C">
              <w:rPr>
                <w:rFonts w:ascii="Calibri Light" w:hAnsi="Calibri Light" w:cs="Calibri Light"/>
                <w:b/>
                <w:bCs/>
                <w:color w:val="000000"/>
                <w:sz w:val="14"/>
                <w:szCs w:val="14"/>
              </w:rPr>
              <w:t>2014</w:t>
            </w:r>
          </w:p>
        </w:tc>
        <w:tc>
          <w:tcPr>
            <w:tcW w:w="546" w:type="pct"/>
            <w:gridSpan w:val="2"/>
            <w:tcBorders>
              <w:top w:val="single" w:sz="8" w:space="0" w:color="auto"/>
              <w:left w:val="nil"/>
              <w:bottom w:val="single" w:sz="4" w:space="0" w:color="auto"/>
              <w:right w:val="single" w:sz="4" w:space="0" w:color="auto"/>
            </w:tcBorders>
            <w:shd w:val="clear" w:color="000000" w:fill="B7DEE8"/>
            <w:vAlign w:val="center"/>
            <w:hideMark/>
          </w:tcPr>
          <w:p w14:paraId="37A7738E" w14:textId="77777777" w:rsidR="004323CE" w:rsidRPr="0029055C" w:rsidRDefault="004323CE" w:rsidP="008871FC">
            <w:pPr>
              <w:spacing w:before="60" w:after="60" w:line="240" w:lineRule="auto"/>
              <w:jc w:val="center"/>
              <w:rPr>
                <w:rFonts w:ascii="Calibri Light" w:hAnsi="Calibri Light" w:cs="Calibri Light"/>
                <w:b/>
                <w:bCs/>
                <w:color w:val="000000"/>
                <w:sz w:val="14"/>
                <w:szCs w:val="14"/>
              </w:rPr>
            </w:pPr>
            <w:r w:rsidRPr="0029055C">
              <w:rPr>
                <w:rFonts w:ascii="Calibri Light" w:hAnsi="Calibri Light" w:cs="Calibri Light"/>
                <w:b/>
                <w:bCs/>
                <w:color w:val="000000"/>
                <w:sz w:val="14"/>
                <w:szCs w:val="14"/>
              </w:rPr>
              <w:t>2015</w:t>
            </w:r>
          </w:p>
        </w:tc>
        <w:tc>
          <w:tcPr>
            <w:tcW w:w="546" w:type="pct"/>
            <w:gridSpan w:val="2"/>
            <w:tcBorders>
              <w:top w:val="single" w:sz="8" w:space="0" w:color="auto"/>
              <w:left w:val="nil"/>
              <w:bottom w:val="single" w:sz="4" w:space="0" w:color="auto"/>
              <w:right w:val="single" w:sz="4" w:space="0" w:color="auto"/>
            </w:tcBorders>
            <w:shd w:val="clear" w:color="000000" w:fill="B7DEE8"/>
            <w:vAlign w:val="center"/>
            <w:hideMark/>
          </w:tcPr>
          <w:p w14:paraId="2E08E641" w14:textId="77777777" w:rsidR="004323CE" w:rsidRPr="0029055C" w:rsidRDefault="004323CE" w:rsidP="008871FC">
            <w:pPr>
              <w:spacing w:before="60" w:after="60" w:line="240" w:lineRule="auto"/>
              <w:jc w:val="center"/>
              <w:rPr>
                <w:rFonts w:ascii="Calibri Light" w:hAnsi="Calibri Light" w:cs="Calibri Light"/>
                <w:b/>
                <w:bCs/>
                <w:color w:val="000000"/>
                <w:sz w:val="14"/>
                <w:szCs w:val="14"/>
              </w:rPr>
            </w:pPr>
            <w:r w:rsidRPr="0029055C">
              <w:rPr>
                <w:rFonts w:ascii="Calibri Light" w:hAnsi="Calibri Light" w:cs="Calibri Light"/>
                <w:b/>
                <w:bCs/>
                <w:color w:val="000000"/>
                <w:sz w:val="14"/>
                <w:szCs w:val="14"/>
              </w:rPr>
              <w:t>2016</w:t>
            </w:r>
          </w:p>
        </w:tc>
        <w:tc>
          <w:tcPr>
            <w:tcW w:w="546" w:type="pct"/>
            <w:gridSpan w:val="2"/>
            <w:tcBorders>
              <w:top w:val="single" w:sz="8" w:space="0" w:color="auto"/>
              <w:left w:val="nil"/>
              <w:bottom w:val="single" w:sz="4" w:space="0" w:color="auto"/>
              <w:right w:val="single" w:sz="4" w:space="0" w:color="auto"/>
            </w:tcBorders>
            <w:shd w:val="clear" w:color="000000" w:fill="B7DEE8"/>
            <w:vAlign w:val="center"/>
            <w:hideMark/>
          </w:tcPr>
          <w:p w14:paraId="26761306" w14:textId="77777777" w:rsidR="004323CE" w:rsidRPr="0029055C" w:rsidRDefault="004323CE" w:rsidP="008871FC">
            <w:pPr>
              <w:spacing w:before="60" w:after="60" w:line="240" w:lineRule="auto"/>
              <w:jc w:val="center"/>
              <w:rPr>
                <w:rFonts w:ascii="Calibri Light" w:hAnsi="Calibri Light" w:cs="Calibri Light"/>
                <w:b/>
                <w:bCs/>
                <w:color w:val="000000"/>
                <w:sz w:val="14"/>
                <w:szCs w:val="14"/>
              </w:rPr>
            </w:pPr>
            <w:r w:rsidRPr="0029055C">
              <w:rPr>
                <w:rFonts w:ascii="Calibri Light" w:hAnsi="Calibri Light" w:cs="Calibri Light"/>
                <w:b/>
                <w:bCs/>
                <w:color w:val="000000"/>
                <w:sz w:val="14"/>
                <w:szCs w:val="14"/>
              </w:rPr>
              <w:t>2017</w:t>
            </w:r>
          </w:p>
        </w:tc>
        <w:tc>
          <w:tcPr>
            <w:tcW w:w="546" w:type="pct"/>
            <w:gridSpan w:val="2"/>
            <w:tcBorders>
              <w:top w:val="single" w:sz="8" w:space="0" w:color="auto"/>
              <w:left w:val="nil"/>
              <w:bottom w:val="single" w:sz="4" w:space="0" w:color="auto"/>
              <w:right w:val="single" w:sz="4" w:space="0" w:color="auto"/>
            </w:tcBorders>
            <w:shd w:val="clear" w:color="000000" w:fill="B7DEE8"/>
            <w:vAlign w:val="center"/>
            <w:hideMark/>
          </w:tcPr>
          <w:p w14:paraId="1AC484A1" w14:textId="77777777" w:rsidR="004323CE" w:rsidRPr="0029055C" w:rsidRDefault="004323CE" w:rsidP="008871FC">
            <w:pPr>
              <w:spacing w:before="60" w:after="60" w:line="240" w:lineRule="auto"/>
              <w:jc w:val="center"/>
              <w:rPr>
                <w:rFonts w:ascii="Calibri Light" w:hAnsi="Calibri Light" w:cs="Calibri Light"/>
                <w:b/>
                <w:bCs/>
                <w:color w:val="000000"/>
                <w:sz w:val="14"/>
                <w:szCs w:val="14"/>
              </w:rPr>
            </w:pPr>
            <w:r w:rsidRPr="0029055C">
              <w:rPr>
                <w:rFonts w:ascii="Calibri Light" w:hAnsi="Calibri Light" w:cs="Calibri Light"/>
                <w:b/>
                <w:bCs/>
                <w:color w:val="000000"/>
                <w:sz w:val="14"/>
                <w:szCs w:val="14"/>
              </w:rPr>
              <w:t>2018</w:t>
            </w:r>
          </w:p>
        </w:tc>
        <w:tc>
          <w:tcPr>
            <w:tcW w:w="546" w:type="pct"/>
            <w:gridSpan w:val="2"/>
            <w:tcBorders>
              <w:top w:val="single" w:sz="8" w:space="0" w:color="auto"/>
              <w:left w:val="nil"/>
              <w:bottom w:val="single" w:sz="4" w:space="0" w:color="auto"/>
              <w:right w:val="single" w:sz="4" w:space="0" w:color="auto"/>
            </w:tcBorders>
            <w:shd w:val="clear" w:color="000000" w:fill="B7DEE8"/>
            <w:vAlign w:val="center"/>
            <w:hideMark/>
          </w:tcPr>
          <w:p w14:paraId="0020D7DA" w14:textId="77777777" w:rsidR="004323CE" w:rsidRPr="0029055C" w:rsidRDefault="004323CE" w:rsidP="008871FC">
            <w:pPr>
              <w:spacing w:before="60" w:after="60" w:line="240" w:lineRule="auto"/>
              <w:jc w:val="center"/>
              <w:rPr>
                <w:rFonts w:ascii="Calibri Light" w:hAnsi="Calibri Light" w:cs="Calibri Light"/>
                <w:b/>
                <w:bCs/>
                <w:color w:val="000000"/>
                <w:sz w:val="14"/>
                <w:szCs w:val="14"/>
              </w:rPr>
            </w:pPr>
            <w:r w:rsidRPr="0029055C">
              <w:rPr>
                <w:rFonts w:ascii="Calibri Light" w:hAnsi="Calibri Light" w:cs="Calibri Light"/>
                <w:b/>
                <w:bCs/>
                <w:color w:val="000000"/>
                <w:sz w:val="14"/>
                <w:szCs w:val="14"/>
              </w:rPr>
              <w:t>2019</w:t>
            </w:r>
          </w:p>
        </w:tc>
        <w:tc>
          <w:tcPr>
            <w:tcW w:w="546" w:type="pct"/>
            <w:gridSpan w:val="2"/>
            <w:tcBorders>
              <w:top w:val="single" w:sz="8" w:space="0" w:color="auto"/>
              <w:left w:val="nil"/>
              <w:bottom w:val="single" w:sz="4" w:space="0" w:color="auto"/>
              <w:right w:val="single" w:sz="4" w:space="0" w:color="auto"/>
            </w:tcBorders>
            <w:shd w:val="clear" w:color="000000" w:fill="B7DEE8"/>
            <w:vAlign w:val="center"/>
            <w:hideMark/>
          </w:tcPr>
          <w:p w14:paraId="070584FD" w14:textId="77777777" w:rsidR="004323CE" w:rsidRPr="0029055C" w:rsidRDefault="004323CE" w:rsidP="008871FC">
            <w:pPr>
              <w:spacing w:before="60" w:after="60" w:line="240" w:lineRule="auto"/>
              <w:jc w:val="center"/>
              <w:rPr>
                <w:rFonts w:ascii="Calibri Light" w:hAnsi="Calibri Light" w:cs="Calibri Light"/>
                <w:b/>
                <w:bCs/>
                <w:color w:val="000000"/>
                <w:sz w:val="14"/>
                <w:szCs w:val="14"/>
              </w:rPr>
            </w:pPr>
            <w:r w:rsidRPr="0029055C">
              <w:rPr>
                <w:rFonts w:ascii="Calibri Light" w:hAnsi="Calibri Light" w:cs="Calibri Light"/>
                <w:b/>
                <w:bCs/>
                <w:color w:val="000000"/>
                <w:sz w:val="14"/>
                <w:szCs w:val="14"/>
              </w:rPr>
              <w:t>2020</w:t>
            </w:r>
          </w:p>
        </w:tc>
        <w:tc>
          <w:tcPr>
            <w:tcW w:w="546" w:type="pct"/>
            <w:gridSpan w:val="2"/>
            <w:tcBorders>
              <w:top w:val="single" w:sz="8" w:space="0" w:color="auto"/>
              <w:left w:val="nil"/>
              <w:bottom w:val="single" w:sz="4" w:space="0" w:color="auto"/>
              <w:right w:val="single" w:sz="8" w:space="0" w:color="000000"/>
            </w:tcBorders>
            <w:shd w:val="clear" w:color="000000" w:fill="B7DEE8"/>
            <w:vAlign w:val="center"/>
            <w:hideMark/>
          </w:tcPr>
          <w:p w14:paraId="79CB99A0" w14:textId="77777777" w:rsidR="004323CE" w:rsidRPr="0029055C" w:rsidRDefault="004323CE" w:rsidP="008871FC">
            <w:pPr>
              <w:spacing w:before="60" w:after="60" w:line="240" w:lineRule="auto"/>
              <w:jc w:val="center"/>
              <w:rPr>
                <w:rFonts w:ascii="Calibri Light" w:hAnsi="Calibri Light" w:cs="Calibri Light"/>
                <w:b/>
                <w:bCs/>
                <w:color w:val="000000"/>
                <w:sz w:val="14"/>
                <w:szCs w:val="14"/>
              </w:rPr>
            </w:pPr>
            <w:r w:rsidRPr="0029055C">
              <w:rPr>
                <w:rFonts w:ascii="Calibri Light" w:hAnsi="Calibri Light" w:cs="Calibri Light"/>
                <w:b/>
                <w:bCs/>
                <w:color w:val="000000"/>
                <w:sz w:val="14"/>
                <w:szCs w:val="14"/>
              </w:rPr>
              <w:t>Σύνολο</w:t>
            </w:r>
          </w:p>
        </w:tc>
      </w:tr>
      <w:tr w:rsidR="008871FC" w:rsidRPr="0029055C" w14:paraId="6FE2C13B" w14:textId="77777777" w:rsidTr="00C73BAE">
        <w:tc>
          <w:tcPr>
            <w:tcW w:w="193" w:type="pct"/>
            <w:vMerge/>
            <w:tcBorders>
              <w:top w:val="single" w:sz="8" w:space="0" w:color="auto"/>
              <w:left w:val="single" w:sz="4" w:space="0" w:color="auto"/>
              <w:bottom w:val="single" w:sz="4" w:space="0" w:color="000000"/>
              <w:right w:val="single" w:sz="4" w:space="0" w:color="auto"/>
            </w:tcBorders>
            <w:vAlign w:val="center"/>
            <w:hideMark/>
          </w:tcPr>
          <w:p w14:paraId="0D45D5E3" w14:textId="77777777" w:rsidR="004323CE" w:rsidRPr="0029055C" w:rsidRDefault="004323CE" w:rsidP="008871FC">
            <w:pPr>
              <w:spacing w:before="60" w:after="60" w:line="240" w:lineRule="auto"/>
              <w:jc w:val="center"/>
              <w:rPr>
                <w:rFonts w:ascii="Calibri Light" w:hAnsi="Calibri Light" w:cs="Calibri Light"/>
                <w:b/>
                <w:bCs/>
                <w:color w:val="000000"/>
                <w:sz w:val="14"/>
                <w:szCs w:val="14"/>
              </w:rPr>
            </w:pPr>
          </w:p>
        </w:tc>
        <w:tc>
          <w:tcPr>
            <w:tcW w:w="438" w:type="pct"/>
            <w:vMerge/>
            <w:tcBorders>
              <w:top w:val="single" w:sz="8" w:space="0" w:color="auto"/>
              <w:left w:val="single" w:sz="4" w:space="0" w:color="auto"/>
              <w:bottom w:val="single" w:sz="4" w:space="0" w:color="000000"/>
              <w:right w:val="single" w:sz="4" w:space="0" w:color="auto"/>
            </w:tcBorders>
            <w:vAlign w:val="center"/>
            <w:hideMark/>
          </w:tcPr>
          <w:p w14:paraId="4B2B2A66" w14:textId="77777777" w:rsidR="004323CE" w:rsidRPr="0029055C" w:rsidRDefault="004323CE" w:rsidP="008871FC">
            <w:pPr>
              <w:spacing w:before="60" w:after="60" w:line="240" w:lineRule="auto"/>
              <w:jc w:val="center"/>
              <w:rPr>
                <w:rFonts w:ascii="Calibri Light" w:hAnsi="Calibri Light" w:cs="Calibri Light"/>
                <w:b/>
                <w:bCs/>
                <w:color w:val="000000"/>
                <w:sz w:val="14"/>
                <w:szCs w:val="14"/>
              </w:rPr>
            </w:pPr>
          </w:p>
        </w:tc>
        <w:tc>
          <w:tcPr>
            <w:tcW w:w="273" w:type="pct"/>
            <w:tcBorders>
              <w:top w:val="nil"/>
              <w:left w:val="nil"/>
              <w:bottom w:val="single" w:sz="4" w:space="0" w:color="auto"/>
              <w:right w:val="single" w:sz="4" w:space="0" w:color="auto"/>
            </w:tcBorders>
            <w:shd w:val="clear" w:color="000000" w:fill="B7DEE8"/>
            <w:vAlign w:val="center"/>
            <w:hideMark/>
          </w:tcPr>
          <w:p w14:paraId="52066917"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Κύρια  Κατανομή Χρηματ.</w:t>
            </w:r>
          </w:p>
        </w:tc>
        <w:tc>
          <w:tcPr>
            <w:tcW w:w="273" w:type="pct"/>
            <w:tcBorders>
              <w:top w:val="nil"/>
              <w:left w:val="nil"/>
              <w:bottom w:val="single" w:sz="4" w:space="0" w:color="auto"/>
              <w:right w:val="single" w:sz="4" w:space="0" w:color="auto"/>
            </w:tcBorders>
            <w:shd w:val="clear" w:color="000000" w:fill="B7DEE8"/>
            <w:vAlign w:val="center"/>
            <w:hideMark/>
          </w:tcPr>
          <w:p w14:paraId="5AFA6F9F"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Αποθεμ.  Επίδοσης</w:t>
            </w:r>
          </w:p>
        </w:tc>
        <w:tc>
          <w:tcPr>
            <w:tcW w:w="273" w:type="pct"/>
            <w:tcBorders>
              <w:top w:val="nil"/>
              <w:left w:val="nil"/>
              <w:bottom w:val="single" w:sz="4" w:space="0" w:color="auto"/>
              <w:right w:val="single" w:sz="4" w:space="0" w:color="auto"/>
            </w:tcBorders>
            <w:shd w:val="clear" w:color="000000" w:fill="B7DEE8"/>
            <w:vAlign w:val="center"/>
            <w:hideMark/>
          </w:tcPr>
          <w:p w14:paraId="5498FF8D"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Κύρια  Κατανομή Χρηματ.</w:t>
            </w:r>
          </w:p>
        </w:tc>
        <w:tc>
          <w:tcPr>
            <w:tcW w:w="273" w:type="pct"/>
            <w:tcBorders>
              <w:top w:val="nil"/>
              <w:left w:val="nil"/>
              <w:bottom w:val="single" w:sz="4" w:space="0" w:color="auto"/>
              <w:right w:val="single" w:sz="4" w:space="0" w:color="auto"/>
            </w:tcBorders>
            <w:shd w:val="clear" w:color="000000" w:fill="B7DEE8"/>
            <w:vAlign w:val="center"/>
            <w:hideMark/>
          </w:tcPr>
          <w:p w14:paraId="0C90A76E"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Αποθεμ.  Επίδοσης</w:t>
            </w:r>
          </w:p>
        </w:tc>
        <w:tc>
          <w:tcPr>
            <w:tcW w:w="273" w:type="pct"/>
            <w:tcBorders>
              <w:top w:val="nil"/>
              <w:left w:val="nil"/>
              <w:bottom w:val="single" w:sz="4" w:space="0" w:color="auto"/>
              <w:right w:val="single" w:sz="4" w:space="0" w:color="auto"/>
            </w:tcBorders>
            <w:shd w:val="clear" w:color="000000" w:fill="B7DEE8"/>
            <w:vAlign w:val="center"/>
            <w:hideMark/>
          </w:tcPr>
          <w:p w14:paraId="2473ED52"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Κύρια  Κατανομή Χρηματ.</w:t>
            </w:r>
          </w:p>
        </w:tc>
        <w:tc>
          <w:tcPr>
            <w:tcW w:w="273" w:type="pct"/>
            <w:tcBorders>
              <w:top w:val="nil"/>
              <w:left w:val="nil"/>
              <w:bottom w:val="single" w:sz="4" w:space="0" w:color="auto"/>
              <w:right w:val="single" w:sz="4" w:space="0" w:color="auto"/>
            </w:tcBorders>
            <w:shd w:val="clear" w:color="000000" w:fill="B7DEE8"/>
            <w:vAlign w:val="center"/>
            <w:hideMark/>
          </w:tcPr>
          <w:p w14:paraId="0E642BC6"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Αποθεμ.  Επίδοσης</w:t>
            </w:r>
          </w:p>
        </w:tc>
        <w:tc>
          <w:tcPr>
            <w:tcW w:w="273" w:type="pct"/>
            <w:tcBorders>
              <w:top w:val="nil"/>
              <w:left w:val="nil"/>
              <w:bottom w:val="single" w:sz="4" w:space="0" w:color="auto"/>
              <w:right w:val="single" w:sz="4" w:space="0" w:color="auto"/>
            </w:tcBorders>
            <w:shd w:val="clear" w:color="000000" w:fill="B7DEE8"/>
            <w:vAlign w:val="center"/>
            <w:hideMark/>
          </w:tcPr>
          <w:p w14:paraId="33EFFB42"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Κύρια  Κατανομή Χρηματ.</w:t>
            </w:r>
          </w:p>
        </w:tc>
        <w:tc>
          <w:tcPr>
            <w:tcW w:w="273" w:type="pct"/>
            <w:tcBorders>
              <w:top w:val="nil"/>
              <w:left w:val="nil"/>
              <w:bottom w:val="single" w:sz="4" w:space="0" w:color="auto"/>
              <w:right w:val="single" w:sz="4" w:space="0" w:color="auto"/>
            </w:tcBorders>
            <w:shd w:val="clear" w:color="000000" w:fill="B7DEE8"/>
            <w:vAlign w:val="center"/>
            <w:hideMark/>
          </w:tcPr>
          <w:p w14:paraId="1886F2E3"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Αποθεμ.  Επίδοσης</w:t>
            </w:r>
          </w:p>
        </w:tc>
        <w:tc>
          <w:tcPr>
            <w:tcW w:w="273" w:type="pct"/>
            <w:tcBorders>
              <w:top w:val="nil"/>
              <w:left w:val="nil"/>
              <w:bottom w:val="single" w:sz="4" w:space="0" w:color="auto"/>
              <w:right w:val="single" w:sz="4" w:space="0" w:color="auto"/>
            </w:tcBorders>
            <w:shd w:val="clear" w:color="000000" w:fill="B7DEE8"/>
            <w:vAlign w:val="center"/>
            <w:hideMark/>
          </w:tcPr>
          <w:p w14:paraId="0C20B520"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Κύρια  Κατανομή Χρηματ.</w:t>
            </w:r>
          </w:p>
        </w:tc>
        <w:tc>
          <w:tcPr>
            <w:tcW w:w="273" w:type="pct"/>
            <w:tcBorders>
              <w:top w:val="nil"/>
              <w:left w:val="nil"/>
              <w:bottom w:val="single" w:sz="4" w:space="0" w:color="auto"/>
              <w:right w:val="single" w:sz="4" w:space="0" w:color="auto"/>
            </w:tcBorders>
            <w:shd w:val="clear" w:color="000000" w:fill="B7DEE8"/>
            <w:vAlign w:val="center"/>
            <w:hideMark/>
          </w:tcPr>
          <w:p w14:paraId="5DD14B1D"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Αποθεμ.  Επίδοσης</w:t>
            </w:r>
          </w:p>
        </w:tc>
        <w:tc>
          <w:tcPr>
            <w:tcW w:w="273" w:type="pct"/>
            <w:tcBorders>
              <w:top w:val="nil"/>
              <w:left w:val="nil"/>
              <w:bottom w:val="single" w:sz="4" w:space="0" w:color="auto"/>
              <w:right w:val="single" w:sz="4" w:space="0" w:color="auto"/>
            </w:tcBorders>
            <w:shd w:val="clear" w:color="000000" w:fill="B7DEE8"/>
            <w:vAlign w:val="center"/>
            <w:hideMark/>
          </w:tcPr>
          <w:p w14:paraId="413B841B"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Κύρια  Κατανομή Χρηματ.</w:t>
            </w:r>
          </w:p>
        </w:tc>
        <w:tc>
          <w:tcPr>
            <w:tcW w:w="273" w:type="pct"/>
            <w:tcBorders>
              <w:top w:val="nil"/>
              <w:left w:val="nil"/>
              <w:bottom w:val="single" w:sz="4" w:space="0" w:color="auto"/>
              <w:right w:val="single" w:sz="4" w:space="0" w:color="auto"/>
            </w:tcBorders>
            <w:shd w:val="clear" w:color="000000" w:fill="B7DEE8"/>
            <w:vAlign w:val="center"/>
            <w:hideMark/>
          </w:tcPr>
          <w:p w14:paraId="2347E138"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Αποθεμ.  Επίδοσης</w:t>
            </w:r>
          </w:p>
        </w:tc>
        <w:tc>
          <w:tcPr>
            <w:tcW w:w="273" w:type="pct"/>
            <w:tcBorders>
              <w:top w:val="nil"/>
              <w:left w:val="nil"/>
              <w:bottom w:val="single" w:sz="4" w:space="0" w:color="auto"/>
              <w:right w:val="single" w:sz="4" w:space="0" w:color="auto"/>
            </w:tcBorders>
            <w:shd w:val="clear" w:color="000000" w:fill="B7DEE8"/>
            <w:vAlign w:val="center"/>
            <w:hideMark/>
          </w:tcPr>
          <w:p w14:paraId="1797D9EB"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Κύρια  Κατανομή Χρηματ.</w:t>
            </w:r>
          </w:p>
        </w:tc>
        <w:tc>
          <w:tcPr>
            <w:tcW w:w="273" w:type="pct"/>
            <w:tcBorders>
              <w:top w:val="nil"/>
              <w:left w:val="nil"/>
              <w:bottom w:val="single" w:sz="4" w:space="0" w:color="auto"/>
              <w:right w:val="single" w:sz="4" w:space="0" w:color="auto"/>
            </w:tcBorders>
            <w:shd w:val="clear" w:color="000000" w:fill="B7DEE8"/>
            <w:vAlign w:val="center"/>
            <w:hideMark/>
          </w:tcPr>
          <w:p w14:paraId="378FC52B"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Αποθεμ.  Επίδοσης</w:t>
            </w:r>
          </w:p>
        </w:tc>
        <w:tc>
          <w:tcPr>
            <w:tcW w:w="273" w:type="pct"/>
            <w:tcBorders>
              <w:top w:val="nil"/>
              <w:left w:val="nil"/>
              <w:bottom w:val="single" w:sz="4" w:space="0" w:color="auto"/>
              <w:right w:val="single" w:sz="4" w:space="0" w:color="auto"/>
            </w:tcBorders>
            <w:shd w:val="clear" w:color="000000" w:fill="B7DEE8"/>
            <w:vAlign w:val="center"/>
            <w:hideMark/>
          </w:tcPr>
          <w:p w14:paraId="218BD053"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Κύρια  Κατανομή Χρηματ.</w:t>
            </w:r>
          </w:p>
        </w:tc>
        <w:tc>
          <w:tcPr>
            <w:tcW w:w="273" w:type="pct"/>
            <w:tcBorders>
              <w:top w:val="nil"/>
              <w:left w:val="nil"/>
              <w:bottom w:val="single" w:sz="4" w:space="0" w:color="auto"/>
              <w:right w:val="single" w:sz="8" w:space="0" w:color="auto"/>
            </w:tcBorders>
            <w:shd w:val="clear" w:color="000000" w:fill="B7DEE8"/>
            <w:vAlign w:val="center"/>
            <w:hideMark/>
          </w:tcPr>
          <w:p w14:paraId="0BC3C17E" w14:textId="77777777" w:rsidR="004323CE" w:rsidRPr="0029055C" w:rsidRDefault="004323CE" w:rsidP="008871FC">
            <w:pPr>
              <w:spacing w:before="60" w:after="60" w:line="240" w:lineRule="auto"/>
              <w:jc w:val="center"/>
              <w:rPr>
                <w:rFonts w:ascii="Calibri Light" w:hAnsi="Calibri Light" w:cs="Calibri Light"/>
                <w:bCs/>
                <w:color w:val="000000"/>
                <w:sz w:val="14"/>
                <w:szCs w:val="14"/>
              </w:rPr>
            </w:pPr>
            <w:r w:rsidRPr="0029055C">
              <w:rPr>
                <w:rFonts w:ascii="Calibri Light" w:hAnsi="Calibri Light" w:cs="Calibri Light"/>
                <w:bCs/>
                <w:color w:val="000000"/>
                <w:sz w:val="14"/>
                <w:szCs w:val="14"/>
              </w:rPr>
              <w:t>Αποθεμ.  Επίδοσης</w:t>
            </w:r>
          </w:p>
        </w:tc>
      </w:tr>
      <w:tr w:rsidR="004323CE" w:rsidRPr="0029055C" w14:paraId="3237B992" w14:textId="77777777" w:rsidTr="00C73BAE">
        <w:tc>
          <w:tcPr>
            <w:tcW w:w="193" w:type="pct"/>
            <w:tcBorders>
              <w:top w:val="nil"/>
              <w:left w:val="single" w:sz="4" w:space="0" w:color="auto"/>
              <w:bottom w:val="single" w:sz="4" w:space="0" w:color="auto"/>
              <w:right w:val="single" w:sz="4" w:space="0" w:color="auto"/>
            </w:tcBorders>
            <w:shd w:val="clear" w:color="auto" w:fill="auto"/>
            <w:hideMark/>
          </w:tcPr>
          <w:p w14:paraId="691BF90E" w14:textId="77777777" w:rsidR="004323CE" w:rsidRPr="0029055C" w:rsidRDefault="004323CE" w:rsidP="008871FC">
            <w:pPr>
              <w:spacing w:before="60" w:after="60" w:line="240" w:lineRule="auto"/>
              <w:jc w:val="left"/>
              <w:rPr>
                <w:rFonts w:ascii="Calibri Light" w:hAnsi="Calibri Light" w:cs="Calibri Light"/>
                <w:b/>
                <w:bCs/>
                <w:color w:val="000000"/>
                <w:sz w:val="14"/>
                <w:szCs w:val="14"/>
              </w:rPr>
            </w:pPr>
            <w:r w:rsidRPr="0029055C">
              <w:rPr>
                <w:rFonts w:ascii="Calibri Light" w:hAnsi="Calibri Light" w:cs="Calibri Light"/>
                <w:b/>
                <w:bCs/>
                <w:color w:val="000000"/>
                <w:sz w:val="14"/>
                <w:szCs w:val="14"/>
              </w:rPr>
              <w:t>ΕΤΠΑ</w:t>
            </w:r>
          </w:p>
        </w:tc>
        <w:tc>
          <w:tcPr>
            <w:tcW w:w="438" w:type="pct"/>
            <w:tcBorders>
              <w:top w:val="nil"/>
              <w:left w:val="nil"/>
              <w:bottom w:val="single" w:sz="4" w:space="0" w:color="auto"/>
              <w:right w:val="single" w:sz="4" w:space="0" w:color="auto"/>
            </w:tcBorders>
            <w:shd w:val="clear" w:color="auto" w:fill="auto"/>
            <w:vAlign w:val="center"/>
            <w:hideMark/>
          </w:tcPr>
          <w:p w14:paraId="712E7B67" w14:textId="77777777" w:rsidR="004323CE" w:rsidRPr="0029055C" w:rsidRDefault="004323CE" w:rsidP="008871FC">
            <w:pPr>
              <w:spacing w:before="60" w:after="60" w:line="240" w:lineRule="auto"/>
              <w:jc w:val="left"/>
              <w:rPr>
                <w:rFonts w:ascii="Calibri Light" w:hAnsi="Calibri Light" w:cs="Calibri Light"/>
                <w:bCs/>
                <w:color w:val="000000"/>
                <w:sz w:val="14"/>
                <w:szCs w:val="14"/>
              </w:rPr>
            </w:pPr>
            <w:r w:rsidRPr="0029055C">
              <w:rPr>
                <w:rFonts w:ascii="Calibri Light" w:hAnsi="Calibri Light" w:cs="Calibri Light"/>
                <w:bCs/>
                <w:color w:val="000000"/>
                <w:sz w:val="14"/>
                <w:szCs w:val="14"/>
              </w:rPr>
              <w:t>Στις λιγότερο αναπτυγμένες περιφέρειες</w:t>
            </w:r>
          </w:p>
        </w:tc>
        <w:tc>
          <w:tcPr>
            <w:tcW w:w="273" w:type="pct"/>
            <w:tcBorders>
              <w:top w:val="nil"/>
              <w:left w:val="nil"/>
              <w:bottom w:val="single" w:sz="4" w:space="0" w:color="auto"/>
              <w:right w:val="single" w:sz="4" w:space="0" w:color="auto"/>
            </w:tcBorders>
            <w:shd w:val="clear" w:color="auto" w:fill="auto"/>
            <w:vAlign w:val="center"/>
            <w:hideMark/>
          </w:tcPr>
          <w:p w14:paraId="1F411F26"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7.587.642</w:t>
            </w:r>
          </w:p>
        </w:tc>
        <w:tc>
          <w:tcPr>
            <w:tcW w:w="273" w:type="pct"/>
            <w:tcBorders>
              <w:top w:val="nil"/>
              <w:left w:val="nil"/>
              <w:bottom w:val="single" w:sz="4" w:space="0" w:color="auto"/>
              <w:right w:val="single" w:sz="4" w:space="0" w:color="auto"/>
            </w:tcBorders>
            <w:shd w:val="clear" w:color="auto" w:fill="auto"/>
            <w:vAlign w:val="center"/>
            <w:hideMark/>
          </w:tcPr>
          <w:p w14:paraId="2054AAAE"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495.925</w:t>
            </w:r>
          </w:p>
        </w:tc>
        <w:tc>
          <w:tcPr>
            <w:tcW w:w="273" w:type="pct"/>
            <w:tcBorders>
              <w:top w:val="nil"/>
              <w:left w:val="nil"/>
              <w:bottom w:val="single" w:sz="4" w:space="0" w:color="auto"/>
              <w:right w:val="single" w:sz="4" w:space="0" w:color="auto"/>
            </w:tcBorders>
            <w:shd w:val="clear" w:color="auto" w:fill="auto"/>
            <w:vAlign w:val="center"/>
            <w:hideMark/>
          </w:tcPr>
          <w:p w14:paraId="6B249FB0"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10.149.537</w:t>
            </w:r>
          </w:p>
        </w:tc>
        <w:tc>
          <w:tcPr>
            <w:tcW w:w="273" w:type="pct"/>
            <w:tcBorders>
              <w:top w:val="nil"/>
              <w:left w:val="nil"/>
              <w:bottom w:val="single" w:sz="4" w:space="0" w:color="auto"/>
              <w:right w:val="single" w:sz="4" w:space="0" w:color="auto"/>
            </w:tcBorders>
            <w:shd w:val="clear" w:color="auto" w:fill="auto"/>
            <w:vAlign w:val="center"/>
            <w:hideMark/>
          </w:tcPr>
          <w:p w14:paraId="770F11E7"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663.368</w:t>
            </w:r>
          </w:p>
        </w:tc>
        <w:tc>
          <w:tcPr>
            <w:tcW w:w="273" w:type="pct"/>
            <w:tcBorders>
              <w:top w:val="nil"/>
              <w:left w:val="nil"/>
              <w:bottom w:val="single" w:sz="4" w:space="0" w:color="auto"/>
              <w:right w:val="single" w:sz="4" w:space="0" w:color="auto"/>
            </w:tcBorders>
            <w:shd w:val="clear" w:color="auto" w:fill="auto"/>
            <w:vAlign w:val="center"/>
            <w:hideMark/>
          </w:tcPr>
          <w:p w14:paraId="182ECB93"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12.712.389</w:t>
            </w:r>
          </w:p>
        </w:tc>
        <w:tc>
          <w:tcPr>
            <w:tcW w:w="273" w:type="pct"/>
            <w:tcBorders>
              <w:top w:val="nil"/>
              <w:left w:val="nil"/>
              <w:bottom w:val="single" w:sz="4" w:space="0" w:color="auto"/>
              <w:right w:val="single" w:sz="4" w:space="0" w:color="auto"/>
            </w:tcBorders>
            <w:shd w:val="clear" w:color="auto" w:fill="auto"/>
            <w:vAlign w:val="center"/>
            <w:hideMark/>
          </w:tcPr>
          <w:p w14:paraId="5644753B"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830.875</w:t>
            </w:r>
          </w:p>
        </w:tc>
        <w:tc>
          <w:tcPr>
            <w:tcW w:w="273" w:type="pct"/>
            <w:tcBorders>
              <w:top w:val="nil"/>
              <w:left w:val="nil"/>
              <w:bottom w:val="single" w:sz="4" w:space="0" w:color="auto"/>
              <w:right w:val="single" w:sz="4" w:space="0" w:color="auto"/>
            </w:tcBorders>
            <w:shd w:val="clear" w:color="auto" w:fill="auto"/>
            <w:vAlign w:val="center"/>
            <w:hideMark/>
          </w:tcPr>
          <w:p w14:paraId="1B52466E"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15.275.465</w:t>
            </w:r>
          </w:p>
        </w:tc>
        <w:tc>
          <w:tcPr>
            <w:tcW w:w="273" w:type="pct"/>
            <w:tcBorders>
              <w:top w:val="nil"/>
              <w:left w:val="nil"/>
              <w:bottom w:val="single" w:sz="4" w:space="0" w:color="auto"/>
              <w:right w:val="single" w:sz="4" w:space="0" w:color="auto"/>
            </w:tcBorders>
            <w:shd w:val="clear" w:color="auto" w:fill="auto"/>
            <w:vAlign w:val="center"/>
            <w:hideMark/>
          </w:tcPr>
          <w:p w14:paraId="3E64B650"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998.396</w:t>
            </w:r>
          </w:p>
        </w:tc>
        <w:tc>
          <w:tcPr>
            <w:tcW w:w="273" w:type="pct"/>
            <w:tcBorders>
              <w:top w:val="nil"/>
              <w:left w:val="nil"/>
              <w:bottom w:val="single" w:sz="4" w:space="0" w:color="auto"/>
              <w:right w:val="single" w:sz="4" w:space="0" w:color="auto"/>
            </w:tcBorders>
            <w:shd w:val="clear" w:color="auto" w:fill="auto"/>
            <w:vAlign w:val="center"/>
            <w:hideMark/>
          </w:tcPr>
          <w:p w14:paraId="38B2F86D"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22.548.660</w:t>
            </w:r>
          </w:p>
        </w:tc>
        <w:tc>
          <w:tcPr>
            <w:tcW w:w="273" w:type="pct"/>
            <w:tcBorders>
              <w:top w:val="nil"/>
              <w:left w:val="nil"/>
              <w:bottom w:val="single" w:sz="4" w:space="0" w:color="auto"/>
              <w:right w:val="single" w:sz="4" w:space="0" w:color="auto"/>
            </w:tcBorders>
            <w:shd w:val="clear" w:color="auto" w:fill="auto"/>
            <w:vAlign w:val="center"/>
            <w:hideMark/>
          </w:tcPr>
          <w:p w14:paraId="44F12D83"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1.466.562</w:t>
            </w:r>
          </w:p>
        </w:tc>
        <w:tc>
          <w:tcPr>
            <w:tcW w:w="273" w:type="pct"/>
            <w:tcBorders>
              <w:top w:val="nil"/>
              <w:left w:val="nil"/>
              <w:bottom w:val="single" w:sz="4" w:space="0" w:color="auto"/>
              <w:right w:val="single" w:sz="4" w:space="0" w:color="auto"/>
            </w:tcBorders>
            <w:shd w:val="clear" w:color="auto" w:fill="auto"/>
            <w:vAlign w:val="center"/>
            <w:hideMark/>
          </w:tcPr>
          <w:p w14:paraId="736BD21A"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34.531.068</w:t>
            </w:r>
          </w:p>
        </w:tc>
        <w:tc>
          <w:tcPr>
            <w:tcW w:w="273" w:type="pct"/>
            <w:tcBorders>
              <w:top w:val="nil"/>
              <w:left w:val="nil"/>
              <w:bottom w:val="single" w:sz="4" w:space="0" w:color="auto"/>
              <w:right w:val="single" w:sz="4" w:space="0" w:color="auto"/>
            </w:tcBorders>
            <w:shd w:val="clear" w:color="auto" w:fill="auto"/>
            <w:vAlign w:val="center"/>
            <w:hideMark/>
          </w:tcPr>
          <w:p w14:paraId="0A6835A5"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2.235.312</w:t>
            </w:r>
          </w:p>
        </w:tc>
        <w:tc>
          <w:tcPr>
            <w:tcW w:w="273" w:type="pct"/>
            <w:tcBorders>
              <w:top w:val="nil"/>
              <w:left w:val="nil"/>
              <w:bottom w:val="single" w:sz="4" w:space="0" w:color="auto"/>
              <w:right w:val="single" w:sz="4" w:space="0" w:color="auto"/>
            </w:tcBorders>
            <w:shd w:val="clear" w:color="auto" w:fill="auto"/>
            <w:vAlign w:val="center"/>
            <w:hideMark/>
          </w:tcPr>
          <w:p w14:paraId="5ADEBAB4"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41.809.199</w:t>
            </w:r>
          </w:p>
        </w:tc>
        <w:tc>
          <w:tcPr>
            <w:tcW w:w="273" w:type="pct"/>
            <w:tcBorders>
              <w:top w:val="nil"/>
              <w:left w:val="nil"/>
              <w:bottom w:val="single" w:sz="4" w:space="0" w:color="auto"/>
              <w:right w:val="single" w:sz="4" w:space="0" w:color="auto"/>
            </w:tcBorders>
            <w:shd w:val="clear" w:color="auto" w:fill="auto"/>
            <w:vAlign w:val="center"/>
            <w:hideMark/>
          </w:tcPr>
          <w:p w14:paraId="2DAD7B56"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2.703.800</w:t>
            </w:r>
          </w:p>
        </w:tc>
        <w:tc>
          <w:tcPr>
            <w:tcW w:w="273" w:type="pct"/>
            <w:tcBorders>
              <w:top w:val="nil"/>
              <w:left w:val="nil"/>
              <w:bottom w:val="single" w:sz="4" w:space="0" w:color="auto"/>
              <w:right w:val="single" w:sz="4" w:space="0" w:color="auto"/>
            </w:tcBorders>
            <w:shd w:val="clear" w:color="auto" w:fill="auto"/>
            <w:vAlign w:val="center"/>
            <w:hideMark/>
          </w:tcPr>
          <w:p w14:paraId="736153F4"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144.613.960</w:t>
            </w:r>
          </w:p>
        </w:tc>
        <w:tc>
          <w:tcPr>
            <w:tcW w:w="273" w:type="pct"/>
            <w:tcBorders>
              <w:top w:val="nil"/>
              <w:left w:val="nil"/>
              <w:bottom w:val="single" w:sz="4" w:space="0" w:color="auto"/>
              <w:right w:val="single" w:sz="4" w:space="0" w:color="auto"/>
            </w:tcBorders>
            <w:shd w:val="clear" w:color="auto" w:fill="auto"/>
            <w:vAlign w:val="center"/>
            <w:hideMark/>
          </w:tcPr>
          <w:p w14:paraId="77DE9CF1"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9.394.238</w:t>
            </w:r>
          </w:p>
        </w:tc>
      </w:tr>
      <w:tr w:rsidR="004323CE" w:rsidRPr="0029055C" w14:paraId="0D87180E" w14:textId="77777777" w:rsidTr="00C73BAE">
        <w:tc>
          <w:tcPr>
            <w:tcW w:w="193" w:type="pct"/>
            <w:tcBorders>
              <w:top w:val="nil"/>
              <w:left w:val="single" w:sz="4" w:space="0" w:color="auto"/>
              <w:bottom w:val="single" w:sz="4" w:space="0" w:color="auto"/>
              <w:right w:val="single" w:sz="4" w:space="0" w:color="auto"/>
            </w:tcBorders>
            <w:shd w:val="clear" w:color="auto" w:fill="auto"/>
            <w:hideMark/>
          </w:tcPr>
          <w:p w14:paraId="1ED6DECC" w14:textId="77777777" w:rsidR="004323CE" w:rsidRPr="0029055C" w:rsidRDefault="004323CE" w:rsidP="008871FC">
            <w:pPr>
              <w:spacing w:before="60" w:after="60" w:line="240" w:lineRule="auto"/>
              <w:jc w:val="left"/>
              <w:rPr>
                <w:rFonts w:ascii="Calibri Light" w:hAnsi="Calibri Light" w:cs="Calibri Light"/>
                <w:b/>
                <w:bCs/>
                <w:color w:val="000000"/>
                <w:sz w:val="14"/>
                <w:szCs w:val="14"/>
              </w:rPr>
            </w:pPr>
            <w:r w:rsidRPr="0029055C">
              <w:rPr>
                <w:rFonts w:ascii="Calibri Light" w:hAnsi="Calibri Light" w:cs="Calibri Light"/>
                <w:b/>
                <w:bCs/>
                <w:color w:val="000000"/>
                <w:sz w:val="14"/>
                <w:szCs w:val="14"/>
              </w:rPr>
              <w:t> </w:t>
            </w:r>
          </w:p>
        </w:tc>
        <w:tc>
          <w:tcPr>
            <w:tcW w:w="438" w:type="pct"/>
            <w:tcBorders>
              <w:top w:val="nil"/>
              <w:left w:val="nil"/>
              <w:bottom w:val="single" w:sz="4" w:space="0" w:color="auto"/>
              <w:right w:val="single" w:sz="4" w:space="0" w:color="auto"/>
            </w:tcBorders>
            <w:shd w:val="clear" w:color="auto" w:fill="auto"/>
            <w:vAlign w:val="center"/>
            <w:hideMark/>
          </w:tcPr>
          <w:p w14:paraId="342DF9E6" w14:textId="77777777" w:rsidR="004323CE" w:rsidRPr="0029055C" w:rsidRDefault="004323CE" w:rsidP="008871FC">
            <w:pPr>
              <w:spacing w:before="60" w:after="60" w:line="240" w:lineRule="auto"/>
              <w:jc w:val="left"/>
              <w:rPr>
                <w:rFonts w:ascii="Calibri Light" w:hAnsi="Calibri Light" w:cs="Calibri Light"/>
                <w:bCs/>
                <w:color w:val="000000"/>
                <w:sz w:val="14"/>
                <w:szCs w:val="14"/>
              </w:rPr>
            </w:pPr>
            <w:r w:rsidRPr="0029055C">
              <w:rPr>
                <w:rFonts w:ascii="Calibri Light" w:hAnsi="Calibri Light" w:cs="Calibri Light"/>
                <w:bCs/>
                <w:color w:val="000000"/>
                <w:sz w:val="14"/>
                <w:szCs w:val="14"/>
              </w:rPr>
              <w:t>Στις περιφέρειες μετάβασης</w:t>
            </w:r>
          </w:p>
        </w:tc>
        <w:tc>
          <w:tcPr>
            <w:tcW w:w="273" w:type="pct"/>
            <w:tcBorders>
              <w:top w:val="nil"/>
              <w:left w:val="nil"/>
              <w:bottom w:val="single" w:sz="4" w:space="0" w:color="auto"/>
              <w:right w:val="single" w:sz="4" w:space="0" w:color="auto"/>
            </w:tcBorders>
            <w:shd w:val="clear" w:color="auto" w:fill="auto"/>
            <w:vAlign w:val="center"/>
            <w:hideMark/>
          </w:tcPr>
          <w:p w14:paraId="62D8B276"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1.694.677</w:t>
            </w:r>
          </w:p>
        </w:tc>
        <w:tc>
          <w:tcPr>
            <w:tcW w:w="273" w:type="pct"/>
            <w:tcBorders>
              <w:top w:val="nil"/>
              <w:left w:val="nil"/>
              <w:bottom w:val="single" w:sz="4" w:space="0" w:color="auto"/>
              <w:right w:val="single" w:sz="4" w:space="0" w:color="auto"/>
            </w:tcBorders>
            <w:shd w:val="clear" w:color="auto" w:fill="auto"/>
            <w:vAlign w:val="center"/>
            <w:hideMark/>
          </w:tcPr>
          <w:p w14:paraId="2E4344C4"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110.763</w:t>
            </w:r>
          </w:p>
        </w:tc>
        <w:tc>
          <w:tcPr>
            <w:tcW w:w="273" w:type="pct"/>
            <w:tcBorders>
              <w:top w:val="nil"/>
              <w:left w:val="nil"/>
              <w:bottom w:val="single" w:sz="4" w:space="0" w:color="auto"/>
              <w:right w:val="single" w:sz="4" w:space="0" w:color="auto"/>
            </w:tcBorders>
            <w:shd w:val="clear" w:color="auto" w:fill="auto"/>
            <w:vAlign w:val="center"/>
            <w:hideMark/>
          </w:tcPr>
          <w:p w14:paraId="65B1DC42"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2.266.868</w:t>
            </w:r>
          </w:p>
        </w:tc>
        <w:tc>
          <w:tcPr>
            <w:tcW w:w="273" w:type="pct"/>
            <w:tcBorders>
              <w:top w:val="nil"/>
              <w:left w:val="nil"/>
              <w:bottom w:val="single" w:sz="4" w:space="0" w:color="auto"/>
              <w:right w:val="single" w:sz="4" w:space="0" w:color="auto"/>
            </w:tcBorders>
            <w:shd w:val="clear" w:color="auto" w:fill="auto"/>
            <w:vAlign w:val="center"/>
            <w:hideMark/>
          </w:tcPr>
          <w:p w14:paraId="735BADA2"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148.161</w:t>
            </w:r>
          </w:p>
        </w:tc>
        <w:tc>
          <w:tcPr>
            <w:tcW w:w="273" w:type="pct"/>
            <w:tcBorders>
              <w:top w:val="nil"/>
              <w:left w:val="nil"/>
              <w:bottom w:val="single" w:sz="4" w:space="0" w:color="auto"/>
              <w:right w:val="single" w:sz="4" w:space="0" w:color="auto"/>
            </w:tcBorders>
            <w:shd w:val="clear" w:color="auto" w:fill="auto"/>
            <w:vAlign w:val="center"/>
            <w:hideMark/>
          </w:tcPr>
          <w:p w14:paraId="1F212201"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2.839.273</w:t>
            </w:r>
          </w:p>
        </w:tc>
        <w:tc>
          <w:tcPr>
            <w:tcW w:w="273" w:type="pct"/>
            <w:tcBorders>
              <w:top w:val="nil"/>
              <w:left w:val="nil"/>
              <w:bottom w:val="single" w:sz="4" w:space="0" w:color="auto"/>
              <w:right w:val="single" w:sz="4" w:space="0" w:color="auto"/>
            </w:tcBorders>
            <w:shd w:val="clear" w:color="auto" w:fill="auto"/>
            <w:vAlign w:val="center"/>
            <w:hideMark/>
          </w:tcPr>
          <w:p w14:paraId="55224778"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185.573</w:t>
            </w:r>
          </w:p>
        </w:tc>
        <w:tc>
          <w:tcPr>
            <w:tcW w:w="273" w:type="pct"/>
            <w:tcBorders>
              <w:top w:val="nil"/>
              <w:left w:val="nil"/>
              <w:bottom w:val="single" w:sz="4" w:space="0" w:color="auto"/>
              <w:right w:val="single" w:sz="4" w:space="0" w:color="auto"/>
            </w:tcBorders>
            <w:shd w:val="clear" w:color="auto" w:fill="auto"/>
            <w:vAlign w:val="center"/>
            <w:hideMark/>
          </w:tcPr>
          <w:p w14:paraId="1F1CAEE5"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3.411.729</w:t>
            </w:r>
          </w:p>
        </w:tc>
        <w:tc>
          <w:tcPr>
            <w:tcW w:w="273" w:type="pct"/>
            <w:tcBorders>
              <w:top w:val="nil"/>
              <w:left w:val="nil"/>
              <w:bottom w:val="single" w:sz="4" w:space="0" w:color="auto"/>
              <w:right w:val="single" w:sz="4" w:space="0" w:color="auto"/>
            </w:tcBorders>
            <w:shd w:val="clear" w:color="auto" w:fill="auto"/>
            <w:vAlign w:val="center"/>
            <w:hideMark/>
          </w:tcPr>
          <w:p w14:paraId="2A6E5B0A"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222.989</w:t>
            </w:r>
          </w:p>
        </w:tc>
        <w:tc>
          <w:tcPr>
            <w:tcW w:w="273" w:type="pct"/>
            <w:tcBorders>
              <w:top w:val="nil"/>
              <w:left w:val="nil"/>
              <w:bottom w:val="single" w:sz="4" w:space="0" w:color="auto"/>
              <w:right w:val="single" w:sz="4" w:space="0" w:color="auto"/>
            </w:tcBorders>
            <w:shd w:val="clear" w:color="auto" w:fill="auto"/>
            <w:vAlign w:val="center"/>
            <w:hideMark/>
          </w:tcPr>
          <w:p w14:paraId="66A74BEC"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5.035.784</w:t>
            </w:r>
          </w:p>
        </w:tc>
        <w:tc>
          <w:tcPr>
            <w:tcW w:w="273" w:type="pct"/>
            <w:tcBorders>
              <w:top w:val="nil"/>
              <w:left w:val="nil"/>
              <w:bottom w:val="single" w:sz="4" w:space="0" w:color="auto"/>
              <w:right w:val="single" w:sz="4" w:space="0" w:color="auto"/>
            </w:tcBorders>
            <w:shd w:val="clear" w:color="auto" w:fill="auto"/>
            <w:vAlign w:val="center"/>
            <w:hideMark/>
          </w:tcPr>
          <w:p w14:paraId="3B188CE7"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327.527</w:t>
            </w:r>
          </w:p>
        </w:tc>
        <w:tc>
          <w:tcPr>
            <w:tcW w:w="273" w:type="pct"/>
            <w:tcBorders>
              <w:top w:val="nil"/>
              <w:left w:val="nil"/>
              <w:bottom w:val="single" w:sz="4" w:space="0" w:color="auto"/>
              <w:right w:val="single" w:sz="4" w:space="0" w:color="auto"/>
            </w:tcBorders>
            <w:shd w:val="clear" w:color="auto" w:fill="auto"/>
            <w:vAlign w:val="center"/>
            <w:hideMark/>
          </w:tcPr>
          <w:p w14:paraId="37E25089"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7.711.239</w:t>
            </w:r>
          </w:p>
        </w:tc>
        <w:tc>
          <w:tcPr>
            <w:tcW w:w="273" w:type="pct"/>
            <w:tcBorders>
              <w:top w:val="nil"/>
              <w:left w:val="nil"/>
              <w:bottom w:val="single" w:sz="4" w:space="0" w:color="auto"/>
              <w:right w:val="single" w:sz="4" w:space="0" w:color="auto"/>
            </w:tcBorders>
            <w:shd w:val="clear" w:color="auto" w:fill="auto"/>
            <w:vAlign w:val="center"/>
            <w:hideMark/>
          </w:tcPr>
          <w:p w14:paraId="003870B7"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499.175</w:t>
            </w:r>
          </w:p>
        </w:tc>
        <w:tc>
          <w:tcPr>
            <w:tcW w:w="273" w:type="pct"/>
            <w:tcBorders>
              <w:top w:val="nil"/>
              <w:left w:val="nil"/>
              <w:bottom w:val="single" w:sz="4" w:space="0" w:color="auto"/>
              <w:right w:val="single" w:sz="4" w:space="0" w:color="auto"/>
            </w:tcBorders>
            <w:shd w:val="clear" w:color="auto" w:fill="auto"/>
            <w:vAlign w:val="center"/>
            <w:hideMark/>
          </w:tcPr>
          <w:p w14:paraId="1048C0E6"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9.336.397</w:t>
            </w:r>
          </w:p>
        </w:tc>
        <w:tc>
          <w:tcPr>
            <w:tcW w:w="273" w:type="pct"/>
            <w:tcBorders>
              <w:top w:val="nil"/>
              <w:left w:val="nil"/>
              <w:bottom w:val="single" w:sz="4" w:space="0" w:color="auto"/>
              <w:right w:val="single" w:sz="4" w:space="0" w:color="auto"/>
            </w:tcBorders>
            <w:shd w:val="clear" w:color="auto" w:fill="auto"/>
            <w:vAlign w:val="center"/>
            <w:hideMark/>
          </w:tcPr>
          <w:p w14:paraId="521CF5AC"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603.786</w:t>
            </w:r>
          </w:p>
        </w:tc>
        <w:tc>
          <w:tcPr>
            <w:tcW w:w="273" w:type="pct"/>
            <w:tcBorders>
              <w:top w:val="nil"/>
              <w:left w:val="nil"/>
              <w:bottom w:val="single" w:sz="4" w:space="0" w:color="auto"/>
              <w:right w:val="single" w:sz="4" w:space="0" w:color="auto"/>
            </w:tcBorders>
            <w:shd w:val="clear" w:color="auto" w:fill="auto"/>
            <w:vAlign w:val="center"/>
            <w:hideMark/>
          </w:tcPr>
          <w:p w14:paraId="3C099F95"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32.295.967</w:t>
            </w:r>
          </w:p>
        </w:tc>
        <w:tc>
          <w:tcPr>
            <w:tcW w:w="273" w:type="pct"/>
            <w:tcBorders>
              <w:top w:val="nil"/>
              <w:left w:val="nil"/>
              <w:bottom w:val="single" w:sz="4" w:space="0" w:color="auto"/>
              <w:right w:val="single" w:sz="4" w:space="0" w:color="auto"/>
            </w:tcBorders>
            <w:shd w:val="clear" w:color="auto" w:fill="auto"/>
            <w:vAlign w:val="center"/>
            <w:hideMark/>
          </w:tcPr>
          <w:p w14:paraId="583BE9D9"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2.097.974</w:t>
            </w:r>
          </w:p>
        </w:tc>
      </w:tr>
      <w:tr w:rsidR="004323CE" w:rsidRPr="0029055C" w14:paraId="21BFB9FC" w14:textId="77777777" w:rsidTr="00C73BAE">
        <w:tc>
          <w:tcPr>
            <w:tcW w:w="193" w:type="pct"/>
            <w:tcBorders>
              <w:top w:val="nil"/>
              <w:left w:val="single" w:sz="4" w:space="0" w:color="auto"/>
              <w:bottom w:val="single" w:sz="4" w:space="0" w:color="auto"/>
              <w:right w:val="single" w:sz="4" w:space="0" w:color="auto"/>
            </w:tcBorders>
            <w:shd w:val="clear" w:color="auto" w:fill="auto"/>
            <w:hideMark/>
          </w:tcPr>
          <w:p w14:paraId="12B28BFC" w14:textId="77777777" w:rsidR="004323CE" w:rsidRPr="0029055C" w:rsidRDefault="004323CE" w:rsidP="008871FC">
            <w:pPr>
              <w:spacing w:before="60" w:after="60" w:line="240" w:lineRule="auto"/>
              <w:jc w:val="left"/>
              <w:rPr>
                <w:rFonts w:ascii="Calibri Light" w:hAnsi="Calibri Light" w:cs="Calibri Light"/>
                <w:b/>
                <w:bCs/>
                <w:color w:val="000000"/>
                <w:sz w:val="14"/>
                <w:szCs w:val="14"/>
              </w:rPr>
            </w:pPr>
            <w:r w:rsidRPr="0029055C">
              <w:rPr>
                <w:rFonts w:ascii="Calibri Light" w:hAnsi="Calibri Light" w:cs="Calibri Light"/>
                <w:b/>
                <w:bCs/>
                <w:color w:val="000000"/>
                <w:sz w:val="14"/>
                <w:szCs w:val="14"/>
              </w:rPr>
              <w:t> </w:t>
            </w:r>
          </w:p>
        </w:tc>
        <w:tc>
          <w:tcPr>
            <w:tcW w:w="438" w:type="pct"/>
            <w:tcBorders>
              <w:top w:val="nil"/>
              <w:left w:val="nil"/>
              <w:bottom w:val="single" w:sz="4" w:space="0" w:color="auto"/>
              <w:right w:val="single" w:sz="4" w:space="0" w:color="auto"/>
            </w:tcBorders>
            <w:shd w:val="clear" w:color="auto" w:fill="auto"/>
            <w:vAlign w:val="center"/>
            <w:hideMark/>
          </w:tcPr>
          <w:p w14:paraId="66B0ED2E" w14:textId="77777777" w:rsidR="004323CE" w:rsidRPr="0029055C" w:rsidRDefault="004323CE" w:rsidP="008871FC">
            <w:pPr>
              <w:spacing w:before="60" w:after="60" w:line="240" w:lineRule="auto"/>
              <w:jc w:val="left"/>
              <w:rPr>
                <w:rFonts w:ascii="Calibri Light" w:hAnsi="Calibri Light" w:cs="Calibri Light"/>
                <w:bCs/>
                <w:color w:val="000000"/>
                <w:sz w:val="14"/>
                <w:szCs w:val="14"/>
              </w:rPr>
            </w:pPr>
            <w:r w:rsidRPr="0029055C">
              <w:rPr>
                <w:rFonts w:ascii="Calibri Light" w:hAnsi="Calibri Light" w:cs="Calibri Light"/>
                <w:bCs/>
                <w:color w:val="000000"/>
                <w:sz w:val="14"/>
                <w:szCs w:val="14"/>
              </w:rPr>
              <w:t>Στις περισσότερο αναπτυγμένες περιφέρειες</w:t>
            </w:r>
          </w:p>
        </w:tc>
        <w:tc>
          <w:tcPr>
            <w:tcW w:w="273" w:type="pct"/>
            <w:tcBorders>
              <w:top w:val="nil"/>
              <w:left w:val="nil"/>
              <w:bottom w:val="single" w:sz="4" w:space="0" w:color="auto"/>
              <w:right w:val="single" w:sz="4" w:space="0" w:color="auto"/>
            </w:tcBorders>
            <w:shd w:val="clear" w:color="auto" w:fill="auto"/>
            <w:vAlign w:val="center"/>
            <w:hideMark/>
          </w:tcPr>
          <w:p w14:paraId="2C87E51D"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2.490.948</w:t>
            </w:r>
          </w:p>
        </w:tc>
        <w:tc>
          <w:tcPr>
            <w:tcW w:w="273" w:type="pct"/>
            <w:tcBorders>
              <w:top w:val="nil"/>
              <w:left w:val="nil"/>
              <w:bottom w:val="single" w:sz="4" w:space="0" w:color="auto"/>
              <w:right w:val="single" w:sz="4" w:space="0" w:color="auto"/>
            </w:tcBorders>
            <w:shd w:val="clear" w:color="auto" w:fill="auto"/>
            <w:vAlign w:val="center"/>
            <w:hideMark/>
          </w:tcPr>
          <w:p w14:paraId="746D567C"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162.807</w:t>
            </w:r>
          </w:p>
        </w:tc>
        <w:tc>
          <w:tcPr>
            <w:tcW w:w="273" w:type="pct"/>
            <w:tcBorders>
              <w:top w:val="nil"/>
              <w:left w:val="nil"/>
              <w:bottom w:val="single" w:sz="4" w:space="0" w:color="auto"/>
              <w:right w:val="single" w:sz="4" w:space="0" w:color="auto"/>
            </w:tcBorders>
            <w:shd w:val="clear" w:color="auto" w:fill="auto"/>
            <w:vAlign w:val="center"/>
            <w:hideMark/>
          </w:tcPr>
          <w:p w14:paraId="219BC1CB"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3.331.993</w:t>
            </w:r>
          </w:p>
        </w:tc>
        <w:tc>
          <w:tcPr>
            <w:tcW w:w="273" w:type="pct"/>
            <w:tcBorders>
              <w:top w:val="nil"/>
              <w:left w:val="nil"/>
              <w:bottom w:val="single" w:sz="4" w:space="0" w:color="auto"/>
              <w:right w:val="single" w:sz="4" w:space="0" w:color="auto"/>
            </w:tcBorders>
            <w:shd w:val="clear" w:color="auto" w:fill="auto"/>
            <w:vAlign w:val="center"/>
            <w:hideMark/>
          </w:tcPr>
          <w:p w14:paraId="6F664E34"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217.777</w:t>
            </w:r>
          </w:p>
        </w:tc>
        <w:tc>
          <w:tcPr>
            <w:tcW w:w="273" w:type="pct"/>
            <w:tcBorders>
              <w:top w:val="nil"/>
              <w:left w:val="nil"/>
              <w:bottom w:val="single" w:sz="4" w:space="0" w:color="auto"/>
              <w:right w:val="single" w:sz="4" w:space="0" w:color="auto"/>
            </w:tcBorders>
            <w:shd w:val="clear" w:color="auto" w:fill="auto"/>
            <w:vAlign w:val="center"/>
            <w:hideMark/>
          </w:tcPr>
          <w:p w14:paraId="42D30957"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4.173.352</w:t>
            </w:r>
          </w:p>
        </w:tc>
        <w:tc>
          <w:tcPr>
            <w:tcW w:w="273" w:type="pct"/>
            <w:tcBorders>
              <w:top w:val="nil"/>
              <w:left w:val="nil"/>
              <w:bottom w:val="single" w:sz="4" w:space="0" w:color="auto"/>
              <w:right w:val="single" w:sz="4" w:space="0" w:color="auto"/>
            </w:tcBorders>
            <w:shd w:val="clear" w:color="auto" w:fill="auto"/>
            <w:vAlign w:val="center"/>
            <w:hideMark/>
          </w:tcPr>
          <w:p w14:paraId="351A308A"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272.768</w:t>
            </w:r>
          </w:p>
        </w:tc>
        <w:tc>
          <w:tcPr>
            <w:tcW w:w="273" w:type="pct"/>
            <w:tcBorders>
              <w:top w:val="nil"/>
              <w:left w:val="nil"/>
              <w:bottom w:val="single" w:sz="4" w:space="0" w:color="auto"/>
              <w:right w:val="single" w:sz="4" w:space="0" w:color="auto"/>
            </w:tcBorders>
            <w:shd w:val="clear" w:color="auto" w:fill="auto"/>
            <w:vAlign w:val="center"/>
            <w:hideMark/>
          </w:tcPr>
          <w:p w14:paraId="48C4E11E"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5.014.784</w:t>
            </w:r>
          </w:p>
        </w:tc>
        <w:tc>
          <w:tcPr>
            <w:tcW w:w="273" w:type="pct"/>
            <w:tcBorders>
              <w:top w:val="nil"/>
              <w:left w:val="nil"/>
              <w:bottom w:val="single" w:sz="4" w:space="0" w:color="auto"/>
              <w:right w:val="single" w:sz="4" w:space="0" w:color="auto"/>
            </w:tcBorders>
            <w:shd w:val="clear" w:color="auto" w:fill="auto"/>
            <w:vAlign w:val="center"/>
            <w:hideMark/>
          </w:tcPr>
          <w:p w14:paraId="43FD2493"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327.764</w:t>
            </w:r>
          </w:p>
        </w:tc>
        <w:tc>
          <w:tcPr>
            <w:tcW w:w="273" w:type="pct"/>
            <w:tcBorders>
              <w:top w:val="nil"/>
              <w:left w:val="nil"/>
              <w:bottom w:val="single" w:sz="4" w:space="0" w:color="auto"/>
              <w:right w:val="single" w:sz="4" w:space="0" w:color="auto"/>
            </w:tcBorders>
            <w:shd w:val="clear" w:color="auto" w:fill="auto"/>
            <w:vAlign w:val="center"/>
            <w:hideMark/>
          </w:tcPr>
          <w:p w14:paraId="6170EBB9"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7.401.760</w:t>
            </w:r>
          </w:p>
        </w:tc>
        <w:tc>
          <w:tcPr>
            <w:tcW w:w="273" w:type="pct"/>
            <w:tcBorders>
              <w:top w:val="nil"/>
              <w:left w:val="nil"/>
              <w:bottom w:val="single" w:sz="4" w:space="0" w:color="auto"/>
              <w:right w:val="single" w:sz="4" w:space="0" w:color="auto"/>
            </w:tcBorders>
            <w:shd w:val="clear" w:color="auto" w:fill="auto"/>
            <w:vAlign w:val="center"/>
            <w:hideMark/>
          </w:tcPr>
          <w:p w14:paraId="44100D9F"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481.410</w:t>
            </w:r>
          </w:p>
        </w:tc>
        <w:tc>
          <w:tcPr>
            <w:tcW w:w="273" w:type="pct"/>
            <w:tcBorders>
              <w:top w:val="nil"/>
              <w:left w:val="nil"/>
              <w:bottom w:val="single" w:sz="4" w:space="0" w:color="auto"/>
              <w:right w:val="single" w:sz="4" w:space="0" w:color="auto"/>
            </w:tcBorders>
            <w:shd w:val="clear" w:color="auto" w:fill="auto"/>
            <w:vAlign w:val="center"/>
            <w:hideMark/>
          </w:tcPr>
          <w:p w14:paraId="36E75871"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11.333.980</w:t>
            </w:r>
          </w:p>
        </w:tc>
        <w:tc>
          <w:tcPr>
            <w:tcW w:w="273" w:type="pct"/>
            <w:tcBorders>
              <w:top w:val="nil"/>
              <w:left w:val="nil"/>
              <w:bottom w:val="single" w:sz="4" w:space="0" w:color="auto"/>
              <w:right w:val="single" w:sz="4" w:space="0" w:color="auto"/>
            </w:tcBorders>
            <w:shd w:val="clear" w:color="auto" w:fill="auto"/>
            <w:vAlign w:val="center"/>
            <w:hideMark/>
          </w:tcPr>
          <w:p w14:paraId="6438AC0F"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733.689</w:t>
            </w:r>
          </w:p>
        </w:tc>
        <w:tc>
          <w:tcPr>
            <w:tcW w:w="273" w:type="pct"/>
            <w:tcBorders>
              <w:top w:val="nil"/>
              <w:left w:val="nil"/>
              <w:bottom w:val="single" w:sz="4" w:space="0" w:color="auto"/>
              <w:right w:val="single" w:sz="4" w:space="0" w:color="auto"/>
            </w:tcBorders>
            <w:shd w:val="clear" w:color="auto" w:fill="auto"/>
            <w:vAlign w:val="center"/>
            <w:hideMark/>
          </w:tcPr>
          <w:p w14:paraId="6D2DA073"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13.722.576</w:t>
            </w:r>
          </w:p>
        </w:tc>
        <w:tc>
          <w:tcPr>
            <w:tcW w:w="273" w:type="pct"/>
            <w:tcBorders>
              <w:top w:val="nil"/>
              <w:left w:val="nil"/>
              <w:bottom w:val="single" w:sz="4" w:space="0" w:color="auto"/>
              <w:right w:val="single" w:sz="4" w:space="0" w:color="auto"/>
            </w:tcBorders>
            <w:shd w:val="clear" w:color="auto" w:fill="auto"/>
            <w:vAlign w:val="center"/>
            <w:hideMark/>
          </w:tcPr>
          <w:p w14:paraId="0A71564A" w14:textId="77777777" w:rsidR="004323CE" w:rsidRPr="0029055C" w:rsidRDefault="004323CE" w:rsidP="008871FC">
            <w:pPr>
              <w:spacing w:before="60" w:after="60" w:line="240" w:lineRule="auto"/>
              <w:jc w:val="right"/>
              <w:rPr>
                <w:rFonts w:ascii="Calibri Light" w:hAnsi="Calibri Light" w:cs="Calibri Light"/>
                <w:sz w:val="14"/>
                <w:szCs w:val="16"/>
              </w:rPr>
            </w:pPr>
            <w:r w:rsidRPr="0029055C">
              <w:rPr>
                <w:rFonts w:ascii="Calibri Light" w:hAnsi="Calibri Light" w:cs="Calibri Light"/>
                <w:sz w:val="14"/>
                <w:szCs w:val="16"/>
              </w:rPr>
              <w:t>887.441</w:t>
            </w:r>
          </w:p>
        </w:tc>
        <w:tc>
          <w:tcPr>
            <w:tcW w:w="273" w:type="pct"/>
            <w:tcBorders>
              <w:top w:val="nil"/>
              <w:left w:val="nil"/>
              <w:bottom w:val="single" w:sz="4" w:space="0" w:color="auto"/>
              <w:right w:val="single" w:sz="4" w:space="0" w:color="auto"/>
            </w:tcBorders>
            <w:shd w:val="clear" w:color="auto" w:fill="auto"/>
            <w:vAlign w:val="center"/>
            <w:hideMark/>
          </w:tcPr>
          <w:p w14:paraId="390807C3"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47.469.393</w:t>
            </w:r>
          </w:p>
        </w:tc>
        <w:tc>
          <w:tcPr>
            <w:tcW w:w="273" w:type="pct"/>
            <w:tcBorders>
              <w:top w:val="nil"/>
              <w:left w:val="nil"/>
              <w:bottom w:val="single" w:sz="4" w:space="0" w:color="auto"/>
              <w:right w:val="single" w:sz="4" w:space="0" w:color="auto"/>
            </w:tcBorders>
            <w:shd w:val="clear" w:color="auto" w:fill="auto"/>
            <w:vAlign w:val="center"/>
            <w:hideMark/>
          </w:tcPr>
          <w:p w14:paraId="041E8422"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3.083.656</w:t>
            </w:r>
          </w:p>
        </w:tc>
      </w:tr>
      <w:tr w:rsidR="004323CE" w:rsidRPr="0029055C" w14:paraId="003D0E0C" w14:textId="77777777" w:rsidTr="00C73BAE">
        <w:tc>
          <w:tcPr>
            <w:tcW w:w="193" w:type="pct"/>
            <w:tcBorders>
              <w:top w:val="nil"/>
              <w:left w:val="single" w:sz="4" w:space="0" w:color="auto"/>
              <w:bottom w:val="single" w:sz="4" w:space="0" w:color="auto"/>
              <w:right w:val="single" w:sz="4" w:space="0" w:color="auto"/>
            </w:tcBorders>
            <w:shd w:val="clear" w:color="auto" w:fill="auto"/>
            <w:hideMark/>
          </w:tcPr>
          <w:p w14:paraId="534EC3C6" w14:textId="77777777" w:rsidR="004323CE" w:rsidRPr="0029055C" w:rsidRDefault="004323CE" w:rsidP="008871FC">
            <w:pPr>
              <w:spacing w:before="60" w:after="60" w:line="240" w:lineRule="auto"/>
              <w:jc w:val="left"/>
              <w:rPr>
                <w:rFonts w:ascii="Calibri Light" w:hAnsi="Calibri Light" w:cs="Calibri Light"/>
                <w:b/>
                <w:bCs/>
                <w:color w:val="000000"/>
                <w:sz w:val="14"/>
                <w:szCs w:val="14"/>
              </w:rPr>
            </w:pPr>
            <w:r w:rsidRPr="0029055C">
              <w:rPr>
                <w:rFonts w:ascii="Calibri Light" w:hAnsi="Calibri Light" w:cs="Calibri Light"/>
                <w:b/>
                <w:bCs/>
                <w:color w:val="000000"/>
                <w:sz w:val="14"/>
                <w:szCs w:val="14"/>
              </w:rPr>
              <w:t> </w:t>
            </w:r>
          </w:p>
        </w:tc>
        <w:tc>
          <w:tcPr>
            <w:tcW w:w="438" w:type="pct"/>
            <w:tcBorders>
              <w:top w:val="nil"/>
              <w:left w:val="nil"/>
              <w:bottom w:val="single" w:sz="4" w:space="0" w:color="auto"/>
              <w:right w:val="single" w:sz="4" w:space="0" w:color="auto"/>
            </w:tcBorders>
            <w:shd w:val="clear" w:color="auto" w:fill="auto"/>
            <w:vAlign w:val="center"/>
            <w:hideMark/>
          </w:tcPr>
          <w:p w14:paraId="0FB96ADC" w14:textId="77777777" w:rsidR="004323CE" w:rsidRPr="0029055C" w:rsidRDefault="004323CE" w:rsidP="008871FC">
            <w:pPr>
              <w:spacing w:before="60" w:after="60" w:line="240" w:lineRule="auto"/>
              <w:jc w:val="left"/>
              <w:rPr>
                <w:rFonts w:ascii="Calibri Light" w:hAnsi="Calibri Light" w:cs="Calibri Light"/>
                <w:b/>
                <w:bCs/>
                <w:color w:val="000000"/>
                <w:sz w:val="14"/>
                <w:szCs w:val="14"/>
              </w:rPr>
            </w:pPr>
            <w:r w:rsidRPr="0029055C">
              <w:rPr>
                <w:rFonts w:ascii="Calibri Light" w:hAnsi="Calibri Light" w:cs="Calibri Light"/>
                <w:b/>
                <w:bCs/>
                <w:color w:val="000000"/>
                <w:sz w:val="14"/>
                <w:szCs w:val="14"/>
              </w:rPr>
              <w:t>Σύνολο</w:t>
            </w:r>
            <w:r w:rsidR="008871FC" w:rsidRPr="0029055C">
              <w:rPr>
                <w:rFonts w:ascii="Calibri Light" w:hAnsi="Calibri Light" w:cs="Calibri Light"/>
                <w:b/>
                <w:bCs/>
                <w:color w:val="000000"/>
                <w:sz w:val="14"/>
                <w:szCs w:val="14"/>
              </w:rPr>
              <w:t xml:space="preserve"> ΕΤΠΑ</w:t>
            </w:r>
          </w:p>
        </w:tc>
        <w:tc>
          <w:tcPr>
            <w:tcW w:w="273" w:type="pct"/>
            <w:tcBorders>
              <w:top w:val="nil"/>
              <w:left w:val="nil"/>
              <w:bottom w:val="single" w:sz="4" w:space="0" w:color="auto"/>
              <w:right w:val="single" w:sz="4" w:space="0" w:color="auto"/>
            </w:tcBorders>
            <w:shd w:val="clear" w:color="auto" w:fill="auto"/>
            <w:vAlign w:val="center"/>
            <w:hideMark/>
          </w:tcPr>
          <w:p w14:paraId="57452AED"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11.773.267</w:t>
            </w:r>
          </w:p>
        </w:tc>
        <w:tc>
          <w:tcPr>
            <w:tcW w:w="273" w:type="pct"/>
            <w:tcBorders>
              <w:top w:val="nil"/>
              <w:left w:val="nil"/>
              <w:bottom w:val="single" w:sz="4" w:space="0" w:color="auto"/>
              <w:right w:val="single" w:sz="4" w:space="0" w:color="auto"/>
            </w:tcBorders>
            <w:shd w:val="clear" w:color="auto" w:fill="auto"/>
            <w:vAlign w:val="center"/>
            <w:hideMark/>
          </w:tcPr>
          <w:p w14:paraId="138C97FF"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769.495</w:t>
            </w:r>
          </w:p>
        </w:tc>
        <w:tc>
          <w:tcPr>
            <w:tcW w:w="273" w:type="pct"/>
            <w:tcBorders>
              <w:top w:val="nil"/>
              <w:left w:val="nil"/>
              <w:bottom w:val="single" w:sz="4" w:space="0" w:color="auto"/>
              <w:right w:val="single" w:sz="4" w:space="0" w:color="auto"/>
            </w:tcBorders>
            <w:shd w:val="clear" w:color="auto" w:fill="auto"/>
            <w:vAlign w:val="center"/>
            <w:hideMark/>
          </w:tcPr>
          <w:p w14:paraId="13AFD992"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15.748.398</w:t>
            </w:r>
          </w:p>
        </w:tc>
        <w:tc>
          <w:tcPr>
            <w:tcW w:w="273" w:type="pct"/>
            <w:tcBorders>
              <w:top w:val="nil"/>
              <w:left w:val="nil"/>
              <w:bottom w:val="single" w:sz="4" w:space="0" w:color="auto"/>
              <w:right w:val="single" w:sz="4" w:space="0" w:color="auto"/>
            </w:tcBorders>
            <w:shd w:val="clear" w:color="auto" w:fill="auto"/>
            <w:vAlign w:val="center"/>
            <w:hideMark/>
          </w:tcPr>
          <w:p w14:paraId="5C3A77E6"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1.029.306</w:t>
            </w:r>
          </w:p>
        </w:tc>
        <w:tc>
          <w:tcPr>
            <w:tcW w:w="273" w:type="pct"/>
            <w:tcBorders>
              <w:top w:val="nil"/>
              <w:left w:val="nil"/>
              <w:bottom w:val="single" w:sz="4" w:space="0" w:color="auto"/>
              <w:right w:val="single" w:sz="4" w:space="0" w:color="auto"/>
            </w:tcBorders>
            <w:shd w:val="clear" w:color="auto" w:fill="auto"/>
            <w:vAlign w:val="center"/>
            <w:hideMark/>
          </w:tcPr>
          <w:p w14:paraId="4A16A5CB"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19.725.014</w:t>
            </w:r>
          </w:p>
        </w:tc>
        <w:tc>
          <w:tcPr>
            <w:tcW w:w="273" w:type="pct"/>
            <w:tcBorders>
              <w:top w:val="nil"/>
              <w:left w:val="nil"/>
              <w:bottom w:val="single" w:sz="4" w:space="0" w:color="auto"/>
              <w:right w:val="single" w:sz="4" w:space="0" w:color="auto"/>
            </w:tcBorders>
            <w:shd w:val="clear" w:color="auto" w:fill="auto"/>
            <w:vAlign w:val="center"/>
            <w:hideMark/>
          </w:tcPr>
          <w:p w14:paraId="61E34485"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1.289.216</w:t>
            </w:r>
          </w:p>
        </w:tc>
        <w:tc>
          <w:tcPr>
            <w:tcW w:w="273" w:type="pct"/>
            <w:tcBorders>
              <w:top w:val="nil"/>
              <w:left w:val="nil"/>
              <w:bottom w:val="single" w:sz="4" w:space="0" w:color="auto"/>
              <w:right w:val="single" w:sz="4" w:space="0" w:color="auto"/>
            </w:tcBorders>
            <w:shd w:val="clear" w:color="auto" w:fill="auto"/>
            <w:vAlign w:val="center"/>
            <w:hideMark/>
          </w:tcPr>
          <w:p w14:paraId="66C8921B"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23.701.978</w:t>
            </w:r>
          </w:p>
        </w:tc>
        <w:tc>
          <w:tcPr>
            <w:tcW w:w="273" w:type="pct"/>
            <w:tcBorders>
              <w:top w:val="nil"/>
              <w:left w:val="nil"/>
              <w:bottom w:val="single" w:sz="4" w:space="0" w:color="auto"/>
              <w:right w:val="single" w:sz="4" w:space="0" w:color="auto"/>
            </w:tcBorders>
            <w:shd w:val="clear" w:color="auto" w:fill="auto"/>
            <w:vAlign w:val="center"/>
            <w:hideMark/>
          </w:tcPr>
          <w:p w14:paraId="379A1650"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1.549.149</w:t>
            </w:r>
          </w:p>
        </w:tc>
        <w:tc>
          <w:tcPr>
            <w:tcW w:w="273" w:type="pct"/>
            <w:tcBorders>
              <w:top w:val="nil"/>
              <w:left w:val="nil"/>
              <w:bottom w:val="single" w:sz="4" w:space="0" w:color="auto"/>
              <w:right w:val="single" w:sz="4" w:space="0" w:color="auto"/>
            </w:tcBorders>
            <w:shd w:val="clear" w:color="auto" w:fill="auto"/>
            <w:vAlign w:val="center"/>
            <w:hideMark/>
          </w:tcPr>
          <w:p w14:paraId="2D56C23F"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34.986.204</w:t>
            </w:r>
          </w:p>
        </w:tc>
        <w:tc>
          <w:tcPr>
            <w:tcW w:w="273" w:type="pct"/>
            <w:tcBorders>
              <w:top w:val="nil"/>
              <w:left w:val="nil"/>
              <w:bottom w:val="single" w:sz="4" w:space="0" w:color="auto"/>
              <w:right w:val="single" w:sz="4" w:space="0" w:color="auto"/>
            </w:tcBorders>
            <w:shd w:val="clear" w:color="auto" w:fill="auto"/>
            <w:vAlign w:val="center"/>
            <w:hideMark/>
          </w:tcPr>
          <w:p w14:paraId="7466B3CA"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2.275.499</w:t>
            </w:r>
          </w:p>
        </w:tc>
        <w:tc>
          <w:tcPr>
            <w:tcW w:w="273" w:type="pct"/>
            <w:tcBorders>
              <w:top w:val="nil"/>
              <w:left w:val="nil"/>
              <w:bottom w:val="single" w:sz="4" w:space="0" w:color="auto"/>
              <w:right w:val="single" w:sz="4" w:space="0" w:color="auto"/>
            </w:tcBorders>
            <w:shd w:val="clear" w:color="auto" w:fill="auto"/>
            <w:vAlign w:val="center"/>
            <w:hideMark/>
          </w:tcPr>
          <w:p w14:paraId="230C4279"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53.576.287</w:t>
            </w:r>
          </w:p>
        </w:tc>
        <w:tc>
          <w:tcPr>
            <w:tcW w:w="273" w:type="pct"/>
            <w:tcBorders>
              <w:top w:val="nil"/>
              <w:left w:val="nil"/>
              <w:bottom w:val="single" w:sz="4" w:space="0" w:color="auto"/>
              <w:right w:val="single" w:sz="4" w:space="0" w:color="auto"/>
            </w:tcBorders>
            <w:shd w:val="clear" w:color="auto" w:fill="auto"/>
            <w:vAlign w:val="center"/>
            <w:hideMark/>
          </w:tcPr>
          <w:p w14:paraId="285ED9A0"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3.468.176</w:t>
            </w:r>
          </w:p>
        </w:tc>
        <w:tc>
          <w:tcPr>
            <w:tcW w:w="273" w:type="pct"/>
            <w:tcBorders>
              <w:top w:val="nil"/>
              <w:left w:val="nil"/>
              <w:bottom w:val="single" w:sz="4" w:space="0" w:color="auto"/>
              <w:right w:val="single" w:sz="4" w:space="0" w:color="auto"/>
            </w:tcBorders>
            <w:shd w:val="clear" w:color="auto" w:fill="auto"/>
            <w:vAlign w:val="center"/>
            <w:hideMark/>
          </w:tcPr>
          <w:p w14:paraId="59CF9568"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64.868.172</w:t>
            </w:r>
          </w:p>
        </w:tc>
        <w:tc>
          <w:tcPr>
            <w:tcW w:w="273" w:type="pct"/>
            <w:tcBorders>
              <w:top w:val="nil"/>
              <w:left w:val="nil"/>
              <w:bottom w:val="single" w:sz="4" w:space="0" w:color="auto"/>
              <w:right w:val="single" w:sz="4" w:space="0" w:color="auto"/>
            </w:tcBorders>
            <w:shd w:val="clear" w:color="auto" w:fill="auto"/>
            <w:vAlign w:val="center"/>
            <w:hideMark/>
          </w:tcPr>
          <w:p w14:paraId="0BA39F29"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4.195.027</w:t>
            </w:r>
          </w:p>
        </w:tc>
        <w:tc>
          <w:tcPr>
            <w:tcW w:w="273" w:type="pct"/>
            <w:tcBorders>
              <w:top w:val="nil"/>
              <w:left w:val="nil"/>
              <w:bottom w:val="single" w:sz="4" w:space="0" w:color="auto"/>
              <w:right w:val="single" w:sz="4" w:space="0" w:color="auto"/>
            </w:tcBorders>
            <w:shd w:val="clear" w:color="auto" w:fill="auto"/>
            <w:vAlign w:val="center"/>
            <w:hideMark/>
          </w:tcPr>
          <w:p w14:paraId="1F1D9C59"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224.379.320</w:t>
            </w:r>
          </w:p>
        </w:tc>
        <w:tc>
          <w:tcPr>
            <w:tcW w:w="273" w:type="pct"/>
            <w:tcBorders>
              <w:top w:val="nil"/>
              <w:left w:val="nil"/>
              <w:bottom w:val="single" w:sz="4" w:space="0" w:color="auto"/>
              <w:right w:val="single" w:sz="4" w:space="0" w:color="auto"/>
            </w:tcBorders>
            <w:shd w:val="clear" w:color="auto" w:fill="auto"/>
            <w:vAlign w:val="center"/>
            <w:hideMark/>
          </w:tcPr>
          <w:p w14:paraId="4E03BB80"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14.575.868</w:t>
            </w:r>
          </w:p>
        </w:tc>
      </w:tr>
      <w:tr w:rsidR="004323CE" w:rsidRPr="0029055C" w14:paraId="6F3F561F" w14:textId="77777777" w:rsidTr="00C73BAE">
        <w:tc>
          <w:tcPr>
            <w:tcW w:w="193" w:type="pct"/>
            <w:tcBorders>
              <w:top w:val="nil"/>
              <w:left w:val="single" w:sz="4" w:space="0" w:color="auto"/>
              <w:bottom w:val="single" w:sz="4" w:space="0" w:color="auto"/>
              <w:right w:val="single" w:sz="4" w:space="0" w:color="auto"/>
            </w:tcBorders>
            <w:shd w:val="clear" w:color="auto" w:fill="auto"/>
            <w:hideMark/>
          </w:tcPr>
          <w:p w14:paraId="41508F18" w14:textId="77777777" w:rsidR="004323CE" w:rsidRPr="0029055C" w:rsidRDefault="004323CE" w:rsidP="008871FC">
            <w:pPr>
              <w:spacing w:before="60" w:after="60" w:line="240" w:lineRule="auto"/>
              <w:jc w:val="left"/>
              <w:rPr>
                <w:rFonts w:ascii="Calibri Light" w:hAnsi="Calibri Light" w:cs="Calibri Light"/>
                <w:b/>
                <w:bCs/>
                <w:color w:val="000000"/>
                <w:sz w:val="14"/>
                <w:szCs w:val="14"/>
              </w:rPr>
            </w:pPr>
            <w:r w:rsidRPr="0029055C">
              <w:rPr>
                <w:rFonts w:ascii="Calibri Light" w:hAnsi="Calibri Light" w:cs="Calibri Light"/>
                <w:b/>
                <w:bCs/>
                <w:color w:val="000000"/>
                <w:sz w:val="14"/>
                <w:szCs w:val="14"/>
              </w:rPr>
              <w:t>ΕΚΤ</w:t>
            </w:r>
          </w:p>
        </w:tc>
        <w:tc>
          <w:tcPr>
            <w:tcW w:w="438" w:type="pct"/>
            <w:tcBorders>
              <w:top w:val="nil"/>
              <w:left w:val="nil"/>
              <w:bottom w:val="single" w:sz="4" w:space="0" w:color="auto"/>
              <w:right w:val="single" w:sz="4" w:space="0" w:color="auto"/>
            </w:tcBorders>
            <w:shd w:val="clear" w:color="auto" w:fill="auto"/>
            <w:vAlign w:val="center"/>
            <w:hideMark/>
          </w:tcPr>
          <w:p w14:paraId="4A8E500E" w14:textId="77777777" w:rsidR="004323CE" w:rsidRPr="0029055C" w:rsidRDefault="004323CE" w:rsidP="008871FC">
            <w:pPr>
              <w:spacing w:before="60" w:after="60" w:line="240" w:lineRule="auto"/>
              <w:jc w:val="left"/>
              <w:rPr>
                <w:rFonts w:ascii="Calibri Light" w:hAnsi="Calibri Light" w:cs="Calibri Light"/>
                <w:bCs/>
                <w:color w:val="000000"/>
                <w:sz w:val="14"/>
                <w:szCs w:val="14"/>
              </w:rPr>
            </w:pPr>
            <w:r w:rsidRPr="0029055C">
              <w:rPr>
                <w:rFonts w:ascii="Calibri Light" w:hAnsi="Calibri Light" w:cs="Calibri Light"/>
                <w:bCs/>
                <w:color w:val="000000"/>
                <w:sz w:val="14"/>
                <w:szCs w:val="14"/>
              </w:rPr>
              <w:t>Στις λιγότερο αναπτυγμένες περιφέρειες</w:t>
            </w:r>
          </w:p>
        </w:tc>
        <w:tc>
          <w:tcPr>
            <w:tcW w:w="273" w:type="pct"/>
            <w:tcBorders>
              <w:top w:val="nil"/>
              <w:left w:val="nil"/>
              <w:bottom w:val="single" w:sz="4" w:space="0" w:color="auto"/>
              <w:right w:val="single" w:sz="4" w:space="0" w:color="auto"/>
            </w:tcBorders>
            <w:shd w:val="clear" w:color="auto" w:fill="auto"/>
            <w:vAlign w:val="center"/>
            <w:hideMark/>
          </w:tcPr>
          <w:p w14:paraId="50A20420"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5.034.585</w:t>
            </w:r>
          </w:p>
        </w:tc>
        <w:tc>
          <w:tcPr>
            <w:tcW w:w="273" w:type="pct"/>
            <w:tcBorders>
              <w:top w:val="nil"/>
              <w:left w:val="nil"/>
              <w:bottom w:val="single" w:sz="4" w:space="0" w:color="auto"/>
              <w:right w:val="single" w:sz="4" w:space="0" w:color="auto"/>
            </w:tcBorders>
            <w:shd w:val="clear" w:color="auto" w:fill="auto"/>
            <w:vAlign w:val="center"/>
            <w:hideMark/>
          </w:tcPr>
          <w:p w14:paraId="72850DB3"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329.442</w:t>
            </w:r>
          </w:p>
        </w:tc>
        <w:tc>
          <w:tcPr>
            <w:tcW w:w="273" w:type="pct"/>
            <w:tcBorders>
              <w:top w:val="nil"/>
              <w:left w:val="nil"/>
              <w:bottom w:val="single" w:sz="4" w:space="0" w:color="auto"/>
              <w:right w:val="single" w:sz="4" w:space="0" w:color="auto"/>
            </w:tcBorders>
            <w:shd w:val="clear" w:color="auto" w:fill="auto"/>
            <w:vAlign w:val="center"/>
            <w:hideMark/>
          </w:tcPr>
          <w:p w14:paraId="756B7034"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8.824.807</w:t>
            </w:r>
          </w:p>
        </w:tc>
        <w:tc>
          <w:tcPr>
            <w:tcW w:w="273" w:type="pct"/>
            <w:tcBorders>
              <w:top w:val="nil"/>
              <w:left w:val="nil"/>
              <w:bottom w:val="single" w:sz="4" w:space="0" w:color="auto"/>
              <w:right w:val="single" w:sz="4" w:space="0" w:color="auto"/>
            </w:tcBorders>
            <w:shd w:val="clear" w:color="auto" w:fill="auto"/>
            <w:vAlign w:val="center"/>
            <w:hideMark/>
          </w:tcPr>
          <w:p w14:paraId="35BC758D"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577.458</w:t>
            </w:r>
          </w:p>
        </w:tc>
        <w:tc>
          <w:tcPr>
            <w:tcW w:w="273" w:type="pct"/>
            <w:tcBorders>
              <w:top w:val="nil"/>
              <w:left w:val="nil"/>
              <w:bottom w:val="single" w:sz="4" w:space="0" w:color="auto"/>
              <w:right w:val="single" w:sz="4" w:space="0" w:color="auto"/>
            </w:tcBorders>
            <w:shd w:val="clear" w:color="auto" w:fill="auto"/>
            <w:vAlign w:val="center"/>
            <w:hideMark/>
          </w:tcPr>
          <w:p w14:paraId="19F6630A"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12.720.130</w:t>
            </w:r>
          </w:p>
        </w:tc>
        <w:tc>
          <w:tcPr>
            <w:tcW w:w="273" w:type="pct"/>
            <w:tcBorders>
              <w:top w:val="nil"/>
              <w:left w:val="nil"/>
              <w:bottom w:val="single" w:sz="4" w:space="0" w:color="auto"/>
              <w:right w:val="single" w:sz="4" w:space="0" w:color="auto"/>
            </w:tcBorders>
            <w:shd w:val="clear" w:color="auto" w:fill="auto"/>
            <w:vAlign w:val="center"/>
            <w:hideMark/>
          </w:tcPr>
          <w:p w14:paraId="1C422EAF"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832.352</w:t>
            </w:r>
          </w:p>
        </w:tc>
        <w:tc>
          <w:tcPr>
            <w:tcW w:w="273" w:type="pct"/>
            <w:tcBorders>
              <w:top w:val="nil"/>
              <w:left w:val="nil"/>
              <w:bottom w:val="single" w:sz="4" w:space="0" w:color="auto"/>
              <w:right w:val="single" w:sz="4" w:space="0" w:color="auto"/>
            </w:tcBorders>
            <w:shd w:val="clear" w:color="auto" w:fill="auto"/>
            <w:vAlign w:val="center"/>
            <w:hideMark/>
          </w:tcPr>
          <w:p w14:paraId="32059DF5"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22.688.672</w:t>
            </w:r>
          </w:p>
        </w:tc>
        <w:tc>
          <w:tcPr>
            <w:tcW w:w="273" w:type="pct"/>
            <w:tcBorders>
              <w:top w:val="nil"/>
              <w:left w:val="nil"/>
              <w:bottom w:val="single" w:sz="4" w:space="0" w:color="auto"/>
              <w:right w:val="single" w:sz="4" w:space="0" w:color="auto"/>
            </w:tcBorders>
            <w:shd w:val="clear" w:color="auto" w:fill="auto"/>
            <w:vAlign w:val="center"/>
            <w:hideMark/>
          </w:tcPr>
          <w:p w14:paraId="1C898431"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1.477.595</w:t>
            </w:r>
          </w:p>
        </w:tc>
        <w:tc>
          <w:tcPr>
            <w:tcW w:w="273" w:type="pct"/>
            <w:tcBorders>
              <w:top w:val="nil"/>
              <w:left w:val="nil"/>
              <w:bottom w:val="single" w:sz="4" w:space="0" w:color="auto"/>
              <w:right w:val="single" w:sz="4" w:space="0" w:color="auto"/>
            </w:tcBorders>
            <w:shd w:val="clear" w:color="auto" w:fill="auto"/>
            <w:vAlign w:val="center"/>
            <w:hideMark/>
          </w:tcPr>
          <w:p w14:paraId="62A10A84"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26.674.489</w:t>
            </w:r>
          </w:p>
        </w:tc>
        <w:tc>
          <w:tcPr>
            <w:tcW w:w="273" w:type="pct"/>
            <w:tcBorders>
              <w:top w:val="nil"/>
              <w:left w:val="nil"/>
              <w:bottom w:val="single" w:sz="4" w:space="0" w:color="auto"/>
              <w:right w:val="single" w:sz="4" w:space="0" w:color="auto"/>
            </w:tcBorders>
            <w:shd w:val="clear" w:color="auto" w:fill="auto"/>
            <w:vAlign w:val="center"/>
            <w:hideMark/>
          </w:tcPr>
          <w:p w14:paraId="571D4511"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1.738.269</w:t>
            </w:r>
          </w:p>
        </w:tc>
        <w:tc>
          <w:tcPr>
            <w:tcW w:w="273" w:type="pct"/>
            <w:tcBorders>
              <w:top w:val="nil"/>
              <w:left w:val="nil"/>
              <w:bottom w:val="single" w:sz="4" w:space="0" w:color="auto"/>
              <w:right w:val="single" w:sz="4" w:space="0" w:color="auto"/>
            </w:tcBorders>
            <w:shd w:val="clear" w:color="auto" w:fill="auto"/>
            <w:vAlign w:val="center"/>
            <w:hideMark/>
          </w:tcPr>
          <w:p w14:paraId="18EF7239"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30.649.077</w:t>
            </w:r>
          </w:p>
        </w:tc>
        <w:tc>
          <w:tcPr>
            <w:tcW w:w="273" w:type="pct"/>
            <w:tcBorders>
              <w:top w:val="nil"/>
              <w:left w:val="nil"/>
              <w:bottom w:val="single" w:sz="4" w:space="0" w:color="auto"/>
              <w:right w:val="single" w:sz="4" w:space="0" w:color="auto"/>
            </w:tcBorders>
            <w:shd w:val="clear" w:color="auto" w:fill="auto"/>
            <w:vAlign w:val="center"/>
            <w:hideMark/>
          </w:tcPr>
          <w:p w14:paraId="34FDAE67"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1.998.205</w:t>
            </w:r>
          </w:p>
        </w:tc>
        <w:tc>
          <w:tcPr>
            <w:tcW w:w="273" w:type="pct"/>
            <w:tcBorders>
              <w:top w:val="nil"/>
              <w:left w:val="nil"/>
              <w:bottom w:val="single" w:sz="4" w:space="0" w:color="auto"/>
              <w:right w:val="single" w:sz="4" w:space="0" w:color="auto"/>
            </w:tcBorders>
            <w:shd w:val="clear" w:color="auto" w:fill="auto"/>
            <w:vAlign w:val="center"/>
            <w:hideMark/>
          </w:tcPr>
          <w:p w14:paraId="03187A04"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34.613.347</w:t>
            </w:r>
          </w:p>
        </w:tc>
        <w:tc>
          <w:tcPr>
            <w:tcW w:w="273" w:type="pct"/>
            <w:tcBorders>
              <w:top w:val="nil"/>
              <w:left w:val="nil"/>
              <w:bottom w:val="single" w:sz="4" w:space="0" w:color="auto"/>
              <w:right w:val="single" w:sz="4" w:space="0" w:color="auto"/>
            </w:tcBorders>
            <w:shd w:val="clear" w:color="auto" w:fill="auto"/>
            <w:vAlign w:val="center"/>
            <w:hideMark/>
          </w:tcPr>
          <w:p w14:paraId="5D0DA1B3"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2.257.463</w:t>
            </w:r>
          </w:p>
        </w:tc>
        <w:tc>
          <w:tcPr>
            <w:tcW w:w="273" w:type="pct"/>
            <w:tcBorders>
              <w:top w:val="nil"/>
              <w:left w:val="nil"/>
              <w:bottom w:val="single" w:sz="4" w:space="0" w:color="auto"/>
              <w:right w:val="single" w:sz="4" w:space="0" w:color="auto"/>
            </w:tcBorders>
            <w:shd w:val="clear" w:color="auto" w:fill="auto"/>
            <w:vAlign w:val="center"/>
            <w:hideMark/>
          </w:tcPr>
          <w:p w14:paraId="6F013D59"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141.205.107</w:t>
            </w:r>
          </w:p>
        </w:tc>
        <w:tc>
          <w:tcPr>
            <w:tcW w:w="273" w:type="pct"/>
            <w:tcBorders>
              <w:top w:val="nil"/>
              <w:left w:val="nil"/>
              <w:bottom w:val="single" w:sz="4" w:space="0" w:color="auto"/>
              <w:right w:val="single" w:sz="4" w:space="0" w:color="auto"/>
            </w:tcBorders>
            <w:shd w:val="clear" w:color="auto" w:fill="auto"/>
            <w:vAlign w:val="center"/>
            <w:hideMark/>
          </w:tcPr>
          <w:p w14:paraId="1D9B70B3"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9.210.784</w:t>
            </w:r>
          </w:p>
        </w:tc>
      </w:tr>
      <w:tr w:rsidR="004323CE" w:rsidRPr="0029055C" w14:paraId="3FE7BCD3" w14:textId="77777777" w:rsidTr="00C73BAE">
        <w:tc>
          <w:tcPr>
            <w:tcW w:w="193" w:type="pct"/>
            <w:tcBorders>
              <w:top w:val="nil"/>
              <w:left w:val="single" w:sz="4" w:space="0" w:color="auto"/>
              <w:bottom w:val="single" w:sz="4" w:space="0" w:color="auto"/>
              <w:right w:val="single" w:sz="4" w:space="0" w:color="auto"/>
            </w:tcBorders>
            <w:shd w:val="clear" w:color="auto" w:fill="auto"/>
            <w:hideMark/>
          </w:tcPr>
          <w:p w14:paraId="6BD7CDF5" w14:textId="77777777" w:rsidR="004323CE" w:rsidRPr="0029055C" w:rsidRDefault="004323CE" w:rsidP="008871FC">
            <w:pPr>
              <w:spacing w:before="60" w:after="60" w:line="240" w:lineRule="auto"/>
              <w:jc w:val="left"/>
              <w:rPr>
                <w:rFonts w:ascii="Calibri Light" w:hAnsi="Calibri Light" w:cs="Calibri Light"/>
                <w:b/>
                <w:bCs/>
                <w:color w:val="000000"/>
                <w:sz w:val="14"/>
                <w:szCs w:val="14"/>
              </w:rPr>
            </w:pPr>
            <w:r w:rsidRPr="0029055C">
              <w:rPr>
                <w:rFonts w:ascii="Calibri Light" w:hAnsi="Calibri Light" w:cs="Calibri Light"/>
                <w:b/>
                <w:bCs/>
                <w:color w:val="000000"/>
                <w:sz w:val="14"/>
                <w:szCs w:val="14"/>
              </w:rPr>
              <w:t> </w:t>
            </w:r>
          </w:p>
        </w:tc>
        <w:tc>
          <w:tcPr>
            <w:tcW w:w="438" w:type="pct"/>
            <w:tcBorders>
              <w:top w:val="nil"/>
              <w:left w:val="nil"/>
              <w:bottom w:val="single" w:sz="4" w:space="0" w:color="auto"/>
              <w:right w:val="single" w:sz="4" w:space="0" w:color="auto"/>
            </w:tcBorders>
            <w:shd w:val="clear" w:color="auto" w:fill="auto"/>
            <w:vAlign w:val="center"/>
            <w:hideMark/>
          </w:tcPr>
          <w:p w14:paraId="51052305" w14:textId="77777777" w:rsidR="004323CE" w:rsidRPr="0029055C" w:rsidRDefault="004323CE" w:rsidP="008871FC">
            <w:pPr>
              <w:spacing w:before="60" w:after="60" w:line="240" w:lineRule="auto"/>
              <w:jc w:val="left"/>
              <w:rPr>
                <w:rFonts w:ascii="Calibri Light" w:hAnsi="Calibri Light" w:cs="Calibri Light"/>
                <w:bCs/>
                <w:color w:val="000000"/>
                <w:sz w:val="14"/>
                <w:szCs w:val="14"/>
              </w:rPr>
            </w:pPr>
            <w:r w:rsidRPr="0029055C">
              <w:rPr>
                <w:rFonts w:ascii="Calibri Light" w:hAnsi="Calibri Light" w:cs="Calibri Light"/>
                <w:bCs/>
                <w:color w:val="000000"/>
                <w:sz w:val="14"/>
                <w:szCs w:val="14"/>
              </w:rPr>
              <w:t>Στις περιφέρειες μετάβασης</w:t>
            </w:r>
          </w:p>
        </w:tc>
        <w:tc>
          <w:tcPr>
            <w:tcW w:w="273" w:type="pct"/>
            <w:tcBorders>
              <w:top w:val="nil"/>
              <w:left w:val="nil"/>
              <w:bottom w:val="single" w:sz="4" w:space="0" w:color="auto"/>
              <w:right w:val="single" w:sz="4" w:space="0" w:color="auto"/>
            </w:tcBorders>
            <w:shd w:val="clear" w:color="auto" w:fill="auto"/>
            <w:vAlign w:val="center"/>
            <w:hideMark/>
          </w:tcPr>
          <w:p w14:paraId="4D1D49C3"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1.698.410</w:t>
            </w:r>
          </w:p>
        </w:tc>
        <w:tc>
          <w:tcPr>
            <w:tcW w:w="273" w:type="pct"/>
            <w:tcBorders>
              <w:top w:val="nil"/>
              <w:left w:val="nil"/>
              <w:bottom w:val="single" w:sz="4" w:space="0" w:color="auto"/>
              <w:right w:val="single" w:sz="4" w:space="0" w:color="auto"/>
            </w:tcBorders>
            <w:shd w:val="clear" w:color="auto" w:fill="auto"/>
            <w:vAlign w:val="center"/>
            <w:hideMark/>
          </w:tcPr>
          <w:p w14:paraId="77A39A99"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111.137</w:t>
            </w:r>
          </w:p>
        </w:tc>
        <w:tc>
          <w:tcPr>
            <w:tcW w:w="273" w:type="pct"/>
            <w:tcBorders>
              <w:top w:val="nil"/>
              <w:left w:val="nil"/>
              <w:bottom w:val="single" w:sz="4" w:space="0" w:color="auto"/>
              <w:right w:val="single" w:sz="4" w:space="0" w:color="auto"/>
            </w:tcBorders>
            <w:shd w:val="clear" w:color="auto" w:fill="auto"/>
            <w:vAlign w:val="center"/>
            <w:hideMark/>
          </w:tcPr>
          <w:p w14:paraId="5A6EDAD6"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2.977.035</w:t>
            </w:r>
          </w:p>
        </w:tc>
        <w:tc>
          <w:tcPr>
            <w:tcW w:w="273" w:type="pct"/>
            <w:tcBorders>
              <w:top w:val="nil"/>
              <w:left w:val="nil"/>
              <w:bottom w:val="single" w:sz="4" w:space="0" w:color="auto"/>
              <w:right w:val="single" w:sz="4" w:space="0" w:color="auto"/>
            </w:tcBorders>
            <w:shd w:val="clear" w:color="auto" w:fill="auto"/>
            <w:vAlign w:val="center"/>
            <w:hideMark/>
          </w:tcPr>
          <w:p w14:paraId="69CE3C4D"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194.805</w:t>
            </w:r>
          </w:p>
        </w:tc>
        <w:tc>
          <w:tcPr>
            <w:tcW w:w="273" w:type="pct"/>
            <w:tcBorders>
              <w:top w:val="nil"/>
              <w:left w:val="nil"/>
              <w:bottom w:val="single" w:sz="4" w:space="0" w:color="auto"/>
              <w:right w:val="single" w:sz="4" w:space="0" w:color="auto"/>
            </w:tcBorders>
            <w:shd w:val="clear" w:color="auto" w:fill="auto"/>
            <w:vAlign w:val="center"/>
            <w:hideMark/>
          </w:tcPr>
          <w:p w14:paraId="27EC39C7"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4.291.116</w:t>
            </w:r>
          </w:p>
        </w:tc>
        <w:tc>
          <w:tcPr>
            <w:tcW w:w="273" w:type="pct"/>
            <w:tcBorders>
              <w:top w:val="nil"/>
              <w:left w:val="nil"/>
              <w:bottom w:val="single" w:sz="4" w:space="0" w:color="auto"/>
              <w:right w:val="single" w:sz="4" w:space="0" w:color="auto"/>
            </w:tcBorders>
            <w:shd w:val="clear" w:color="auto" w:fill="auto"/>
            <w:vAlign w:val="center"/>
            <w:hideMark/>
          </w:tcPr>
          <w:p w14:paraId="2C715F09"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280.793</w:t>
            </w:r>
          </w:p>
        </w:tc>
        <w:tc>
          <w:tcPr>
            <w:tcW w:w="273" w:type="pct"/>
            <w:tcBorders>
              <w:top w:val="nil"/>
              <w:left w:val="nil"/>
              <w:bottom w:val="single" w:sz="4" w:space="0" w:color="auto"/>
              <w:right w:val="single" w:sz="4" w:space="0" w:color="auto"/>
            </w:tcBorders>
            <w:shd w:val="clear" w:color="auto" w:fill="auto"/>
            <w:vAlign w:val="center"/>
            <w:hideMark/>
          </w:tcPr>
          <w:p w14:paraId="1457AAA6"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7.440.039</w:t>
            </w:r>
          </w:p>
        </w:tc>
        <w:tc>
          <w:tcPr>
            <w:tcW w:w="273" w:type="pct"/>
            <w:tcBorders>
              <w:top w:val="nil"/>
              <w:left w:val="nil"/>
              <w:bottom w:val="single" w:sz="4" w:space="0" w:color="auto"/>
              <w:right w:val="single" w:sz="4" w:space="0" w:color="auto"/>
            </w:tcBorders>
            <w:shd w:val="clear" w:color="auto" w:fill="auto"/>
            <w:vAlign w:val="center"/>
            <w:hideMark/>
          </w:tcPr>
          <w:p w14:paraId="023A55A2"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483.873</w:t>
            </w:r>
          </w:p>
        </w:tc>
        <w:tc>
          <w:tcPr>
            <w:tcW w:w="273" w:type="pct"/>
            <w:tcBorders>
              <w:top w:val="nil"/>
              <w:left w:val="nil"/>
              <w:bottom w:val="single" w:sz="4" w:space="0" w:color="auto"/>
              <w:right w:val="single" w:sz="4" w:space="0" w:color="auto"/>
            </w:tcBorders>
            <w:shd w:val="clear" w:color="auto" w:fill="auto"/>
            <w:vAlign w:val="center"/>
            <w:hideMark/>
          </w:tcPr>
          <w:p w14:paraId="12F3EB97"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8.780.369</w:t>
            </w:r>
          </w:p>
        </w:tc>
        <w:tc>
          <w:tcPr>
            <w:tcW w:w="273" w:type="pct"/>
            <w:tcBorders>
              <w:top w:val="nil"/>
              <w:left w:val="nil"/>
              <w:bottom w:val="single" w:sz="4" w:space="0" w:color="auto"/>
              <w:right w:val="single" w:sz="4" w:space="0" w:color="auto"/>
            </w:tcBorders>
            <w:shd w:val="clear" w:color="auto" w:fill="auto"/>
            <w:vAlign w:val="center"/>
            <w:hideMark/>
          </w:tcPr>
          <w:p w14:paraId="32A1BB21"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571.519</w:t>
            </w:r>
          </w:p>
        </w:tc>
        <w:tc>
          <w:tcPr>
            <w:tcW w:w="273" w:type="pct"/>
            <w:tcBorders>
              <w:top w:val="nil"/>
              <w:left w:val="nil"/>
              <w:bottom w:val="single" w:sz="4" w:space="0" w:color="auto"/>
              <w:right w:val="single" w:sz="4" w:space="0" w:color="auto"/>
            </w:tcBorders>
            <w:shd w:val="clear" w:color="auto" w:fill="auto"/>
            <w:vAlign w:val="center"/>
            <w:hideMark/>
          </w:tcPr>
          <w:p w14:paraId="01949F1C"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10.116.825</w:t>
            </w:r>
          </w:p>
        </w:tc>
        <w:tc>
          <w:tcPr>
            <w:tcW w:w="273" w:type="pct"/>
            <w:tcBorders>
              <w:top w:val="nil"/>
              <w:left w:val="nil"/>
              <w:bottom w:val="single" w:sz="4" w:space="0" w:color="auto"/>
              <w:right w:val="single" w:sz="4" w:space="0" w:color="auto"/>
            </w:tcBorders>
            <w:shd w:val="clear" w:color="auto" w:fill="auto"/>
            <w:vAlign w:val="center"/>
            <w:hideMark/>
          </w:tcPr>
          <w:p w14:paraId="3DA8988A"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658.911</w:t>
            </w:r>
          </w:p>
        </w:tc>
        <w:tc>
          <w:tcPr>
            <w:tcW w:w="273" w:type="pct"/>
            <w:tcBorders>
              <w:top w:val="nil"/>
              <w:left w:val="nil"/>
              <w:bottom w:val="single" w:sz="4" w:space="0" w:color="auto"/>
              <w:right w:val="single" w:sz="4" w:space="0" w:color="auto"/>
            </w:tcBorders>
            <w:shd w:val="clear" w:color="auto" w:fill="auto"/>
            <w:vAlign w:val="center"/>
            <w:hideMark/>
          </w:tcPr>
          <w:p w14:paraId="07F0B5C9"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11.449.715</w:t>
            </w:r>
          </w:p>
        </w:tc>
        <w:tc>
          <w:tcPr>
            <w:tcW w:w="273" w:type="pct"/>
            <w:tcBorders>
              <w:top w:val="nil"/>
              <w:left w:val="nil"/>
              <w:bottom w:val="single" w:sz="4" w:space="0" w:color="auto"/>
              <w:right w:val="single" w:sz="4" w:space="0" w:color="auto"/>
            </w:tcBorders>
            <w:shd w:val="clear" w:color="auto" w:fill="auto"/>
            <w:vAlign w:val="center"/>
            <w:hideMark/>
          </w:tcPr>
          <w:p w14:paraId="387AA22F"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746.068</w:t>
            </w:r>
          </w:p>
        </w:tc>
        <w:tc>
          <w:tcPr>
            <w:tcW w:w="273" w:type="pct"/>
            <w:tcBorders>
              <w:top w:val="nil"/>
              <w:left w:val="nil"/>
              <w:bottom w:val="single" w:sz="4" w:space="0" w:color="auto"/>
              <w:right w:val="single" w:sz="4" w:space="0" w:color="auto"/>
            </w:tcBorders>
            <w:shd w:val="clear" w:color="auto" w:fill="auto"/>
            <w:vAlign w:val="center"/>
            <w:hideMark/>
          </w:tcPr>
          <w:p w14:paraId="53ACA776"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46.753.509</w:t>
            </w:r>
          </w:p>
        </w:tc>
        <w:tc>
          <w:tcPr>
            <w:tcW w:w="273" w:type="pct"/>
            <w:tcBorders>
              <w:top w:val="nil"/>
              <w:left w:val="nil"/>
              <w:bottom w:val="single" w:sz="4" w:space="0" w:color="auto"/>
              <w:right w:val="single" w:sz="4" w:space="0" w:color="auto"/>
            </w:tcBorders>
            <w:shd w:val="clear" w:color="auto" w:fill="auto"/>
            <w:vAlign w:val="center"/>
            <w:hideMark/>
          </w:tcPr>
          <w:p w14:paraId="21A13129"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3.047.106</w:t>
            </w:r>
          </w:p>
        </w:tc>
      </w:tr>
      <w:tr w:rsidR="004323CE" w:rsidRPr="0029055C" w14:paraId="7A44F830" w14:textId="77777777" w:rsidTr="00C73BAE">
        <w:tc>
          <w:tcPr>
            <w:tcW w:w="193" w:type="pct"/>
            <w:tcBorders>
              <w:top w:val="nil"/>
              <w:left w:val="single" w:sz="4" w:space="0" w:color="auto"/>
              <w:bottom w:val="single" w:sz="4" w:space="0" w:color="auto"/>
              <w:right w:val="single" w:sz="4" w:space="0" w:color="auto"/>
            </w:tcBorders>
            <w:shd w:val="clear" w:color="auto" w:fill="auto"/>
            <w:hideMark/>
          </w:tcPr>
          <w:p w14:paraId="3843B6B5" w14:textId="77777777" w:rsidR="004323CE" w:rsidRPr="0029055C" w:rsidRDefault="004323CE" w:rsidP="008871FC">
            <w:pPr>
              <w:spacing w:before="60" w:after="60" w:line="240" w:lineRule="auto"/>
              <w:jc w:val="left"/>
              <w:rPr>
                <w:rFonts w:ascii="Calibri Light" w:hAnsi="Calibri Light" w:cs="Calibri Light"/>
                <w:b/>
                <w:bCs/>
                <w:color w:val="000000"/>
                <w:sz w:val="14"/>
                <w:szCs w:val="14"/>
              </w:rPr>
            </w:pPr>
            <w:r w:rsidRPr="0029055C">
              <w:rPr>
                <w:rFonts w:ascii="Calibri Light" w:hAnsi="Calibri Light" w:cs="Calibri Light"/>
                <w:b/>
                <w:bCs/>
                <w:color w:val="000000"/>
                <w:sz w:val="14"/>
                <w:szCs w:val="14"/>
              </w:rPr>
              <w:t> </w:t>
            </w:r>
          </w:p>
        </w:tc>
        <w:tc>
          <w:tcPr>
            <w:tcW w:w="438" w:type="pct"/>
            <w:tcBorders>
              <w:top w:val="nil"/>
              <w:left w:val="nil"/>
              <w:bottom w:val="single" w:sz="4" w:space="0" w:color="auto"/>
              <w:right w:val="single" w:sz="4" w:space="0" w:color="auto"/>
            </w:tcBorders>
            <w:shd w:val="clear" w:color="auto" w:fill="auto"/>
            <w:vAlign w:val="center"/>
            <w:hideMark/>
          </w:tcPr>
          <w:p w14:paraId="18C4FF3E" w14:textId="77777777" w:rsidR="004323CE" w:rsidRPr="0029055C" w:rsidRDefault="004323CE" w:rsidP="008871FC">
            <w:pPr>
              <w:spacing w:before="60" w:after="60" w:line="240" w:lineRule="auto"/>
              <w:jc w:val="left"/>
              <w:rPr>
                <w:rFonts w:ascii="Calibri Light" w:hAnsi="Calibri Light" w:cs="Calibri Light"/>
                <w:bCs/>
                <w:color w:val="000000"/>
                <w:sz w:val="14"/>
                <w:szCs w:val="14"/>
              </w:rPr>
            </w:pPr>
            <w:r w:rsidRPr="0029055C">
              <w:rPr>
                <w:rFonts w:ascii="Calibri Light" w:hAnsi="Calibri Light" w:cs="Calibri Light"/>
                <w:bCs/>
                <w:color w:val="000000"/>
                <w:sz w:val="14"/>
                <w:szCs w:val="14"/>
              </w:rPr>
              <w:t>Στις περισσότερο αναπτυγμένες περιφέρειες</w:t>
            </w:r>
          </w:p>
        </w:tc>
        <w:tc>
          <w:tcPr>
            <w:tcW w:w="273" w:type="pct"/>
            <w:tcBorders>
              <w:top w:val="nil"/>
              <w:left w:val="nil"/>
              <w:bottom w:val="single" w:sz="4" w:space="0" w:color="auto"/>
              <w:right w:val="single" w:sz="4" w:space="0" w:color="auto"/>
            </w:tcBorders>
            <w:shd w:val="clear" w:color="auto" w:fill="auto"/>
            <w:vAlign w:val="center"/>
            <w:hideMark/>
          </w:tcPr>
          <w:p w14:paraId="5880BDEC"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1.434.933</w:t>
            </w:r>
          </w:p>
        </w:tc>
        <w:tc>
          <w:tcPr>
            <w:tcW w:w="273" w:type="pct"/>
            <w:tcBorders>
              <w:top w:val="nil"/>
              <w:left w:val="nil"/>
              <w:bottom w:val="single" w:sz="4" w:space="0" w:color="auto"/>
              <w:right w:val="single" w:sz="4" w:space="0" w:color="auto"/>
            </w:tcBorders>
            <w:shd w:val="clear" w:color="auto" w:fill="auto"/>
            <w:vAlign w:val="center"/>
            <w:hideMark/>
          </w:tcPr>
          <w:p w14:paraId="5E02DCC0"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93.896</w:t>
            </w:r>
          </w:p>
        </w:tc>
        <w:tc>
          <w:tcPr>
            <w:tcW w:w="273" w:type="pct"/>
            <w:tcBorders>
              <w:top w:val="nil"/>
              <w:left w:val="nil"/>
              <w:bottom w:val="single" w:sz="4" w:space="0" w:color="auto"/>
              <w:right w:val="single" w:sz="4" w:space="0" w:color="auto"/>
            </w:tcBorders>
            <w:shd w:val="clear" w:color="auto" w:fill="auto"/>
            <w:vAlign w:val="center"/>
            <w:hideMark/>
          </w:tcPr>
          <w:p w14:paraId="2EDB9FAC"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2.515.203</w:t>
            </w:r>
          </w:p>
        </w:tc>
        <w:tc>
          <w:tcPr>
            <w:tcW w:w="273" w:type="pct"/>
            <w:tcBorders>
              <w:top w:val="nil"/>
              <w:left w:val="nil"/>
              <w:bottom w:val="single" w:sz="4" w:space="0" w:color="auto"/>
              <w:right w:val="single" w:sz="4" w:space="0" w:color="auto"/>
            </w:tcBorders>
            <w:shd w:val="clear" w:color="auto" w:fill="auto"/>
            <w:vAlign w:val="center"/>
            <w:hideMark/>
          </w:tcPr>
          <w:p w14:paraId="3A894EDE"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164.584</w:t>
            </w:r>
          </w:p>
        </w:tc>
        <w:tc>
          <w:tcPr>
            <w:tcW w:w="273" w:type="pct"/>
            <w:tcBorders>
              <w:top w:val="nil"/>
              <w:left w:val="nil"/>
              <w:bottom w:val="single" w:sz="4" w:space="0" w:color="auto"/>
              <w:right w:val="single" w:sz="4" w:space="0" w:color="auto"/>
            </w:tcBorders>
            <w:shd w:val="clear" w:color="auto" w:fill="auto"/>
            <w:vAlign w:val="center"/>
            <w:hideMark/>
          </w:tcPr>
          <w:p w14:paraId="40A37C21"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3.625.428</w:t>
            </w:r>
          </w:p>
        </w:tc>
        <w:tc>
          <w:tcPr>
            <w:tcW w:w="273" w:type="pct"/>
            <w:tcBorders>
              <w:top w:val="nil"/>
              <w:left w:val="nil"/>
              <w:bottom w:val="single" w:sz="4" w:space="0" w:color="auto"/>
              <w:right w:val="single" w:sz="4" w:space="0" w:color="auto"/>
            </w:tcBorders>
            <w:shd w:val="clear" w:color="auto" w:fill="auto"/>
            <w:vAlign w:val="center"/>
            <w:hideMark/>
          </w:tcPr>
          <w:p w14:paraId="5ADDE3E4"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237.233</w:t>
            </w:r>
          </w:p>
        </w:tc>
        <w:tc>
          <w:tcPr>
            <w:tcW w:w="273" w:type="pct"/>
            <w:tcBorders>
              <w:top w:val="nil"/>
              <w:left w:val="nil"/>
              <w:bottom w:val="single" w:sz="4" w:space="0" w:color="auto"/>
              <w:right w:val="single" w:sz="4" w:space="0" w:color="auto"/>
            </w:tcBorders>
            <w:shd w:val="clear" w:color="auto" w:fill="auto"/>
            <w:vAlign w:val="center"/>
            <w:hideMark/>
          </w:tcPr>
          <w:p w14:paraId="0D7C7CDF"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1.977.316</w:t>
            </w:r>
          </w:p>
        </w:tc>
        <w:tc>
          <w:tcPr>
            <w:tcW w:w="273" w:type="pct"/>
            <w:tcBorders>
              <w:top w:val="nil"/>
              <w:left w:val="nil"/>
              <w:bottom w:val="single" w:sz="4" w:space="0" w:color="auto"/>
              <w:right w:val="single" w:sz="4" w:space="0" w:color="auto"/>
            </w:tcBorders>
            <w:shd w:val="clear" w:color="auto" w:fill="auto"/>
            <w:vAlign w:val="center"/>
            <w:hideMark/>
          </w:tcPr>
          <w:p w14:paraId="7BCF1EB8"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131.024</w:t>
            </w:r>
          </w:p>
        </w:tc>
        <w:tc>
          <w:tcPr>
            <w:tcW w:w="273" w:type="pct"/>
            <w:tcBorders>
              <w:top w:val="nil"/>
              <w:left w:val="nil"/>
              <w:bottom w:val="single" w:sz="4" w:space="0" w:color="auto"/>
              <w:right w:val="single" w:sz="4" w:space="0" w:color="auto"/>
            </w:tcBorders>
            <w:shd w:val="clear" w:color="auto" w:fill="auto"/>
            <w:vAlign w:val="center"/>
            <w:hideMark/>
          </w:tcPr>
          <w:p w14:paraId="53DA8363"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3.023.547</w:t>
            </w:r>
          </w:p>
        </w:tc>
        <w:tc>
          <w:tcPr>
            <w:tcW w:w="273" w:type="pct"/>
            <w:tcBorders>
              <w:top w:val="nil"/>
              <w:left w:val="nil"/>
              <w:bottom w:val="single" w:sz="4" w:space="0" w:color="auto"/>
              <w:right w:val="single" w:sz="4" w:space="0" w:color="auto"/>
            </w:tcBorders>
            <w:shd w:val="clear" w:color="auto" w:fill="auto"/>
            <w:vAlign w:val="center"/>
            <w:hideMark/>
          </w:tcPr>
          <w:p w14:paraId="00EF4143"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199.519</w:t>
            </w:r>
          </w:p>
        </w:tc>
        <w:tc>
          <w:tcPr>
            <w:tcW w:w="273" w:type="pct"/>
            <w:tcBorders>
              <w:top w:val="nil"/>
              <w:left w:val="nil"/>
              <w:bottom w:val="single" w:sz="4" w:space="0" w:color="auto"/>
              <w:right w:val="single" w:sz="4" w:space="0" w:color="auto"/>
            </w:tcBorders>
            <w:shd w:val="clear" w:color="auto" w:fill="auto"/>
            <w:vAlign w:val="center"/>
            <w:hideMark/>
          </w:tcPr>
          <w:p w14:paraId="75A76813"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4.064.783</w:t>
            </w:r>
          </w:p>
        </w:tc>
        <w:tc>
          <w:tcPr>
            <w:tcW w:w="273" w:type="pct"/>
            <w:tcBorders>
              <w:top w:val="nil"/>
              <w:left w:val="nil"/>
              <w:bottom w:val="single" w:sz="4" w:space="0" w:color="auto"/>
              <w:right w:val="single" w:sz="4" w:space="0" w:color="auto"/>
            </w:tcBorders>
            <w:shd w:val="clear" w:color="auto" w:fill="auto"/>
            <w:vAlign w:val="center"/>
            <w:hideMark/>
          </w:tcPr>
          <w:p w14:paraId="32509EB6"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267.686</w:t>
            </w:r>
          </w:p>
        </w:tc>
        <w:tc>
          <w:tcPr>
            <w:tcW w:w="273" w:type="pct"/>
            <w:tcBorders>
              <w:top w:val="nil"/>
              <w:left w:val="nil"/>
              <w:bottom w:val="single" w:sz="4" w:space="0" w:color="auto"/>
              <w:right w:val="single" w:sz="4" w:space="0" w:color="auto"/>
            </w:tcBorders>
            <w:shd w:val="clear" w:color="auto" w:fill="auto"/>
            <w:vAlign w:val="center"/>
            <w:hideMark/>
          </w:tcPr>
          <w:p w14:paraId="59E56A3B"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5.101.248</w:t>
            </w:r>
          </w:p>
        </w:tc>
        <w:tc>
          <w:tcPr>
            <w:tcW w:w="273" w:type="pct"/>
            <w:tcBorders>
              <w:top w:val="nil"/>
              <w:left w:val="nil"/>
              <w:bottom w:val="single" w:sz="4" w:space="0" w:color="auto"/>
              <w:right w:val="single" w:sz="4" w:space="0" w:color="auto"/>
            </w:tcBorders>
            <w:shd w:val="clear" w:color="auto" w:fill="auto"/>
            <w:vAlign w:val="center"/>
            <w:hideMark/>
          </w:tcPr>
          <w:p w14:paraId="51294987"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335.543</w:t>
            </w:r>
          </w:p>
        </w:tc>
        <w:tc>
          <w:tcPr>
            <w:tcW w:w="273" w:type="pct"/>
            <w:tcBorders>
              <w:top w:val="nil"/>
              <w:left w:val="nil"/>
              <w:bottom w:val="single" w:sz="4" w:space="0" w:color="auto"/>
              <w:right w:val="single" w:sz="4" w:space="0" w:color="auto"/>
            </w:tcBorders>
            <w:shd w:val="clear" w:color="auto" w:fill="auto"/>
            <w:vAlign w:val="center"/>
            <w:hideMark/>
          </w:tcPr>
          <w:p w14:paraId="37F68FB1"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21.742.458</w:t>
            </w:r>
          </w:p>
        </w:tc>
        <w:tc>
          <w:tcPr>
            <w:tcW w:w="273" w:type="pct"/>
            <w:tcBorders>
              <w:top w:val="nil"/>
              <w:left w:val="nil"/>
              <w:bottom w:val="single" w:sz="4" w:space="0" w:color="auto"/>
              <w:right w:val="single" w:sz="4" w:space="0" w:color="auto"/>
            </w:tcBorders>
            <w:shd w:val="clear" w:color="auto" w:fill="auto"/>
            <w:vAlign w:val="center"/>
            <w:hideMark/>
          </w:tcPr>
          <w:p w14:paraId="08F3565E" w14:textId="77777777" w:rsidR="004323CE" w:rsidRPr="0029055C" w:rsidRDefault="004323CE" w:rsidP="008871FC">
            <w:pPr>
              <w:spacing w:before="60" w:after="60" w:line="240" w:lineRule="auto"/>
              <w:jc w:val="right"/>
              <w:rPr>
                <w:rFonts w:ascii="Calibri Light" w:hAnsi="Calibri Light" w:cs="Calibri Light"/>
                <w:color w:val="000000"/>
                <w:sz w:val="14"/>
                <w:szCs w:val="16"/>
              </w:rPr>
            </w:pPr>
            <w:r w:rsidRPr="0029055C">
              <w:rPr>
                <w:rFonts w:ascii="Calibri Light" w:hAnsi="Calibri Light" w:cs="Calibri Light"/>
                <w:color w:val="000000"/>
                <w:sz w:val="14"/>
                <w:szCs w:val="16"/>
              </w:rPr>
              <w:t>1.429.485</w:t>
            </w:r>
          </w:p>
        </w:tc>
      </w:tr>
      <w:tr w:rsidR="004323CE" w:rsidRPr="0029055C" w14:paraId="0B471FC3" w14:textId="77777777" w:rsidTr="00C73BAE">
        <w:tc>
          <w:tcPr>
            <w:tcW w:w="193" w:type="pct"/>
            <w:tcBorders>
              <w:top w:val="nil"/>
              <w:left w:val="single" w:sz="4" w:space="0" w:color="auto"/>
              <w:bottom w:val="single" w:sz="4" w:space="0" w:color="auto"/>
              <w:right w:val="single" w:sz="4" w:space="0" w:color="auto"/>
            </w:tcBorders>
            <w:shd w:val="clear" w:color="auto" w:fill="auto"/>
            <w:hideMark/>
          </w:tcPr>
          <w:p w14:paraId="42F23170" w14:textId="77777777" w:rsidR="004323CE" w:rsidRPr="0029055C" w:rsidRDefault="004323CE" w:rsidP="008871FC">
            <w:pPr>
              <w:spacing w:before="60" w:after="60" w:line="240" w:lineRule="auto"/>
              <w:jc w:val="left"/>
              <w:rPr>
                <w:rFonts w:ascii="Calibri Light" w:hAnsi="Calibri Light" w:cs="Calibri Light"/>
                <w:b/>
                <w:bCs/>
                <w:color w:val="000000"/>
                <w:sz w:val="14"/>
                <w:szCs w:val="14"/>
              </w:rPr>
            </w:pPr>
            <w:r w:rsidRPr="0029055C">
              <w:rPr>
                <w:rFonts w:ascii="Calibri Light" w:hAnsi="Calibri Light" w:cs="Calibri Light"/>
                <w:b/>
                <w:bCs/>
                <w:color w:val="000000"/>
                <w:sz w:val="14"/>
                <w:szCs w:val="14"/>
              </w:rPr>
              <w:t> </w:t>
            </w:r>
          </w:p>
        </w:tc>
        <w:tc>
          <w:tcPr>
            <w:tcW w:w="438" w:type="pct"/>
            <w:tcBorders>
              <w:top w:val="nil"/>
              <w:left w:val="nil"/>
              <w:bottom w:val="single" w:sz="4" w:space="0" w:color="auto"/>
              <w:right w:val="single" w:sz="4" w:space="0" w:color="auto"/>
            </w:tcBorders>
            <w:shd w:val="clear" w:color="auto" w:fill="auto"/>
            <w:vAlign w:val="center"/>
            <w:hideMark/>
          </w:tcPr>
          <w:p w14:paraId="605F7405" w14:textId="77777777" w:rsidR="004323CE" w:rsidRPr="0029055C" w:rsidRDefault="004323CE" w:rsidP="008871FC">
            <w:pPr>
              <w:spacing w:before="60" w:after="60" w:line="240" w:lineRule="auto"/>
              <w:jc w:val="left"/>
              <w:rPr>
                <w:rFonts w:ascii="Calibri Light" w:hAnsi="Calibri Light" w:cs="Calibri Light"/>
                <w:b/>
                <w:bCs/>
                <w:color w:val="000000"/>
                <w:sz w:val="14"/>
                <w:szCs w:val="14"/>
              </w:rPr>
            </w:pPr>
            <w:r w:rsidRPr="0029055C">
              <w:rPr>
                <w:rFonts w:ascii="Calibri Light" w:hAnsi="Calibri Light" w:cs="Calibri Light"/>
                <w:b/>
                <w:bCs/>
                <w:color w:val="000000"/>
                <w:sz w:val="14"/>
                <w:szCs w:val="14"/>
              </w:rPr>
              <w:t>Σύνολο</w:t>
            </w:r>
            <w:r w:rsidR="008871FC" w:rsidRPr="0029055C">
              <w:rPr>
                <w:rFonts w:ascii="Calibri Light" w:hAnsi="Calibri Light" w:cs="Calibri Light"/>
                <w:b/>
                <w:bCs/>
                <w:color w:val="000000"/>
                <w:sz w:val="14"/>
                <w:szCs w:val="14"/>
              </w:rPr>
              <w:t xml:space="preserve"> ΕΚΤ</w:t>
            </w:r>
          </w:p>
        </w:tc>
        <w:tc>
          <w:tcPr>
            <w:tcW w:w="273" w:type="pct"/>
            <w:tcBorders>
              <w:top w:val="nil"/>
              <w:left w:val="nil"/>
              <w:bottom w:val="single" w:sz="4" w:space="0" w:color="auto"/>
              <w:right w:val="single" w:sz="4" w:space="0" w:color="auto"/>
            </w:tcBorders>
            <w:shd w:val="clear" w:color="auto" w:fill="auto"/>
            <w:vAlign w:val="center"/>
            <w:hideMark/>
          </w:tcPr>
          <w:p w14:paraId="48F2D7F4"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8.167.928</w:t>
            </w:r>
          </w:p>
        </w:tc>
        <w:tc>
          <w:tcPr>
            <w:tcW w:w="273" w:type="pct"/>
            <w:tcBorders>
              <w:top w:val="nil"/>
              <w:left w:val="nil"/>
              <w:bottom w:val="single" w:sz="4" w:space="0" w:color="auto"/>
              <w:right w:val="single" w:sz="4" w:space="0" w:color="auto"/>
            </w:tcBorders>
            <w:shd w:val="clear" w:color="auto" w:fill="auto"/>
            <w:vAlign w:val="center"/>
            <w:hideMark/>
          </w:tcPr>
          <w:p w14:paraId="27539A50"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534.475</w:t>
            </w:r>
          </w:p>
        </w:tc>
        <w:tc>
          <w:tcPr>
            <w:tcW w:w="273" w:type="pct"/>
            <w:tcBorders>
              <w:top w:val="nil"/>
              <w:left w:val="nil"/>
              <w:bottom w:val="single" w:sz="4" w:space="0" w:color="auto"/>
              <w:right w:val="single" w:sz="4" w:space="0" w:color="auto"/>
            </w:tcBorders>
            <w:shd w:val="clear" w:color="auto" w:fill="auto"/>
            <w:vAlign w:val="center"/>
            <w:hideMark/>
          </w:tcPr>
          <w:p w14:paraId="4D53AD67"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14.317.045</w:t>
            </w:r>
          </w:p>
        </w:tc>
        <w:tc>
          <w:tcPr>
            <w:tcW w:w="273" w:type="pct"/>
            <w:tcBorders>
              <w:top w:val="nil"/>
              <w:left w:val="nil"/>
              <w:bottom w:val="single" w:sz="4" w:space="0" w:color="auto"/>
              <w:right w:val="single" w:sz="4" w:space="0" w:color="auto"/>
            </w:tcBorders>
            <w:shd w:val="clear" w:color="auto" w:fill="auto"/>
            <w:vAlign w:val="center"/>
            <w:hideMark/>
          </w:tcPr>
          <w:p w14:paraId="1E30270E"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936.847</w:t>
            </w:r>
          </w:p>
        </w:tc>
        <w:tc>
          <w:tcPr>
            <w:tcW w:w="273" w:type="pct"/>
            <w:tcBorders>
              <w:top w:val="nil"/>
              <w:left w:val="nil"/>
              <w:bottom w:val="single" w:sz="4" w:space="0" w:color="auto"/>
              <w:right w:val="single" w:sz="4" w:space="0" w:color="auto"/>
            </w:tcBorders>
            <w:shd w:val="clear" w:color="auto" w:fill="auto"/>
            <w:vAlign w:val="center"/>
            <w:hideMark/>
          </w:tcPr>
          <w:p w14:paraId="3857075F"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20.636.674</w:t>
            </w:r>
          </w:p>
        </w:tc>
        <w:tc>
          <w:tcPr>
            <w:tcW w:w="273" w:type="pct"/>
            <w:tcBorders>
              <w:top w:val="nil"/>
              <w:left w:val="nil"/>
              <w:bottom w:val="single" w:sz="4" w:space="0" w:color="auto"/>
              <w:right w:val="single" w:sz="4" w:space="0" w:color="auto"/>
            </w:tcBorders>
            <w:shd w:val="clear" w:color="auto" w:fill="auto"/>
            <w:vAlign w:val="center"/>
            <w:hideMark/>
          </w:tcPr>
          <w:p w14:paraId="7DC2A5B1"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1.350.378</w:t>
            </w:r>
          </w:p>
        </w:tc>
        <w:tc>
          <w:tcPr>
            <w:tcW w:w="273" w:type="pct"/>
            <w:tcBorders>
              <w:top w:val="nil"/>
              <w:left w:val="nil"/>
              <w:bottom w:val="single" w:sz="4" w:space="0" w:color="auto"/>
              <w:right w:val="single" w:sz="4" w:space="0" w:color="auto"/>
            </w:tcBorders>
            <w:shd w:val="clear" w:color="auto" w:fill="auto"/>
            <w:vAlign w:val="center"/>
            <w:hideMark/>
          </w:tcPr>
          <w:p w14:paraId="2F5B83DE"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32.106.027</w:t>
            </w:r>
          </w:p>
        </w:tc>
        <w:tc>
          <w:tcPr>
            <w:tcW w:w="273" w:type="pct"/>
            <w:tcBorders>
              <w:top w:val="nil"/>
              <w:left w:val="nil"/>
              <w:bottom w:val="single" w:sz="4" w:space="0" w:color="auto"/>
              <w:right w:val="single" w:sz="4" w:space="0" w:color="auto"/>
            </w:tcBorders>
            <w:shd w:val="clear" w:color="auto" w:fill="auto"/>
            <w:vAlign w:val="center"/>
            <w:hideMark/>
          </w:tcPr>
          <w:p w14:paraId="64DEAC32"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2.092.492</w:t>
            </w:r>
          </w:p>
        </w:tc>
        <w:tc>
          <w:tcPr>
            <w:tcW w:w="273" w:type="pct"/>
            <w:tcBorders>
              <w:top w:val="nil"/>
              <w:left w:val="nil"/>
              <w:bottom w:val="single" w:sz="4" w:space="0" w:color="auto"/>
              <w:right w:val="single" w:sz="4" w:space="0" w:color="auto"/>
            </w:tcBorders>
            <w:shd w:val="clear" w:color="auto" w:fill="auto"/>
            <w:vAlign w:val="center"/>
            <w:hideMark/>
          </w:tcPr>
          <w:p w14:paraId="4D80DE1E"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38.478.405</w:t>
            </w:r>
          </w:p>
        </w:tc>
        <w:tc>
          <w:tcPr>
            <w:tcW w:w="273" w:type="pct"/>
            <w:tcBorders>
              <w:top w:val="nil"/>
              <w:left w:val="nil"/>
              <w:bottom w:val="single" w:sz="4" w:space="0" w:color="auto"/>
              <w:right w:val="single" w:sz="4" w:space="0" w:color="auto"/>
            </w:tcBorders>
            <w:shd w:val="clear" w:color="auto" w:fill="auto"/>
            <w:vAlign w:val="center"/>
            <w:hideMark/>
          </w:tcPr>
          <w:p w14:paraId="63D60A93"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2.509.307</w:t>
            </w:r>
          </w:p>
        </w:tc>
        <w:tc>
          <w:tcPr>
            <w:tcW w:w="273" w:type="pct"/>
            <w:tcBorders>
              <w:top w:val="nil"/>
              <w:left w:val="nil"/>
              <w:bottom w:val="single" w:sz="4" w:space="0" w:color="auto"/>
              <w:right w:val="single" w:sz="4" w:space="0" w:color="auto"/>
            </w:tcBorders>
            <w:shd w:val="clear" w:color="auto" w:fill="auto"/>
            <w:vAlign w:val="center"/>
            <w:hideMark/>
          </w:tcPr>
          <w:p w14:paraId="256095E7"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44.830.685</w:t>
            </w:r>
          </w:p>
        </w:tc>
        <w:tc>
          <w:tcPr>
            <w:tcW w:w="273" w:type="pct"/>
            <w:tcBorders>
              <w:top w:val="nil"/>
              <w:left w:val="nil"/>
              <w:bottom w:val="single" w:sz="4" w:space="0" w:color="auto"/>
              <w:right w:val="single" w:sz="4" w:space="0" w:color="auto"/>
            </w:tcBorders>
            <w:shd w:val="clear" w:color="auto" w:fill="auto"/>
            <w:vAlign w:val="center"/>
            <w:hideMark/>
          </w:tcPr>
          <w:p w14:paraId="056372FF"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2.924.802</w:t>
            </w:r>
          </w:p>
        </w:tc>
        <w:tc>
          <w:tcPr>
            <w:tcW w:w="273" w:type="pct"/>
            <w:tcBorders>
              <w:top w:val="nil"/>
              <w:left w:val="nil"/>
              <w:bottom w:val="single" w:sz="4" w:space="0" w:color="auto"/>
              <w:right w:val="single" w:sz="4" w:space="0" w:color="auto"/>
            </w:tcBorders>
            <w:shd w:val="clear" w:color="auto" w:fill="auto"/>
            <w:vAlign w:val="center"/>
            <w:hideMark/>
          </w:tcPr>
          <w:p w14:paraId="533F5D54"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51.164.310</w:t>
            </w:r>
          </w:p>
        </w:tc>
        <w:tc>
          <w:tcPr>
            <w:tcW w:w="273" w:type="pct"/>
            <w:tcBorders>
              <w:top w:val="nil"/>
              <w:left w:val="nil"/>
              <w:bottom w:val="single" w:sz="4" w:space="0" w:color="auto"/>
              <w:right w:val="single" w:sz="4" w:space="0" w:color="auto"/>
            </w:tcBorders>
            <w:shd w:val="clear" w:color="auto" w:fill="auto"/>
            <w:vAlign w:val="center"/>
            <w:hideMark/>
          </w:tcPr>
          <w:p w14:paraId="40EC3E4D"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3.339.074</w:t>
            </w:r>
          </w:p>
        </w:tc>
        <w:tc>
          <w:tcPr>
            <w:tcW w:w="273" w:type="pct"/>
            <w:tcBorders>
              <w:top w:val="nil"/>
              <w:left w:val="nil"/>
              <w:bottom w:val="single" w:sz="4" w:space="0" w:color="auto"/>
              <w:right w:val="single" w:sz="4" w:space="0" w:color="auto"/>
            </w:tcBorders>
            <w:shd w:val="clear" w:color="auto" w:fill="auto"/>
            <w:vAlign w:val="center"/>
            <w:hideMark/>
          </w:tcPr>
          <w:p w14:paraId="421EE132"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209.701.074</w:t>
            </w:r>
          </w:p>
        </w:tc>
        <w:tc>
          <w:tcPr>
            <w:tcW w:w="273" w:type="pct"/>
            <w:tcBorders>
              <w:top w:val="nil"/>
              <w:left w:val="nil"/>
              <w:bottom w:val="single" w:sz="4" w:space="0" w:color="auto"/>
              <w:right w:val="single" w:sz="4" w:space="0" w:color="auto"/>
            </w:tcBorders>
            <w:shd w:val="clear" w:color="auto" w:fill="auto"/>
            <w:vAlign w:val="center"/>
            <w:hideMark/>
          </w:tcPr>
          <w:p w14:paraId="35B2111C" w14:textId="77777777" w:rsidR="004323CE" w:rsidRPr="0029055C" w:rsidRDefault="004323CE"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13.687.375</w:t>
            </w:r>
          </w:p>
        </w:tc>
      </w:tr>
      <w:tr w:rsidR="008871FC" w:rsidRPr="0029055C" w14:paraId="34FE27FA" w14:textId="77777777" w:rsidTr="00C73BAE">
        <w:tc>
          <w:tcPr>
            <w:tcW w:w="632" w:type="pct"/>
            <w:gridSpan w:val="2"/>
            <w:tcBorders>
              <w:top w:val="nil"/>
              <w:left w:val="single" w:sz="4" w:space="0" w:color="auto"/>
              <w:bottom w:val="single" w:sz="8" w:space="0" w:color="auto"/>
              <w:right w:val="single" w:sz="4" w:space="0" w:color="auto"/>
            </w:tcBorders>
            <w:shd w:val="clear" w:color="auto" w:fill="auto"/>
            <w:hideMark/>
          </w:tcPr>
          <w:p w14:paraId="429A4558" w14:textId="77777777" w:rsidR="008871FC" w:rsidRPr="0029055C" w:rsidRDefault="008871FC" w:rsidP="008871FC">
            <w:pPr>
              <w:spacing w:before="60" w:after="60" w:line="240" w:lineRule="auto"/>
              <w:jc w:val="left"/>
              <w:rPr>
                <w:rFonts w:ascii="Calibri Light" w:hAnsi="Calibri Light" w:cs="Calibri Light"/>
                <w:b/>
                <w:bCs/>
                <w:color w:val="000000"/>
                <w:sz w:val="14"/>
                <w:szCs w:val="14"/>
              </w:rPr>
            </w:pPr>
            <w:r w:rsidRPr="0029055C">
              <w:rPr>
                <w:rFonts w:ascii="Calibri Light" w:hAnsi="Calibri Light" w:cs="Calibri Light"/>
                <w:b/>
                <w:bCs/>
                <w:color w:val="000000"/>
                <w:sz w:val="14"/>
                <w:szCs w:val="14"/>
              </w:rPr>
              <w:t>Σύνολο</w:t>
            </w:r>
          </w:p>
        </w:tc>
        <w:tc>
          <w:tcPr>
            <w:tcW w:w="273" w:type="pct"/>
            <w:tcBorders>
              <w:top w:val="nil"/>
              <w:left w:val="nil"/>
              <w:bottom w:val="single" w:sz="8" w:space="0" w:color="auto"/>
              <w:right w:val="single" w:sz="4" w:space="0" w:color="auto"/>
            </w:tcBorders>
            <w:shd w:val="clear" w:color="auto" w:fill="auto"/>
            <w:vAlign w:val="center"/>
            <w:hideMark/>
          </w:tcPr>
          <w:p w14:paraId="33632214"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19.941.195</w:t>
            </w:r>
          </w:p>
        </w:tc>
        <w:tc>
          <w:tcPr>
            <w:tcW w:w="273" w:type="pct"/>
            <w:tcBorders>
              <w:top w:val="nil"/>
              <w:left w:val="nil"/>
              <w:bottom w:val="single" w:sz="8" w:space="0" w:color="auto"/>
              <w:right w:val="single" w:sz="4" w:space="0" w:color="auto"/>
            </w:tcBorders>
            <w:shd w:val="clear" w:color="auto" w:fill="auto"/>
            <w:vAlign w:val="center"/>
            <w:hideMark/>
          </w:tcPr>
          <w:p w14:paraId="7D1F1C53"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1.303.970</w:t>
            </w:r>
          </w:p>
        </w:tc>
        <w:tc>
          <w:tcPr>
            <w:tcW w:w="273" w:type="pct"/>
            <w:tcBorders>
              <w:top w:val="nil"/>
              <w:left w:val="nil"/>
              <w:bottom w:val="single" w:sz="8" w:space="0" w:color="auto"/>
              <w:right w:val="single" w:sz="4" w:space="0" w:color="auto"/>
            </w:tcBorders>
            <w:shd w:val="clear" w:color="auto" w:fill="auto"/>
            <w:vAlign w:val="center"/>
            <w:hideMark/>
          </w:tcPr>
          <w:p w14:paraId="2D8E8BCC"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30.065.443</w:t>
            </w:r>
          </w:p>
        </w:tc>
        <w:tc>
          <w:tcPr>
            <w:tcW w:w="273" w:type="pct"/>
            <w:tcBorders>
              <w:top w:val="nil"/>
              <w:left w:val="nil"/>
              <w:bottom w:val="single" w:sz="8" w:space="0" w:color="auto"/>
              <w:right w:val="single" w:sz="4" w:space="0" w:color="auto"/>
            </w:tcBorders>
            <w:shd w:val="clear" w:color="auto" w:fill="auto"/>
            <w:vAlign w:val="center"/>
            <w:hideMark/>
          </w:tcPr>
          <w:p w14:paraId="5095DD76"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1.966.153</w:t>
            </w:r>
          </w:p>
        </w:tc>
        <w:tc>
          <w:tcPr>
            <w:tcW w:w="273" w:type="pct"/>
            <w:tcBorders>
              <w:top w:val="nil"/>
              <w:left w:val="nil"/>
              <w:bottom w:val="single" w:sz="8" w:space="0" w:color="auto"/>
              <w:right w:val="single" w:sz="4" w:space="0" w:color="auto"/>
            </w:tcBorders>
            <w:shd w:val="clear" w:color="auto" w:fill="auto"/>
            <w:vAlign w:val="center"/>
            <w:hideMark/>
          </w:tcPr>
          <w:p w14:paraId="205DD53B"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40.361.688</w:t>
            </w:r>
          </w:p>
        </w:tc>
        <w:tc>
          <w:tcPr>
            <w:tcW w:w="273" w:type="pct"/>
            <w:tcBorders>
              <w:top w:val="nil"/>
              <w:left w:val="nil"/>
              <w:bottom w:val="single" w:sz="8" w:space="0" w:color="auto"/>
              <w:right w:val="single" w:sz="4" w:space="0" w:color="auto"/>
            </w:tcBorders>
            <w:shd w:val="clear" w:color="auto" w:fill="auto"/>
            <w:vAlign w:val="center"/>
            <w:hideMark/>
          </w:tcPr>
          <w:p w14:paraId="4AC9F859"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2.639.594</w:t>
            </w:r>
          </w:p>
        </w:tc>
        <w:tc>
          <w:tcPr>
            <w:tcW w:w="273" w:type="pct"/>
            <w:tcBorders>
              <w:top w:val="nil"/>
              <w:left w:val="nil"/>
              <w:bottom w:val="single" w:sz="8" w:space="0" w:color="auto"/>
              <w:right w:val="single" w:sz="4" w:space="0" w:color="auto"/>
            </w:tcBorders>
            <w:shd w:val="clear" w:color="auto" w:fill="auto"/>
            <w:vAlign w:val="center"/>
            <w:hideMark/>
          </w:tcPr>
          <w:p w14:paraId="414945D9"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55.808.005</w:t>
            </w:r>
          </w:p>
        </w:tc>
        <w:tc>
          <w:tcPr>
            <w:tcW w:w="273" w:type="pct"/>
            <w:tcBorders>
              <w:top w:val="nil"/>
              <w:left w:val="nil"/>
              <w:bottom w:val="single" w:sz="8" w:space="0" w:color="auto"/>
              <w:right w:val="single" w:sz="4" w:space="0" w:color="auto"/>
            </w:tcBorders>
            <w:shd w:val="clear" w:color="auto" w:fill="auto"/>
            <w:vAlign w:val="center"/>
            <w:hideMark/>
          </w:tcPr>
          <w:p w14:paraId="330975AB"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3.641.641</w:t>
            </w:r>
          </w:p>
        </w:tc>
        <w:tc>
          <w:tcPr>
            <w:tcW w:w="273" w:type="pct"/>
            <w:tcBorders>
              <w:top w:val="nil"/>
              <w:left w:val="nil"/>
              <w:bottom w:val="single" w:sz="8" w:space="0" w:color="auto"/>
              <w:right w:val="single" w:sz="4" w:space="0" w:color="auto"/>
            </w:tcBorders>
            <w:shd w:val="clear" w:color="auto" w:fill="auto"/>
            <w:vAlign w:val="center"/>
            <w:hideMark/>
          </w:tcPr>
          <w:p w14:paraId="0CF3E0D0"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73.464.609</w:t>
            </w:r>
          </w:p>
        </w:tc>
        <w:tc>
          <w:tcPr>
            <w:tcW w:w="273" w:type="pct"/>
            <w:tcBorders>
              <w:top w:val="nil"/>
              <w:left w:val="nil"/>
              <w:bottom w:val="single" w:sz="8" w:space="0" w:color="auto"/>
              <w:right w:val="single" w:sz="4" w:space="0" w:color="auto"/>
            </w:tcBorders>
            <w:shd w:val="clear" w:color="auto" w:fill="auto"/>
            <w:vAlign w:val="center"/>
            <w:hideMark/>
          </w:tcPr>
          <w:p w14:paraId="03044E2E"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4.784.806</w:t>
            </w:r>
          </w:p>
        </w:tc>
        <w:tc>
          <w:tcPr>
            <w:tcW w:w="273" w:type="pct"/>
            <w:tcBorders>
              <w:top w:val="nil"/>
              <w:left w:val="nil"/>
              <w:bottom w:val="single" w:sz="8" w:space="0" w:color="auto"/>
              <w:right w:val="single" w:sz="4" w:space="0" w:color="auto"/>
            </w:tcBorders>
            <w:shd w:val="clear" w:color="auto" w:fill="auto"/>
            <w:vAlign w:val="center"/>
            <w:hideMark/>
          </w:tcPr>
          <w:p w14:paraId="5737DA2E"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98.406.972</w:t>
            </w:r>
          </w:p>
        </w:tc>
        <w:tc>
          <w:tcPr>
            <w:tcW w:w="273" w:type="pct"/>
            <w:tcBorders>
              <w:top w:val="nil"/>
              <w:left w:val="nil"/>
              <w:bottom w:val="single" w:sz="8" w:space="0" w:color="auto"/>
              <w:right w:val="single" w:sz="4" w:space="0" w:color="auto"/>
            </w:tcBorders>
            <w:shd w:val="clear" w:color="auto" w:fill="auto"/>
            <w:vAlign w:val="center"/>
            <w:hideMark/>
          </w:tcPr>
          <w:p w14:paraId="14B9FBA5"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6.392.978</w:t>
            </w:r>
          </w:p>
        </w:tc>
        <w:tc>
          <w:tcPr>
            <w:tcW w:w="273" w:type="pct"/>
            <w:tcBorders>
              <w:top w:val="nil"/>
              <w:left w:val="nil"/>
              <w:bottom w:val="single" w:sz="8" w:space="0" w:color="auto"/>
              <w:right w:val="single" w:sz="4" w:space="0" w:color="auto"/>
            </w:tcBorders>
            <w:shd w:val="clear" w:color="auto" w:fill="auto"/>
            <w:vAlign w:val="center"/>
            <w:hideMark/>
          </w:tcPr>
          <w:p w14:paraId="3DF7A6C2"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116.032.482</w:t>
            </w:r>
          </w:p>
        </w:tc>
        <w:tc>
          <w:tcPr>
            <w:tcW w:w="273" w:type="pct"/>
            <w:tcBorders>
              <w:top w:val="nil"/>
              <w:left w:val="nil"/>
              <w:bottom w:val="single" w:sz="8" w:space="0" w:color="auto"/>
              <w:right w:val="single" w:sz="4" w:space="0" w:color="auto"/>
            </w:tcBorders>
            <w:shd w:val="clear" w:color="auto" w:fill="auto"/>
            <w:vAlign w:val="center"/>
            <w:hideMark/>
          </w:tcPr>
          <w:p w14:paraId="60C534B2"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7.534.101</w:t>
            </w:r>
          </w:p>
        </w:tc>
        <w:tc>
          <w:tcPr>
            <w:tcW w:w="273" w:type="pct"/>
            <w:tcBorders>
              <w:top w:val="nil"/>
              <w:left w:val="nil"/>
              <w:bottom w:val="single" w:sz="8" w:space="0" w:color="auto"/>
              <w:right w:val="single" w:sz="4" w:space="0" w:color="auto"/>
            </w:tcBorders>
            <w:shd w:val="clear" w:color="auto" w:fill="auto"/>
            <w:vAlign w:val="center"/>
            <w:hideMark/>
          </w:tcPr>
          <w:p w14:paraId="088370CD"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434.080.394</w:t>
            </w:r>
          </w:p>
        </w:tc>
        <w:tc>
          <w:tcPr>
            <w:tcW w:w="273" w:type="pct"/>
            <w:tcBorders>
              <w:top w:val="nil"/>
              <w:left w:val="nil"/>
              <w:bottom w:val="single" w:sz="8" w:space="0" w:color="auto"/>
              <w:right w:val="single" w:sz="4" w:space="0" w:color="auto"/>
            </w:tcBorders>
            <w:shd w:val="clear" w:color="auto" w:fill="auto"/>
            <w:vAlign w:val="center"/>
            <w:hideMark/>
          </w:tcPr>
          <w:p w14:paraId="358B1DAC" w14:textId="77777777" w:rsidR="008871FC" w:rsidRPr="0029055C" w:rsidRDefault="008871FC" w:rsidP="008871FC">
            <w:pPr>
              <w:spacing w:before="60" w:after="60" w:line="240" w:lineRule="auto"/>
              <w:jc w:val="right"/>
              <w:rPr>
                <w:rFonts w:ascii="Calibri Light" w:hAnsi="Calibri Light" w:cs="Calibri Light"/>
                <w:b/>
                <w:bCs/>
                <w:color w:val="000000"/>
                <w:sz w:val="14"/>
                <w:szCs w:val="16"/>
              </w:rPr>
            </w:pPr>
            <w:r w:rsidRPr="0029055C">
              <w:rPr>
                <w:rFonts w:ascii="Calibri Light" w:hAnsi="Calibri Light" w:cs="Calibri Light"/>
                <w:b/>
                <w:bCs/>
                <w:color w:val="000000"/>
                <w:sz w:val="14"/>
                <w:szCs w:val="16"/>
              </w:rPr>
              <w:t>28.263.243</w:t>
            </w:r>
          </w:p>
        </w:tc>
      </w:tr>
    </w:tbl>
    <w:p w14:paraId="15506928" w14:textId="77777777" w:rsidR="004323CE" w:rsidRPr="0029055C" w:rsidRDefault="004323CE" w:rsidP="004323CE">
      <w:pPr>
        <w:rPr>
          <w:lang w:eastAsia="en-US"/>
        </w:rPr>
      </w:pPr>
    </w:p>
    <w:p w14:paraId="48DED402" w14:textId="77777777" w:rsidR="008B6659" w:rsidRPr="0029055C" w:rsidRDefault="008B6659" w:rsidP="004323CE">
      <w:pPr>
        <w:rPr>
          <w:lang w:eastAsia="en-US"/>
        </w:rPr>
      </w:pPr>
    </w:p>
    <w:p w14:paraId="27783E93" w14:textId="77777777" w:rsidR="008B6659" w:rsidRPr="0029055C" w:rsidRDefault="008B6659" w:rsidP="004323CE">
      <w:pPr>
        <w:rPr>
          <w:lang w:eastAsia="en-US"/>
        </w:rPr>
      </w:pPr>
    </w:p>
    <w:p w14:paraId="4B054BD1" w14:textId="77777777" w:rsidR="008B6659" w:rsidRPr="0029055C" w:rsidRDefault="008B6659" w:rsidP="004323CE">
      <w:pPr>
        <w:rPr>
          <w:lang w:eastAsia="en-US"/>
        </w:rPr>
      </w:pPr>
    </w:p>
    <w:p w14:paraId="253A7688" w14:textId="77777777" w:rsidR="008B6659" w:rsidRPr="0029055C" w:rsidRDefault="008B6659" w:rsidP="004323CE">
      <w:pPr>
        <w:rPr>
          <w:lang w:eastAsia="en-US"/>
        </w:rPr>
      </w:pPr>
    </w:p>
    <w:p w14:paraId="4EE1FE92" w14:textId="77777777" w:rsidR="008B6659" w:rsidRPr="0029055C" w:rsidRDefault="008B6659" w:rsidP="004323CE">
      <w:pPr>
        <w:rPr>
          <w:lang w:eastAsia="en-US"/>
        </w:rPr>
      </w:pPr>
    </w:p>
    <w:p w14:paraId="4EF00599" w14:textId="77777777" w:rsidR="008B6659" w:rsidRPr="0029055C" w:rsidRDefault="008B6659" w:rsidP="004323CE">
      <w:pPr>
        <w:rPr>
          <w:lang w:eastAsia="en-US"/>
        </w:rPr>
      </w:pPr>
    </w:p>
    <w:p w14:paraId="6913A143" w14:textId="3BD64D37" w:rsidR="008B6659" w:rsidRPr="00A8078E" w:rsidRDefault="00A8078E" w:rsidP="004323CE">
      <w:pPr>
        <w:rPr>
          <w:lang w:eastAsia="en-US"/>
        </w:rPr>
      </w:pPr>
      <w:r w:rsidRPr="00A8078E">
        <w:rPr>
          <w:b/>
          <w:sz w:val="22"/>
          <w:szCs w:val="22"/>
        </w:rPr>
        <w:lastRenderedPageBreak/>
        <w:t xml:space="preserve">Πίνακας </w:t>
      </w:r>
      <w:r w:rsidRPr="00A8078E">
        <w:rPr>
          <w:b/>
          <w:sz w:val="22"/>
          <w:szCs w:val="22"/>
        </w:rPr>
        <w:fldChar w:fldCharType="begin"/>
      </w:r>
      <w:r w:rsidRPr="00A8078E">
        <w:rPr>
          <w:b/>
          <w:sz w:val="22"/>
          <w:szCs w:val="22"/>
        </w:rPr>
        <w:instrText xml:space="preserve"> SEQ Πίνακας \* ARABIC </w:instrText>
      </w:r>
      <w:r w:rsidRPr="00A8078E">
        <w:rPr>
          <w:b/>
          <w:sz w:val="22"/>
          <w:szCs w:val="22"/>
        </w:rPr>
        <w:fldChar w:fldCharType="separate"/>
      </w:r>
      <w:r w:rsidR="00292BCA">
        <w:rPr>
          <w:b/>
          <w:noProof/>
          <w:sz w:val="22"/>
          <w:szCs w:val="22"/>
        </w:rPr>
        <w:t>11</w:t>
      </w:r>
      <w:r w:rsidRPr="00A8078E">
        <w:rPr>
          <w:b/>
          <w:sz w:val="22"/>
          <w:szCs w:val="22"/>
        </w:rPr>
        <w:fldChar w:fldCharType="end"/>
      </w:r>
      <w:r w:rsidRPr="00A8078E">
        <w:rPr>
          <w:b/>
          <w:sz w:val="22"/>
          <w:szCs w:val="22"/>
        </w:rPr>
        <w:t>.</w:t>
      </w:r>
      <w:r>
        <w:rPr>
          <w:b/>
          <w:sz w:val="22"/>
          <w:szCs w:val="22"/>
        </w:rPr>
        <w:t xml:space="preserve"> </w:t>
      </w:r>
      <w:r w:rsidRPr="00A8078E">
        <w:rPr>
          <w:sz w:val="22"/>
          <w:szCs w:val="22"/>
        </w:rPr>
        <w:t>Συνολική χρηματοδοτική συνεισφορά ανά Ταμείο και Εθνική Συγχρηματοδότηση, με την προτεινόμενη 2η Αναθεώρηση του ΕΠ ΜΔΤ (ποσά σε Ευρώ)</w:t>
      </w:r>
    </w:p>
    <w:tbl>
      <w:tblPr>
        <w:tblW w:w="5051" w:type="pct"/>
        <w:jc w:val="center"/>
        <w:tblLayout w:type="fixed"/>
        <w:tblCellMar>
          <w:left w:w="28" w:type="dxa"/>
          <w:right w:w="28" w:type="dxa"/>
        </w:tblCellMar>
        <w:tblLook w:val="04A0" w:firstRow="1" w:lastRow="0" w:firstColumn="1" w:lastColumn="0" w:noHBand="0" w:noVBand="1"/>
      </w:tblPr>
      <w:tblGrid>
        <w:gridCol w:w="552"/>
        <w:gridCol w:w="517"/>
        <w:gridCol w:w="992"/>
        <w:gridCol w:w="984"/>
        <w:gridCol w:w="984"/>
        <w:gridCol w:w="919"/>
        <w:gridCol w:w="724"/>
        <w:gridCol w:w="1057"/>
        <w:gridCol w:w="825"/>
        <w:gridCol w:w="961"/>
        <w:gridCol w:w="1097"/>
        <w:gridCol w:w="1100"/>
        <w:gridCol w:w="961"/>
        <w:gridCol w:w="1097"/>
        <w:gridCol w:w="1365"/>
      </w:tblGrid>
      <w:tr w:rsidR="008B6659" w:rsidRPr="0029055C" w14:paraId="3D1002E3" w14:textId="77777777" w:rsidTr="008B6659">
        <w:trPr>
          <w:tblHeader/>
          <w:jc w:val="center"/>
        </w:trPr>
        <w:tc>
          <w:tcPr>
            <w:tcW w:w="195" w:type="pct"/>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14:paraId="76C7C4C4"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ΑΠ</w:t>
            </w:r>
          </w:p>
        </w:tc>
        <w:tc>
          <w:tcPr>
            <w:tcW w:w="183" w:type="pct"/>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14:paraId="68D48DA2"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Ταμείο</w:t>
            </w:r>
          </w:p>
        </w:tc>
        <w:tc>
          <w:tcPr>
            <w:tcW w:w="351" w:type="pct"/>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14:paraId="3D4A7890"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Κατηγορία περιφέρειας</w:t>
            </w:r>
          </w:p>
        </w:tc>
        <w:tc>
          <w:tcPr>
            <w:tcW w:w="348" w:type="pct"/>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14:paraId="6CFFF7B0"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xml:space="preserve">Κοινοτική </w:t>
            </w:r>
            <w:r w:rsidRPr="0029055C">
              <w:rPr>
                <w:rFonts w:asciiTheme="minorHAnsi" w:hAnsiTheme="minorHAnsi" w:cstheme="minorHAnsi"/>
                <w:b/>
                <w:bCs/>
                <w:color w:val="000000"/>
                <w:sz w:val="14"/>
                <w:szCs w:val="14"/>
              </w:rPr>
              <w:br/>
              <w:t>συνδρομή</w:t>
            </w:r>
          </w:p>
        </w:tc>
        <w:tc>
          <w:tcPr>
            <w:tcW w:w="348" w:type="pct"/>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14:paraId="32CE10CD"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xml:space="preserve">Εθνική </w:t>
            </w:r>
            <w:r w:rsidRPr="0029055C">
              <w:rPr>
                <w:rFonts w:asciiTheme="minorHAnsi" w:hAnsiTheme="minorHAnsi" w:cstheme="minorHAnsi"/>
                <w:b/>
                <w:bCs/>
                <w:color w:val="000000"/>
                <w:sz w:val="14"/>
                <w:szCs w:val="14"/>
              </w:rPr>
              <w:br/>
              <w:t xml:space="preserve">συμμετοχή </w:t>
            </w:r>
          </w:p>
        </w:tc>
        <w:tc>
          <w:tcPr>
            <w:tcW w:w="581" w:type="pct"/>
            <w:gridSpan w:val="2"/>
            <w:tcBorders>
              <w:top w:val="single" w:sz="4" w:space="0" w:color="auto"/>
              <w:left w:val="nil"/>
              <w:bottom w:val="single" w:sz="4" w:space="0" w:color="auto"/>
              <w:right w:val="single" w:sz="4" w:space="0" w:color="auto"/>
            </w:tcBorders>
            <w:shd w:val="clear" w:color="000000" w:fill="B7DEE8"/>
            <w:vAlign w:val="center"/>
            <w:hideMark/>
          </w:tcPr>
          <w:p w14:paraId="266757AC"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xml:space="preserve">Ενδεικτική κατανομή </w:t>
            </w:r>
          </w:p>
        </w:tc>
        <w:tc>
          <w:tcPr>
            <w:tcW w:w="374" w:type="pct"/>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14:paraId="659B3B19"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xml:space="preserve">Συνολική χρηματοδότηση </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14:paraId="0F371137"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xml:space="preserve">Ποσοστό συγχρηματο-δότησης </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14:paraId="4E9C2A5F"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xml:space="preserve">Συνεισφορά της ΕΤΕπ </w:t>
            </w:r>
            <w:r w:rsidRPr="0029055C">
              <w:rPr>
                <w:rFonts w:asciiTheme="minorHAnsi" w:hAnsiTheme="minorHAnsi" w:cstheme="minorHAnsi"/>
                <w:b/>
                <w:bCs/>
                <w:color w:val="000000"/>
                <w:sz w:val="14"/>
                <w:szCs w:val="14"/>
              </w:rPr>
              <w:br/>
            </w:r>
            <w:r w:rsidRPr="0029055C">
              <w:rPr>
                <w:rFonts w:asciiTheme="minorHAnsi" w:hAnsiTheme="minorHAnsi" w:cstheme="minorHAnsi"/>
                <w:bCs/>
                <w:color w:val="000000"/>
                <w:sz w:val="10"/>
                <w:szCs w:val="14"/>
              </w:rPr>
              <w:t>(Για πληροφοριακούς λόγους)</w:t>
            </w:r>
            <w:r w:rsidRPr="0029055C">
              <w:rPr>
                <w:rFonts w:asciiTheme="minorHAnsi" w:hAnsiTheme="minorHAnsi" w:cstheme="minorHAnsi"/>
                <w:b/>
                <w:bCs/>
                <w:color w:val="000000"/>
                <w:sz w:val="10"/>
                <w:szCs w:val="14"/>
              </w:rPr>
              <w:t xml:space="preserve"> </w:t>
            </w:r>
          </w:p>
        </w:tc>
        <w:tc>
          <w:tcPr>
            <w:tcW w:w="777" w:type="pct"/>
            <w:gridSpan w:val="2"/>
            <w:tcBorders>
              <w:top w:val="single" w:sz="4" w:space="0" w:color="auto"/>
              <w:left w:val="nil"/>
              <w:bottom w:val="single" w:sz="4" w:space="0" w:color="auto"/>
              <w:right w:val="single" w:sz="4" w:space="0" w:color="auto"/>
            </w:tcBorders>
            <w:shd w:val="clear" w:color="000000" w:fill="B7DEE8"/>
            <w:vAlign w:val="center"/>
            <w:hideMark/>
          </w:tcPr>
          <w:p w14:paraId="58124B9D"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xml:space="preserve">Κύρια κατανομή </w:t>
            </w:r>
            <w:r w:rsidRPr="0029055C">
              <w:rPr>
                <w:rFonts w:asciiTheme="minorHAnsi" w:hAnsiTheme="minorHAnsi" w:cstheme="minorHAnsi"/>
                <w:bCs/>
                <w:color w:val="000000"/>
                <w:sz w:val="14"/>
                <w:szCs w:val="14"/>
              </w:rPr>
              <w:t>(συνολική χρηματοδότηση μείον το αποθεματικό επίδοσης)</w:t>
            </w:r>
            <w:r w:rsidRPr="0029055C">
              <w:rPr>
                <w:rFonts w:asciiTheme="minorHAnsi" w:hAnsiTheme="minorHAnsi" w:cstheme="minorHAnsi"/>
                <w:b/>
                <w:bCs/>
                <w:color w:val="000000"/>
                <w:sz w:val="14"/>
                <w:szCs w:val="14"/>
              </w:rPr>
              <w:t xml:space="preserve"> </w:t>
            </w:r>
          </w:p>
        </w:tc>
        <w:tc>
          <w:tcPr>
            <w:tcW w:w="728" w:type="pct"/>
            <w:gridSpan w:val="2"/>
            <w:tcBorders>
              <w:top w:val="single" w:sz="4" w:space="0" w:color="auto"/>
              <w:left w:val="nil"/>
              <w:bottom w:val="single" w:sz="4" w:space="0" w:color="auto"/>
              <w:right w:val="single" w:sz="4" w:space="0" w:color="auto"/>
            </w:tcBorders>
            <w:shd w:val="clear" w:color="000000" w:fill="B7DEE8"/>
            <w:vAlign w:val="center"/>
            <w:hideMark/>
          </w:tcPr>
          <w:p w14:paraId="50EB9C5A"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xml:space="preserve">Αποθεματικό επίδοσης </w:t>
            </w:r>
          </w:p>
        </w:tc>
        <w:tc>
          <w:tcPr>
            <w:tcW w:w="483" w:type="pct"/>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14:paraId="79DA0C1F"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xml:space="preserve">Μέρος του αποθεματικού επίδοσης (στήριξη της Ένωσης) προς τη συνολική στήριξη της Ένωσης στον ΑΠ </w:t>
            </w:r>
          </w:p>
        </w:tc>
      </w:tr>
      <w:tr w:rsidR="008B6659" w:rsidRPr="0029055C" w14:paraId="4FC6D6DF" w14:textId="77777777" w:rsidTr="008B6659">
        <w:trPr>
          <w:tblHeader/>
          <w:jc w:val="center"/>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A4BA199" w14:textId="77777777" w:rsidR="008B6659" w:rsidRPr="0029055C" w:rsidRDefault="008B6659" w:rsidP="008B6659">
            <w:pPr>
              <w:spacing w:before="0" w:after="0" w:line="240" w:lineRule="auto"/>
              <w:jc w:val="left"/>
              <w:rPr>
                <w:rFonts w:asciiTheme="minorHAnsi" w:hAnsiTheme="minorHAnsi" w:cstheme="minorHAnsi"/>
                <w:b/>
                <w:bCs/>
                <w:color w:val="000000"/>
                <w:sz w:val="14"/>
                <w:szCs w:val="14"/>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14:paraId="328329F9" w14:textId="77777777" w:rsidR="008B6659" w:rsidRPr="0029055C" w:rsidRDefault="008B6659" w:rsidP="008B6659">
            <w:pPr>
              <w:spacing w:before="0" w:after="0" w:line="240" w:lineRule="auto"/>
              <w:jc w:val="left"/>
              <w:rPr>
                <w:rFonts w:asciiTheme="minorHAnsi" w:hAnsiTheme="minorHAnsi" w:cstheme="minorHAnsi"/>
                <w:b/>
                <w:bCs/>
                <w:color w:val="000000"/>
                <w:sz w:val="14"/>
                <w:szCs w:val="14"/>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14:paraId="6CEE028E" w14:textId="77777777" w:rsidR="008B6659" w:rsidRPr="0029055C" w:rsidRDefault="008B6659" w:rsidP="008B6659">
            <w:pPr>
              <w:spacing w:before="0" w:after="0" w:line="240" w:lineRule="auto"/>
              <w:jc w:val="left"/>
              <w:rPr>
                <w:rFonts w:asciiTheme="minorHAnsi" w:hAnsiTheme="minorHAnsi" w:cstheme="minorHAnsi"/>
                <w:b/>
                <w:bCs/>
                <w:color w:val="000000"/>
                <w:sz w:val="14"/>
                <w:szCs w:val="14"/>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01E4FE45" w14:textId="77777777" w:rsidR="008B6659" w:rsidRPr="0029055C" w:rsidRDefault="008B6659" w:rsidP="008B6659">
            <w:pPr>
              <w:spacing w:before="0" w:after="0" w:line="240" w:lineRule="auto"/>
              <w:jc w:val="left"/>
              <w:rPr>
                <w:rFonts w:asciiTheme="minorHAnsi" w:hAnsiTheme="minorHAnsi" w:cstheme="minorHAnsi"/>
                <w:b/>
                <w:bCs/>
                <w:color w:val="000000"/>
                <w:sz w:val="14"/>
                <w:szCs w:val="14"/>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48FB5A22" w14:textId="77777777" w:rsidR="008B6659" w:rsidRPr="0029055C" w:rsidRDefault="008B6659" w:rsidP="008B6659">
            <w:pPr>
              <w:spacing w:before="0" w:after="0" w:line="240" w:lineRule="auto"/>
              <w:jc w:val="left"/>
              <w:rPr>
                <w:rFonts w:asciiTheme="minorHAnsi" w:hAnsiTheme="minorHAnsi" w:cstheme="minorHAnsi"/>
                <w:b/>
                <w:bCs/>
                <w:color w:val="000000"/>
                <w:sz w:val="14"/>
                <w:szCs w:val="14"/>
              </w:rPr>
            </w:pPr>
          </w:p>
        </w:tc>
        <w:tc>
          <w:tcPr>
            <w:tcW w:w="325" w:type="pct"/>
            <w:tcBorders>
              <w:top w:val="nil"/>
              <w:left w:val="nil"/>
              <w:bottom w:val="single" w:sz="4" w:space="0" w:color="auto"/>
              <w:right w:val="single" w:sz="4" w:space="0" w:color="auto"/>
            </w:tcBorders>
            <w:shd w:val="clear" w:color="000000" w:fill="B7DEE8"/>
            <w:vAlign w:val="center"/>
            <w:hideMark/>
          </w:tcPr>
          <w:p w14:paraId="6DBDA59D"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xml:space="preserve">Εθνική δημόσια δαπάνη </w:t>
            </w:r>
          </w:p>
        </w:tc>
        <w:tc>
          <w:tcPr>
            <w:tcW w:w="256" w:type="pct"/>
            <w:tcBorders>
              <w:top w:val="nil"/>
              <w:left w:val="nil"/>
              <w:bottom w:val="single" w:sz="4" w:space="0" w:color="auto"/>
              <w:right w:val="single" w:sz="4" w:space="0" w:color="auto"/>
            </w:tcBorders>
            <w:shd w:val="clear" w:color="000000" w:fill="B7DEE8"/>
            <w:vAlign w:val="center"/>
            <w:hideMark/>
          </w:tcPr>
          <w:p w14:paraId="1F877205"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xml:space="preserve">Εθνική ιδιωτική δαπάνη </w:t>
            </w: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A2DF891" w14:textId="77777777" w:rsidR="008B6659" w:rsidRPr="0029055C" w:rsidRDefault="008B6659" w:rsidP="008B6659">
            <w:pPr>
              <w:spacing w:before="0" w:after="0" w:line="240" w:lineRule="auto"/>
              <w:jc w:val="left"/>
              <w:rPr>
                <w:rFonts w:asciiTheme="minorHAnsi" w:hAnsiTheme="minorHAnsi" w:cstheme="minorHAnsi"/>
                <w:b/>
                <w:bCs/>
                <w:color w:val="000000"/>
                <w:sz w:val="14"/>
                <w:szCs w:val="14"/>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40A5A8D8" w14:textId="77777777" w:rsidR="008B6659" w:rsidRPr="0029055C" w:rsidRDefault="008B6659" w:rsidP="008B6659">
            <w:pPr>
              <w:spacing w:before="0" w:after="0" w:line="240" w:lineRule="auto"/>
              <w:jc w:val="left"/>
              <w:rPr>
                <w:rFonts w:asciiTheme="minorHAnsi" w:hAnsiTheme="minorHAnsi" w:cstheme="minorHAnsi"/>
                <w:b/>
                <w:bCs/>
                <w:color w:val="000000"/>
                <w:sz w:val="14"/>
                <w:szCs w:val="14"/>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2E4B3BF7" w14:textId="77777777" w:rsidR="008B6659" w:rsidRPr="0029055C" w:rsidRDefault="008B6659" w:rsidP="008B6659">
            <w:pPr>
              <w:spacing w:before="0" w:after="0" w:line="240" w:lineRule="auto"/>
              <w:jc w:val="left"/>
              <w:rPr>
                <w:rFonts w:asciiTheme="minorHAnsi" w:hAnsiTheme="minorHAnsi" w:cstheme="minorHAnsi"/>
                <w:b/>
                <w:bCs/>
                <w:color w:val="000000"/>
                <w:sz w:val="14"/>
                <w:szCs w:val="14"/>
              </w:rPr>
            </w:pPr>
          </w:p>
        </w:tc>
        <w:tc>
          <w:tcPr>
            <w:tcW w:w="388" w:type="pct"/>
            <w:tcBorders>
              <w:top w:val="nil"/>
              <w:left w:val="nil"/>
              <w:bottom w:val="single" w:sz="4" w:space="0" w:color="auto"/>
              <w:right w:val="single" w:sz="4" w:space="0" w:color="auto"/>
            </w:tcBorders>
            <w:shd w:val="clear" w:color="000000" w:fill="B7DEE8"/>
            <w:vAlign w:val="center"/>
            <w:hideMark/>
          </w:tcPr>
          <w:p w14:paraId="17482FE0"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Κοινοτική Συνδρομή</w:t>
            </w:r>
          </w:p>
        </w:tc>
        <w:tc>
          <w:tcPr>
            <w:tcW w:w="389" w:type="pct"/>
            <w:tcBorders>
              <w:top w:val="nil"/>
              <w:left w:val="nil"/>
              <w:bottom w:val="single" w:sz="4" w:space="0" w:color="auto"/>
              <w:right w:val="single" w:sz="4" w:space="0" w:color="auto"/>
            </w:tcBorders>
            <w:shd w:val="clear" w:color="000000" w:fill="B7DEE8"/>
            <w:vAlign w:val="center"/>
            <w:hideMark/>
          </w:tcPr>
          <w:p w14:paraId="4761603E"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xml:space="preserve">Εθνική συμμετοχή </w:t>
            </w:r>
          </w:p>
        </w:tc>
        <w:tc>
          <w:tcPr>
            <w:tcW w:w="340" w:type="pct"/>
            <w:tcBorders>
              <w:top w:val="nil"/>
              <w:left w:val="nil"/>
              <w:bottom w:val="single" w:sz="4" w:space="0" w:color="auto"/>
              <w:right w:val="single" w:sz="4" w:space="0" w:color="auto"/>
            </w:tcBorders>
            <w:shd w:val="clear" w:color="000000" w:fill="B7DEE8"/>
            <w:vAlign w:val="center"/>
            <w:hideMark/>
          </w:tcPr>
          <w:p w14:paraId="7DB60961" w14:textId="77777777" w:rsidR="008B6659" w:rsidRPr="0029055C" w:rsidRDefault="008B6659" w:rsidP="008B6659">
            <w:pPr>
              <w:spacing w:before="0" w:after="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xml:space="preserve">Κοινοτική Συνδρομή </w:t>
            </w:r>
          </w:p>
        </w:tc>
        <w:tc>
          <w:tcPr>
            <w:tcW w:w="388" w:type="pct"/>
            <w:tcBorders>
              <w:top w:val="nil"/>
              <w:left w:val="nil"/>
              <w:bottom w:val="single" w:sz="4" w:space="0" w:color="auto"/>
              <w:right w:val="single" w:sz="4" w:space="0" w:color="auto"/>
            </w:tcBorders>
            <w:shd w:val="clear" w:color="000000" w:fill="B7DEE8"/>
            <w:vAlign w:val="center"/>
            <w:hideMark/>
          </w:tcPr>
          <w:p w14:paraId="4B92CCCB" w14:textId="77777777" w:rsidR="008B6659" w:rsidRPr="0029055C" w:rsidRDefault="00292BCA" w:rsidP="008B6659">
            <w:pPr>
              <w:spacing w:before="0" w:after="0" w:line="240" w:lineRule="auto"/>
              <w:jc w:val="center"/>
              <w:rPr>
                <w:rFonts w:asciiTheme="minorHAnsi" w:hAnsiTheme="minorHAnsi" w:cstheme="minorHAnsi"/>
                <w:b/>
                <w:bCs/>
                <w:color w:val="000000"/>
                <w:sz w:val="14"/>
                <w:szCs w:val="14"/>
              </w:rPr>
            </w:pPr>
            <w:hyperlink r:id="rId16" w:anchor="RANGE!_ftn1" w:history="1">
              <w:r w:rsidR="008B6659" w:rsidRPr="0029055C">
                <w:rPr>
                  <w:rFonts w:asciiTheme="minorHAnsi" w:hAnsiTheme="minorHAnsi" w:cstheme="minorHAnsi"/>
                  <w:b/>
                  <w:bCs/>
                  <w:color w:val="000000"/>
                  <w:sz w:val="14"/>
                  <w:szCs w:val="14"/>
                </w:rPr>
                <w:t xml:space="preserve">Εθνική συμμετοχή </w:t>
              </w:r>
            </w:hyperlink>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59C759A4" w14:textId="77777777" w:rsidR="008B6659" w:rsidRPr="0029055C" w:rsidRDefault="008B6659" w:rsidP="008B6659">
            <w:pPr>
              <w:spacing w:before="0" w:after="0" w:line="240" w:lineRule="auto"/>
              <w:jc w:val="left"/>
              <w:rPr>
                <w:rFonts w:asciiTheme="minorHAnsi" w:hAnsiTheme="minorHAnsi" w:cstheme="minorHAnsi"/>
                <w:b/>
                <w:bCs/>
                <w:color w:val="000000"/>
                <w:sz w:val="14"/>
                <w:szCs w:val="14"/>
              </w:rPr>
            </w:pPr>
          </w:p>
        </w:tc>
      </w:tr>
      <w:tr w:rsidR="008B6659" w:rsidRPr="0029055C" w14:paraId="26CE117A"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1A2E113D"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p>
        </w:tc>
        <w:tc>
          <w:tcPr>
            <w:tcW w:w="183" w:type="pct"/>
            <w:tcBorders>
              <w:top w:val="nil"/>
              <w:left w:val="nil"/>
              <w:bottom w:val="single" w:sz="4" w:space="0" w:color="auto"/>
              <w:right w:val="single" w:sz="4" w:space="0" w:color="auto"/>
            </w:tcBorders>
            <w:shd w:val="clear" w:color="auto" w:fill="auto"/>
            <w:vAlign w:val="center"/>
            <w:hideMark/>
          </w:tcPr>
          <w:p w14:paraId="74581E09"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p>
        </w:tc>
        <w:tc>
          <w:tcPr>
            <w:tcW w:w="351" w:type="pct"/>
            <w:tcBorders>
              <w:top w:val="nil"/>
              <w:left w:val="nil"/>
              <w:bottom w:val="single" w:sz="4" w:space="0" w:color="auto"/>
              <w:right w:val="single" w:sz="4" w:space="0" w:color="auto"/>
            </w:tcBorders>
            <w:shd w:val="clear" w:color="auto" w:fill="auto"/>
            <w:vAlign w:val="center"/>
            <w:hideMark/>
          </w:tcPr>
          <w:p w14:paraId="7385270B"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p>
        </w:tc>
        <w:tc>
          <w:tcPr>
            <w:tcW w:w="348" w:type="pct"/>
            <w:tcBorders>
              <w:top w:val="nil"/>
              <w:left w:val="nil"/>
              <w:bottom w:val="single" w:sz="4" w:space="0" w:color="auto"/>
              <w:right w:val="single" w:sz="4" w:space="0" w:color="auto"/>
            </w:tcBorders>
            <w:shd w:val="clear" w:color="auto" w:fill="auto"/>
            <w:vAlign w:val="center"/>
            <w:hideMark/>
          </w:tcPr>
          <w:p w14:paraId="5637C0DD"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(a)</w:t>
            </w:r>
          </w:p>
        </w:tc>
        <w:tc>
          <w:tcPr>
            <w:tcW w:w="348" w:type="pct"/>
            <w:tcBorders>
              <w:top w:val="nil"/>
              <w:left w:val="nil"/>
              <w:bottom w:val="single" w:sz="4" w:space="0" w:color="auto"/>
              <w:right w:val="single" w:sz="4" w:space="0" w:color="auto"/>
            </w:tcBorders>
            <w:shd w:val="clear" w:color="auto" w:fill="auto"/>
            <w:vAlign w:val="center"/>
            <w:hideMark/>
          </w:tcPr>
          <w:p w14:paraId="33EEBF78"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(b) = (c) + (d))</w:t>
            </w:r>
          </w:p>
        </w:tc>
        <w:tc>
          <w:tcPr>
            <w:tcW w:w="325" w:type="pct"/>
            <w:tcBorders>
              <w:top w:val="nil"/>
              <w:left w:val="nil"/>
              <w:bottom w:val="single" w:sz="4" w:space="0" w:color="auto"/>
              <w:right w:val="single" w:sz="4" w:space="0" w:color="auto"/>
            </w:tcBorders>
            <w:shd w:val="clear" w:color="auto" w:fill="auto"/>
            <w:vAlign w:val="center"/>
            <w:hideMark/>
          </w:tcPr>
          <w:p w14:paraId="6934289F"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(c)</w:t>
            </w:r>
          </w:p>
        </w:tc>
        <w:tc>
          <w:tcPr>
            <w:tcW w:w="256" w:type="pct"/>
            <w:tcBorders>
              <w:top w:val="nil"/>
              <w:left w:val="nil"/>
              <w:bottom w:val="single" w:sz="4" w:space="0" w:color="auto"/>
              <w:right w:val="single" w:sz="4" w:space="0" w:color="auto"/>
            </w:tcBorders>
            <w:shd w:val="clear" w:color="auto" w:fill="auto"/>
            <w:vAlign w:val="center"/>
            <w:hideMark/>
          </w:tcPr>
          <w:p w14:paraId="11074749"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 xml:space="preserve">(d) </w:t>
            </w:r>
          </w:p>
        </w:tc>
        <w:tc>
          <w:tcPr>
            <w:tcW w:w="374" w:type="pct"/>
            <w:tcBorders>
              <w:top w:val="nil"/>
              <w:left w:val="nil"/>
              <w:bottom w:val="single" w:sz="4" w:space="0" w:color="auto"/>
              <w:right w:val="single" w:sz="4" w:space="0" w:color="auto"/>
            </w:tcBorders>
            <w:shd w:val="clear" w:color="auto" w:fill="auto"/>
            <w:vAlign w:val="center"/>
            <w:hideMark/>
          </w:tcPr>
          <w:p w14:paraId="5F468818"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(e) = (a) + (b)</w:t>
            </w:r>
          </w:p>
        </w:tc>
        <w:tc>
          <w:tcPr>
            <w:tcW w:w="292" w:type="pct"/>
            <w:tcBorders>
              <w:top w:val="nil"/>
              <w:left w:val="nil"/>
              <w:bottom w:val="single" w:sz="4" w:space="0" w:color="auto"/>
              <w:right w:val="single" w:sz="4" w:space="0" w:color="auto"/>
            </w:tcBorders>
            <w:shd w:val="clear" w:color="auto" w:fill="auto"/>
            <w:vAlign w:val="center"/>
            <w:hideMark/>
          </w:tcPr>
          <w:p w14:paraId="2FDFF2FC" w14:textId="77777777" w:rsidR="008B6659" w:rsidRPr="0029055C" w:rsidRDefault="00292BCA" w:rsidP="008B6659">
            <w:pPr>
              <w:spacing w:before="40" w:after="40" w:line="240" w:lineRule="auto"/>
              <w:ind w:left="-57" w:right="-57"/>
              <w:jc w:val="center"/>
              <w:rPr>
                <w:rFonts w:asciiTheme="minorHAnsi" w:hAnsiTheme="minorHAnsi" w:cstheme="minorHAnsi"/>
                <w:color w:val="000000"/>
                <w:sz w:val="14"/>
                <w:szCs w:val="14"/>
              </w:rPr>
            </w:pPr>
            <w:hyperlink r:id="rId17" w:anchor="E0079#E0079" w:history="1">
              <w:r w:rsidR="008B6659" w:rsidRPr="0029055C">
                <w:rPr>
                  <w:rFonts w:asciiTheme="minorHAnsi" w:hAnsiTheme="minorHAnsi" w:cstheme="minorHAnsi"/>
                  <w:color w:val="000000"/>
                  <w:sz w:val="14"/>
                  <w:szCs w:val="14"/>
                </w:rPr>
                <w:t>(f)  = (a)/(e)</w:t>
              </w:r>
            </w:hyperlink>
          </w:p>
        </w:tc>
        <w:tc>
          <w:tcPr>
            <w:tcW w:w="340" w:type="pct"/>
            <w:tcBorders>
              <w:top w:val="nil"/>
              <w:left w:val="nil"/>
              <w:bottom w:val="single" w:sz="4" w:space="0" w:color="auto"/>
              <w:right w:val="single" w:sz="4" w:space="0" w:color="auto"/>
            </w:tcBorders>
            <w:shd w:val="clear" w:color="auto" w:fill="auto"/>
            <w:vAlign w:val="center"/>
            <w:hideMark/>
          </w:tcPr>
          <w:p w14:paraId="3D798776"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(g)</w:t>
            </w:r>
          </w:p>
        </w:tc>
        <w:tc>
          <w:tcPr>
            <w:tcW w:w="388" w:type="pct"/>
            <w:tcBorders>
              <w:top w:val="nil"/>
              <w:left w:val="nil"/>
              <w:bottom w:val="single" w:sz="4" w:space="0" w:color="auto"/>
              <w:right w:val="single" w:sz="4" w:space="0" w:color="auto"/>
            </w:tcBorders>
            <w:shd w:val="clear" w:color="auto" w:fill="auto"/>
            <w:vAlign w:val="center"/>
            <w:hideMark/>
          </w:tcPr>
          <w:p w14:paraId="7A4E9281"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(h)=(a)-(j)</w:t>
            </w:r>
          </w:p>
        </w:tc>
        <w:tc>
          <w:tcPr>
            <w:tcW w:w="389" w:type="pct"/>
            <w:tcBorders>
              <w:top w:val="nil"/>
              <w:left w:val="nil"/>
              <w:bottom w:val="single" w:sz="4" w:space="0" w:color="auto"/>
              <w:right w:val="single" w:sz="4" w:space="0" w:color="auto"/>
            </w:tcBorders>
            <w:shd w:val="clear" w:color="auto" w:fill="auto"/>
            <w:vAlign w:val="center"/>
            <w:hideMark/>
          </w:tcPr>
          <w:p w14:paraId="33575A7F"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(i) = (b) – (k)</w:t>
            </w:r>
          </w:p>
        </w:tc>
        <w:tc>
          <w:tcPr>
            <w:tcW w:w="340" w:type="pct"/>
            <w:tcBorders>
              <w:top w:val="nil"/>
              <w:left w:val="nil"/>
              <w:bottom w:val="single" w:sz="4" w:space="0" w:color="auto"/>
              <w:right w:val="single" w:sz="4" w:space="0" w:color="auto"/>
            </w:tcBorders>
            <w:shd w:val="clear" w:color="auto" w:fill="auto"/>
            <w:vAlign w:val="center"/>
            <w:hideMark/>
          </w:tcPr>
          <w:p w14:paraId="393788E3"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(j)</w:t>
            </w:r>
          </w:p>
        </w:tc>
        <w:tc>
          <w:tcPr>
            <w:tcW w:w="388" w:type="pct"/>
            <w:tcBorders>
              <w:top w:val="nil"/>
              <w:left w:val="nil"/>
              <w:bottom w:val="single" w:sz="4" w:space="0" w:color="auto"/>
              <w:right w:val="single" w:sz="4" w:space="0" w:color="auto"/>
            </w:tcBorders>
            <w:shd w:val="clear" w:color="auto" w:fill="auto"/>
            <w:vAlign w:val="center"/>
            <w:hideMark/>
          </w:tcPr>
          <w:p w14:paraId="228B42A2" w14:textId="77777777" w:rsidR="008B6659" w:rsidRPr="0029055C" w:rsidRDefault="008B6659" w:rsidP="008B6659">
            <w:pPr>
              <w:spacing w:before="40" w:after="40" w:line="240" w:lineRule="auto"/>
              <w:ind w:left="-57" w:right="-57"/>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(k)= (b) * ((j)/(a))</w:t>
            </w:r>
          </w:p>
        </w:tc>
        <w:tc>
          <w:tcPr>
            <w:tcW w:w="483" w:type="pct"/>
            <w:tcBorders>
              <w:top w:val="nil"/>
              <w:left w:val="nil"/>
              <w:bottom w:val="single" w:sz="4" w:space="0" w:color="auto"/>
              <w:right w:val="single" w:sz="4" w:space="0" w:color="auto"/>
            </w:tcBorders>
            <w:shd w:val="clear" w:color="auto" w:fill="auto"/>
            <w:vAlign w:val="center"/>
            <w:hideMark/>
          </w:tcPr>
          <w:p w14:paraId="53881658"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(l) =(j)/(a) *100</w:t>
            </w:r>
          </w:p>
        </w:tc>
      </w:tr>
      <w:tr w:rsidR="008B6659" w:rsidRPr="0029055C" w14:paraId="2A252970"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14:paraId="4A813130"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1</w:t>
            </w:r>
          </w:p>
        </w:tc>
        <w:tc>
          <w:tcPr>
            <w:tcW w:w="183" w:type="pct"/>
            <w:tcBorders>
              <w:top w:val="nil"/>
              <w:left w:val="nil"/>
              <w:bottom w:val="single" w:sz="4" w:space="0" w:color="auto"/>
              <w:right w:val="single" w:sz="4" w:space="0" w:color="auto"/>
            </w:tcBorders>
            <w:shd w:val="clear" w:color="auto" w:fill="auto"/>
            <w:vAlign w:val="center"/>
            <w:hideMark/>
          </w:tcPr>
          <w:p w14:paraId="5948DD4C"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5B5E84CC"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Λιγότερο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54197E4B"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82.761.376,00</w:t>
            </w:r>
          </w:p>
        </w:tc>
        <w:tc>
          <w:tcPr>
            <w:tcW w:w="348" w:type="pct"/>
            <w:tcBorders>
              <w:top w:val="nil"/>
              <w:left w:val="nil"/>
              <w:bottom w:val="single" w:sz="4" w:space="0" w:color="auto"/>
              <w:right w:val="single" w:sz="4" w:space="0" w:color="auto"/>
            </w:tcBorders>
            <w:shd w:val="clear" w:color="000000" w:fill="F2F2F2"/>
            <w:vAlign w:val="center"/>
            <w:hideMark/>
          </w:tcPr>
          <w:p w14:paraId="710EEA92"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20.690.344,00</w:t>
            </w:r>
          </w:p>
        </w:tc>
        <w:tc>
          <w:tcPr>
            <w:tcW w:w="325" w:type="pct"/>
            <w:tcBorders>
              <w:top w:val="nil"/>
              <w:left w:val="nil"/>
              <w:bottom w:val="single" w:sz="4" w:space="0" w:color="auto"/>
              <w:right w:val="single" w:sz="4" w:space="0" w:color="auto"/>
            </w:tcBorders>
            <w:shd w:val="clear" w:color="000000" w:fill="F2F2F2"/>
            <w:vAlign w:val="center"/>
            <w:hideMark/>
          </w:tcPr>
          <w:p w14:paraId="6449CF62"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20.690.344,00</w:t>
            </w:r>
          </w:p>
        </w:tc>
        <w:tc>
          <w:tcPr>
            <w:tcW w:w="256" w:type="pct"/>
            <w:tcBorders>
              <w:top w:val="nil"/>
              <w:left w:val="nil"/>
              <w:bottom w:val="single" w:sz="4" w:space="0" w:color="auto"/>
              <w:right w:val="single" w:sz="4" w:space="0" w:color="auto"/>
            </w:tcBorders>
            <w:shd w:val="clear" w:color="000000" w:fill="F2F2F2"/>
            <w:vAlign w:val="center"/>
            <w:hideMark/>
          </w:tcPr>
          <w:p w14:paraId="7EA5D59D"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3B00E145"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103.451.720,00</w:t>
            </w:r>
          </w:p>
        </w:tc>
        <w:tc>
          <w:tcPr>
            <w:tcW w:w="292" w:type="pct"/>
            <w:tcBorders>
              <w:top w:val="nil"/>
              <w:left w:val="nil"/>
              <w:bottom w:val="single" w:sz="4" w:space="0" w:color="auto"/>
              <w:right w:val="single" w:sz="4" w:space="0" w:color="auto"/>
            </w:tcBorders>
            <w:shd w:val="clear" w:color="000000" w:fill="F2F2F2"/>
            <w:vAlign w:val="center"/>
            <w:hideMark/>
          </w:tcPr>
          <w:p w14:paraId="2BCEEA03"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3BF435AE"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22BC1DB8"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77.982.144,00</w:t>
            </w:r>
          </w:p>
        </w:tc>
        <w:tc>
          <w:tcPr>
            <w:tcW w:w="389" w:type="pct"/>
            <w:tcBorders>
              <w:top w:val="nil"/>
              <w:left w:val="nil"/>
              <w:bottom w:val="single" w:sz="4" w:space="0" w:color="auto"/>
              <w:right w:val="single" w:sz="4" w:space="0" w:color="auto"/>
            </w:tcBorders>
            <w:shd w:val="clear" w:color="000000" w:fill="F2F2F2"/>
            <w:vAlign w:val="center"/>
            <w:hideMark/>
          </w:tcPr>
          <w:p w14:paraId="25CCD697"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19.495.536,00</w:t>
            </w:r>
          </w:p>
        </w:tc>
        <w:tc>
          <w:tcPr>
            <w:tcW w:w="340" w:type="pct"/>
            <w:tcBorders>
              <w:top w:val="nil"/>
              <w:left w:val="nil"/>
              <w:bottom w:val="single" w:sz="4" w:space="0" w:color="auto"/>
              <w:right w:val="single" w:sz="4" w:space="0" w:color="auto"/>
            </w:tcBorders>
            <w:shd w:val="clear" w:color="000000" w:fill="FFFFFF"/>
            <w:vAlign w:val="center"/>
            <w:hideMark/>
          </w:tcPr>
          <w:p w14:paraId="3E5121EB"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4.779.232,00</w:t>
            </w:r>
          </w:p>
        </w:tc>
        <w:tc>
          <w:tcPr>
            <w:tcW w:w="388" w:type="pct"/>
            <w:tcBorders>
              <w:top w:val="nil"/>
              <w:left w:val="nil"/>
              <w:bottom w:val="single" w:sz="4" w:space="0" w:color="auto"/>
              <w:right w:val="single" w:sz="4" w:space="0" w:color="auto"/>
            </w:tcBorders>
            <w:shd w:val="clear" w:color="000000" w:fill="F2F2F2"/>
            <w:vAlign w:val="center"/>
            <w:hideMark/>
          </w:tcPr>
          <w:p w14:paraId="498EFDA7"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1.194.808,00</w:t>
            </w:r>
          </w:p>
        </w:tc>
        <w:tc>
          <w:tcPr>
            <w:tcW w:w="483" w:type="pct"/>
            <w:tcBorders>
              <w:top w:val="nil"/>
              <w:left w:val="nil"/>
              <w:bottom w:val="single" w:sz="4" w:space="0" w:color="auto"/>
              <w:right w:val="single" w:sz="4" w:space="0" w:color="auto"/>
            </w:tcBorders>
            <w:shd w:val="clear" w:color="000000" w:fill="F2F2F2"/>
            <w:vAlign w:val="center"/>
            <w:hideMark/>
          </w:tcPr>
          <w:p w14:paraId="0DA5BBE0"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5,77%</w:t>
            </w:r>
          </w:p>
        </w:tc>
      </w:tr>
      <w:tr w:rsidR="008B6659" w:rsidRPr="0029055C" w14:paraId="722498B0"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14:paraId="6EB375D7"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1</w:t>
            </w:r>
          </w:p>
        </w:tc>
        <w:tc>
          <w:tcPr>
            <w:tcW w:w="183" w:type="pct"/>
            <w:tcBorders>
              <w:top w:val="nil"/>
              <w:left w:val="nil"/>
              <w:bottom w:val="single" w:sz="4" w:space="0" w:color="auto"/>
              <w:right w:val="single" w:sz="4" w:space="0" w:color="auto"/>
            </w:tcBorders>
            <w:shd w:val="clear" w:color="auto" w:fill="auto"/>
            <w:vAlign w:val="center"/>
            <w:hideMark/>
          </w:tcPr>
          <w:p w14:paraId="75BCB63C"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63A802D2"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Περιφέρειες σε Μετάβαση</w:t>
            </w:r>
          </w:p>
        </w:tc>
        <w:tc>
          <w:tcPr>
            <w:tcW w:w="348" w:type="pct"/>
            <w:tcBorders>
              <w:top w:val="nil"/>
              <w:left w:val="nil"/>
              <w:bottom w:val="single" w:sz="4" w:space="0" w:color="auto"/>
              <w:right w:val="single" w:sz="4" w:space="0" w:color="auto"/>
            </w:tcBorders>
            <w:shd w:val="clear" w:color="000000" w:fill="FFFFFF"/>
            <w:vAlign w:val="center"/>
            <w:hideMark/>
          </w:tcPr>
          <w:p w14:paraId="3F812933"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22.217.420,00</w:t>
            </w:r>
          </w:p>
        </w:tc>
        <w:tc>
          <w:tcPr>
            <w:tcW w:w="348" w:type="pct"/>
            <w:tcBorders>
              <w:top w:val="nil"/>
              <w:left w:val="nil"/>
              <w:bottom w:val="single" w:sz="4" w:space="0" w:color="auto"/>
              <w:right w:val="single" w:sz="4" w:space="0" w:color="auto"/>
            </w:tcBorders>
            <w:shd w:val="clear" w:color="000000" w:fill="F2F2F2"/>
            <w:vAlign w:val="center"/>
            <w:hideMark/>
          </w:tcPr>
          <w:p w14:paraId="59166D7B"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5.554.356,00</w:t>
            </w:r>
          </w:p>
        </w:tc>
        <w:tc>
          <w:tcPr>
            <w:tcW w:w="325" w:type="pct"/>
            <w:tcBorders>
              <w:top w:val="nil"/>
              <w:left w:val="nil"/>
              <w:bottom w:val="single" w:sz="4" w:space="0" w:color="auto"/>
              <w:right w:val="single" w:sz="4" w:space="0" w:color="auto"/>
            </w:tcBorders>
            <w:shd w:val="clear" w:color="000000" w:fill="F2F2F2"/>
            <w:vAlign w:val="center"/>
            <w:hideMark/>
          </w:tcPr>
          <w:p w14:paraId="4C72ED5C"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5.554.356,00</w:t>
            </w:r>
          </w:p>
        </w:tc>
        <w:tc>
          <w:tcPr>
            <w:tcW w:w="256" w:type="pct"/>
            <w:tcBorders>
              <w:top w:val="nil"/>
              <w:left w:val="nil"/>
              <w:bottom w:val="single" w:sz="4" w:space="0" w:color="auto"/>
              <w:right w:val="single" w:sz="4" w:space="0" w:color="auto"/>
            </w:tcBorders>
            <w:shd w:val="clear" w:color="000000" w:fill="F2F2F2"/>
            <w:vAlign w:val="center"/>
            <w:hideMark/>
          </w:tcPr>
          <w:p w14:paraId="7008CEE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1CF6E7D0"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27.771.776,00</w:t>
            </w:r>
          </w:p>
        </w:tc>
        <w:tc>
          <w:tcPr>
            <w:tcW w:w="292" w:type="pct"/>
            <w:tcBorders>
              <w:top w:val="nil"/>
              <w:left w:val="nil"/>
              <w:bottom w:val="single" w:sz="4" w:space="0" w:color="auto"/>
              <w:right w:val="single" w:sz="4" w:space="0" w:color="auto"/>
            </w:tcBorders>
            <w:shd w:val="clear" w:color="000000" w:fill="F2F2F2"/>
            <w:vAlign w:val="center"/>
            <w:hideMark/>
          </w:tcPr>
          <w:p w14:paraId="4727D354"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5DE32344"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6DCCDB2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20.911.629,00</w:t>
            </w:r>
          </w:p>
        </w:tc>
        <w:tc>
          <w:tcPr>
            <w:tcW w:w="389" w:type="pct"/>
            <w:tcBorders>
              <w:top w:val="nil"/>
              <w:left w:val="nil"/>
              <w:bottom w:val="single" w:sz="4" w:space="0" w:color="auto"/>
              <w:right w:val="single" w:sz="4" w:space="0" w:color="auto"/>
            </w:tcBorders>
            <w:shd w:val="clear" w:color="000000" w:fill="F2F2F2"/>
            <w:vAlign w:val="center"/>
            <w:hideMark/>
          </w:tcPr>
          <w:p w14:paraId="6700D6F0"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5.227.908,00</w:t>
            </w:r>
          </w:p>
        </w:tc>
        <w:tc>
          <w:tcPr>
            <w:tcW w:w="340" w:type="pct"/>
            <w:tcBorders>
              <w:top w:val="nil"/>
              <w:left w:val="nil"/>
              <w:bottom w:val="single" w:sz="4" w:space="0" w:color="auto"/>
              <w:right w:val="single" w:sz="4" w:space="0" w:color="auto"/>
            </w:tcBorders>
            <w:shd w:val="clear" w:color="000000" w:fill="FFFFFF"/>
            <w:vAlign w:val="center"/>
            <w:hideMark/>
          </w:tcPr>
          <w:p w14:paraId="2642989F"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1.305.791,00</w:t>
            </w:r>
          </w:p>
        </w:tc>
        <w:tc>
          <w:tcPr>
            <w:tcW w:w="388" w:type="pct"/>
            <w:tcBorders>
              <w:top w:val="nil"/>
              <w:left w:val="nil"/>
              <w:bottom w:val="single" w:sz="4" w:space="0" w:color="auto"/>
              <w:right w:val="single" w:sz="4" w:space="0" w:color="auto"/>
            </w:tcBorders>
            <w:shd w:val="clear" w:color="000000" w:fill="F2F2F2"/>
            <w:vAlign w:val="center"/>
            <w:hideMark/>
          </w:tcPr>
          <w:p w14:paraId="63E5C0A9"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326.448,00</w:t>
            </w:r>
          </w:p>
        </w:tc>
        <w:tc>
          <w:tcPr>
            <w:tcW w:w="483" w:type="pct"/>
            <w:tcBorders>
              <w:top w:val="nil"/>
              <w:left w:val="nil"/>
              <w:bottom w:val="single" w:sz="4" w:space="0" w:color="auto"/>
              <w:right w:val="single" w:sz="4" w:space="0" w:color="auto"/>
            </w:tcBorders>
            <w:shd w:val="clear" w:color="000000" w:fill="F2F2F2"/>
            <w:vAlign w:val="center"/>
            <w:hideMark/>
          </w:tcPr>
          <w:p w14:paraId="001CF661"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5,88%</w:t>
            </w:r>
          </w:p>
        </w:tc>
      </w:tr>
      <w:tr w:rsidR="008B6659" w:rsidRPr="0029055C" w14:paraId="0822E350"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14:paraId="010293A6"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1</w:t>
            </w:r>
          </w:p>
        </w:tc>
        <w:tc>
          <w:tcPr>
            <w:tcW w:w="183" w:type="pct"/>
            <w:tcBorders>
              <w:top w:val="nil"/>
              <w:left w:val="nil"/>
              <w:bottom w:val="single" w:sz="4" w:space="0" w:color="auto"/>
              <w:right w:val="single" w:sz="4" w:space="0" w:color="auto"/>
            </w:tcBorders>
            <w:shd w:val="clear" w:color="auto" w:fill="auto"/>
            <w:vAlign w:val="center"/>
            <w:hideMark/>
          </w:tcPr>
          <w:p w14:paraId="5AE704F8"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6BB68ABD"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Περισσότερο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54F56880"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11.371.999,00</w:t>
            </w:r>
          </w:p>
        </w:tc>
        <w:tc>
          <w:tcPr>
            <w:tcW w:w="348" w:type="pct"/>
            <w:tcBorders>
              <w:top w:val="nil"/>
              <w:left w:val="nil"/>
              <w:bottom w:val="single" w:sz="4" w:space="0" w:color="auto"/>
              <w:right w:val="single" w:sz="4" w:space="0" w:color="auto"/>
            </w:tcBorders>
            <w:shd w:val="clear" w:color="000000" w:fill="F2F2F2"/>
            <w:vAlign w:val="center"/>
            <w:hideMark/>
          </w:tcPr>
          <w:p w14:paraId="65B6C972"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2.843.000,00</w:t>
            </w:r>
          </w:p>
        </w:tc>
        <w:tc>
          <w:tcPr>
            <w:tcW w:w="325" w:type="pct"/>
            <w:tcBorders>
              <w:top w:val="nil"/>
              <w:left w:val="nil"/>
              <w:bottom w:val="single" w:sz="4" w:space="0" w:color="auto"/>
              <w:right w:val="single" w:sz="4" w:space="0" w:color="auto"/>
            </w:tcBorders>
            <w:shd w:val="clear" w:color="000000" w:fill="F2F2F2"/>
            <w:vAlign w:val="center"/>
            <w:hideMark/>
          </w:tcPr>
          <w:p w14:paraId="305AF72D"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2.843.000,00</w:t>
            </w:r>
          </w:p>
        </w:tc>
        <w:tc>
          <w:tcPr>
            <w:tcW w:w="256" w:type="pct"/>
            <w:tcBorders>
              <w:top w:val="nil"/>
              <w:left w:val="nil"/>
              <w:bottom w:val="single" w:sz="4" w:space="0" w:color="auto"/>
              <w:right w:val="single" w:sz="4" w:space="0" w:color="auto"/>
            </w:tcBorders>
            <w:shd w:val="clear" w:color="000000" w:fill="F2F2F2"/>
            <w:vAlign w:val="center"/>
            <w:hideMark/>
          </w:tcPr>
          <w:p w14:paraId="2CC94E3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41CB72A5"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14.214.999,00</w:t>
            </w:r>
          </w:p>
        </w:tc>
        <w:tc>
          <w:tcPr>
            <w:tcW w:w="292" w:type="pct"/>
            <w:tcBorders>
              <w:top w:val="nil"/>
              <w:left w:val="nil"/>
              <w:bottom w:val="single" w:sz="4" w:space="0" w:color="auto"/>
              <w:right w:val="single" w:sz="4" w:space="0" w:color="auto"/>
            </w:tcBorders>
            <w:shd w:val="clear" w:color="000000" w:fill="F2F2F2"/>
            <w:vAlign w:val="center"/>
            <w:hideMark/>
          </w:tcPr>
          <w:p w14:paraId="34FA00C7"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75FCAE27"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79B20287"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10.715.299,00</w:t>
            </w:r>
          </w:p>
        </w:tc>
        <w:tc>
          <w:tcPr>
            <w:tcW w:w="389" w:type="pct"/>
            <w:tcBorders>
              <w:top w:val="nil"/>
              <w:left w:val="nil"/>
              <w:bottom w:val="single" w:sz="4" w:space="0" w:color="auto"/>
              <w:right w:val="single" w:sz="4" w:space="0" w:color="auto"/>
            </w:tcBorders>
            <w:shd w:val="clear" w:color="000000" w:fill="F2F2F2"/>
            <w:vAlign w:val="center"/>
            <w:hideMark/>
          </w:tcPr>
          <w:p w14:paraId="3D17F8B1"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2.678.825,00</w:t>
            </w:r>
          </w:p>
        </w:tc>
        <w:tc>
          <w:tcPr>
            <w:tcW w:w="340" w:type="pct"/>
            <w:tcBorders>
              <w:top w:val="nil"/>
              <w:left w:val="nil"/>
              <w:bottom w:val="single" w:sz="4" w:space="0" w:color="auto"/>
              <w:right w:val="single" w:sz="4" w:space="0" w:color="auto"/>
            </w:tcBorders>
            <w:shd w:val="clear" w:color="000000" w:fill="FFFFFF"/>
            <w:vAlign w:val="center"/>
            <w:hideMark/>
          </w:tcPr>
          <w:p w14:paraId="5BAC7DAF"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656.700,00</w:t>
            </w:r>
          </w:p>
        </w:tc>
        <w:tc>
          <w:tcPr>
            <w:tcW w:w="388" w:type="pct"/>
            <w:tcBorders>
              <w:top w:val="nil"/>
              <w:left w:val="nil"/>
              <w:bottom w:val="single" w:sz="4" w:space="0" w:color="auto"/>
              <w:right w:val="single" w:sz="4" w:space="0" w:color="auto"/>
            </w:tcBorders>
            <w:shd w:val="clear" w:color="000000" w:fill="F2F2F2"/>
            <w:vAlign w:val="center"/>
            <w:hideMark/>
          </w:tcPr>
          <w:p w14:paraId="035E852F"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164.175,00</w:t>
            </w:r>
          </w:p>
        </w:tc>
        <w:tc>
          <w:tcPr>
            <w:tcW w:w="483" w:type="pct"/>
            <w:tcBorders>
              <w:top w:val="nil"/>
              <w:left w:val="nil"/>
              <w:bottom w:val="single" w:sz="4" w:space="0" w:color="auto"/>
              <w:right w:val="single" w:sz="4" w:space="0" w:color="auto"/>
            </w:tcBorders>
            <w:shd w:val="clear" w:color="000000" w:fill="F2F2F2"/>
            <w:vAlign w:val="center"/>
            <w:hideMark/>
          </w:tcPr>
          <w:p w14:paraId="5C28110C"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5,77%</w:t>
            </w:r>
          </w:p>
        </w:tc>
      </w:tr>
      <w:tr w:rsidR="008B6659" w:rsidRPr="0029055C" w14:paraId="5113B747"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3D772165"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2</w:t>
            </w:r>
          </w:p>
        </w:tc>
        <w:tc>
          <w:tcPr>
            <w:tcW w:w="183" w:type="pct"/>
            <w:tcBorders>
              <w:top w:val="nil"/>
              <w:left w:val="nil"/>
              <w:bottom w:val="single" w:sz="4" w:space="0" w:color="auto"/>
              <w:right w:val="single" w:sz="4" w:space="0" w:color="auto"/>
            </w:tcBorders>
            <w:shd w:val="clear" w:color="auto" w:fill="auto"/>
            <w:vAlign w:val="center"/>
            <w:hideMark/>
          </w:tcPr>
          <w:p w14:paraId="1E48F569"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6FFB8F30"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Περιφέρειες σε Μετάβαση</w:t>
            </w:r>
          </w:p>
        </w:tc>
        <w:tc>
          <w:tcPr>
            <w:tcW w:w="348" w:type="pct"/>
            <w:tcBorders>
              <w:top w:val="nil"/>
              <w:left w:val="nil"/>
              <w:bottom w:val="single" w:sz="4" w:space="0" w:color="auto"/>
              <w:right w:val="single" w:sz="4" w:space="0" w:color="auto"/>
            </w:tcBorders>
            <w:shd w:val="clear" w:color="000000" w:fill="FFFFFF"/>
            <w:vAlign w:val="center"/>
            <w:hideMark/>
          </w:tcPr>
          <w:p w14:paraId="20B120AC"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6.451.186,00</w:t>
            </w:r>
          </w:p>
        </w:tc>
        <w:tc>
          <w:tcPr>
            <w:tcW w:w="348" w:type="pct"/>
            <w:tcBorders>
              <w:top w:val="nil"/>
              <w:left w:val="nil"/>
              <w:bottom w:val="single" w:sz="4" w:space="0" w:color="auto"/>
              <w:right w:val="single" w:sz="4" w:space="0" w:color="auto"/>
            </w:tcBorders>
            <w:shd w:val="clear" w:color="000000" w:fill="F2F2F2"/>
            <w:vAlign w:val="center"/>
            <w:hideMark/>
          </w:tcPr>
          <w:p w14:paraId="463F2041"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6.451.186,00</w:t>
            </w:r>
          </w:p>
        </w:tc>
        <w:tc>
          <w:tcPr>
            <w:tcW w:w="325" w:type="pct"/>
            <w:tcBorders>
              <w:top w:val="nil"/>
              <w:left w:val="nil"/>
              <w:bottom w:val="single" w:sz="4" w:space="0" w:color="auto"/>
              <w:right w:val="single" w:sz="4" w:space="0" w:color="auto"/>
            </w:tcBorders>
            <w:shd w:val="clear" w:color="000000" w:fill="F2F2F2"/>
            <w:vAlign w:val="center"/>
            <w:hideMark/>
          </w:tcPr>
          <w:p w14:paraId="7EC5392C"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6.451.186,00</w:t>
            </w:r>
          </w:p>
        </w:tc>
        <w:tc>
          <w:tcPr>
            <w:tcW w:w="256" w:type="pct"/>
            <w:tcBorders>
              <w:top w:val="nil"/>
              <w:left w:val="nil"/>
              <w:bottom w:val="single" w:sz="4" w:space="0" w:color="auto"/>
              <w:right w:val="single" w:sz="4" w:space="0" w:color="auto"/>
            </w:tcBorders>
            <w:shd w:val="clear" w:color="000000" w:fill="F2F2F2"/>
            <w:vAlign w:val="center"/>
            <w:hideMark/>
          </w:tcPr>
          <w:p w14:paraId="6F2F4BD6"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047D3E84"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12.902.372,00</w:t>
            </w:r>
          </w:p>
        </w:tc>
        <w:tc>
          <w:tcPr>
            <w:tcW w:w="292" w:type="pct"/>
            <w:tcBorders>
              <w:top w:val="nil"/>
              <w:left w:val="nil"/>
              <w:bottom w:val="single" w:sz="4" w:space="0" w:color="auto"/>
              <w:right w:val="single" w:sz="4" w:space="0" w:color="auto"/>
            </w:tcBorders>
            <w:shd w:val="clear" w:color="000000" w:fill="F2F2F2"/>
            <w:vAlign w:val="center"/>
            <w:hideMark/>
          </w:tcPr>
          <w:p w14:paraId="53D40579"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50%</w:t>
            </w:r>
          </w:p>
        </w:tc>
        <w:tc>
          <w:tcPr>
            <w:tcW w:w="340" w:type="pct"/>
            <w:tcBorders>
              <w:top w:val="nil"/>
              <w:left w:val="nil"/>
              <w:bottom w:val="single" w:sz="4" w:space="0" w:color="auto"/>
              <w:right w:val="single" w:sz="4" w:space="0" w:color="auto"/>
            </w:tcBorders>
            <w:shd w:val="clear" w:color="auto" w:fill="auto"/>
            <w:vAlign w:val="center"/>
            <w:hideMark/>
          </w:tcPr>
          <w:p w14:paraId="07E2E3A7"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26443857"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6.071.878,00</w:t>
            </w:r>
          </w:p>
        </w:tc>
        <w:tc>
          <w:tcPr>
            <w:tcW w:w="389" w:type="pct"/>
            <w:tcBorders>
              <w:top w:val="nil"/>
              <w:left w:val="nil"/>
              <w:bottom w:val="single" w:sz="4" w:space="0" w:color="auto"/>
              <w:right w:val="single" w:sz="4" w:space="0" w:color="auto"/>
            </w:tcBorders>
            <w:shd w:val="clear" w:color="000000" w:fill="F2F2F2"/>
            <w:vAlign w:val="center"/>
            <w:hideMark/>
          </w:tcPr>
          <w:p w14:paraId="22321DB3"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6.071.878,00</w:t>
            </w:r>
          </w:p>
        </w:tc>
        <w:tc>
          <w:tcPr>
            <w:tcW w:w="340" w:type="pct"/>
            <w:tcBorders>
              <w:top w:val="nil"/>
              <w:left w:val="nil"/>
              <w:bottom w:val="single" w:sz="4" w:space="0" w:color="auto"/>
              <w:right w:val="single" w:sz="4" w:space="0" w:color="auto"/>
            </w:tcBorders>
            <w:shd w:val="clear" w:color="000000" w:fill="FFFFFF"/>
            <w:vAlign w:val="center"/>
            <w:hideMark/>
          </w:tcPr>
          <w:p w14:paraId="77AA296D"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379.308,00</w:t>
            </w:r>
          </w:p>
        </w:tc>
        <w:tc>
          <w:tcPr>
            <w:tcW w:w="388" w:type="pct"/>
            <w:tcBorders>
              <w:top w:val="nil"/>
              <w:left w:val="nil"/>
              <w:bottom w:val="single" w:sz="4" w:space="0" w:color="auto"/>
              <w:right w:val="single" w:sz="4" w:space="0" w:color="auto"/>
            </w:tcBorders>
            <w:shd w:val="clear" w:color="000000" w:fill="F2F2F2"/>
            <w:vAlign w:val="center"/>
            <w:hideMark/>
          </w:tcPr>
          <w:p w14:paraId="56042CC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379.308,00</w:t>
            </w:r>
          </w:p>
        </w:tc>
        <w:tc>
          <w:tcPr>
            <w:tcW w:w="483" w:type="pct"/>
            <w:tcBorders>
              <w:top w:val="nil"/>
              <w:left w:val="nil"/>
              <w:bottom w:val="single" w:sz="4" w:space="0" w:color="auto"/>
              <w:right w:val="single" w:sz="4" w:space="0" w:color="auto"/>
            </w:tcBorders>
            <w:shd w:val="clear" w:color="000000" w:fill="F2F2F2"/>
            <w:vAlign w:val="center"/>
            <w:hideMark/>
          </w:tcPr>
          <w:p w14:paraId="79371453"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5,88%</w:t>
            </w:r>
          </w:p>
        </w:tc>
      </w:tr>
      <w:tr w:rsidR="008B6659" w:rsidRPr="0029055C" w14:paraId="7E4BEC9A"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7C6AF3D5"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3</w:t>
            </w:r>
          </w:p>
        </w:tc>
        <w:tc>
          <w:tcPr>
            <w:tcW w:w="183" w:type="pct"/>
            <w:tcBorders>
              <w:top w:val="nil"/>
              <w:left w:val="nil"/>
              <w:bottom w:val="single" w:sz="4" w:space="0" w:color="auto"/>
              <w:right w:val="single" w:sz="4" w:space="0" w:color="auto"/>
            </w:tcBorders>
            <w:shd w:val="clear" w:color="auto" w:fill="auto"/>
            <w:vAlign w:val="center"/>
            <w:hideMark/>
          </w:tcPr>
          <w:p w14:paraId="2E1938CD"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18A4E538"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Περισσότερο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08FA5988"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976.534,00</w:t>
            </w:r>
          </w:p>
        </w:tc>
        <w:tc>
          <w:tcPr>
            <w:tcW w:w="348" w:type="pct"/>
            <w:tcBorders>
              <w:top w:val="nil"/>
              <w:left w:val="nil"/>
              <w:bottom w:val="single" w:sz="4" w:space="0" w:color="auto"/>
              <w:right w:val="single" w:sz="4" w:space="0" w:color="auto"/>
            </w:tcBorders>
            <w:shd w:val="clear" w:color="000000" w:fill="F2F2F2"/>
            <w:vAlign w:val="center"/>
            <w:hideMark/>
          </w:tcPr>
          <w:p w14:paraId="07497520"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976.534,00</w:t>
            </w:r>
          </w:p>
        </w:tc>
        <w:tc>
          <w:tcPr>
            <w:tcW w:w="325" w:type="pct"/>
            <w:tcBorders>
              <w:top w:val="nil"/>
              <w:left w:val="nil"/>
              <w:bottom w:val="single" w:sz="4" w:space="0" w:color="auto"/>
              <w:right w:val="single" w:sz="4" w:space="0" w:color="auto"/>
            </w:tcBorders>
            <w:shd w:val="clear" w:color="000000" w:fill="F2F2F2"/>
            <w:vAlign w:val="center"/>
            <w:hideMark/>
          </w:tcPr>
          <w:p w14:paraId="281F0160"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976.534,00</w:t>
            </w:r>
          </w:p>
        </w:tc>
        <w:tc>
          <w:tcPr>
            <w:tcW w:w="256" w:type="pct"/>
            <w:tcBorders>
              <w:top w:val="nil"/>
              <w:left w:val="nil"/>
              <w:bottom w:val="single" w:sz="4" w:space="0" w:color="auto"/>
              <w:right w:val="single" w:sz="4" w:space="0" w:color="auto"/>
            </w:tcBorders>
            <w:shd w:val="clear" w:color="000000" w:fill="F2F2F2"/>
            <w:vAlign w:val="center"/>
            <w:hideMark/>
          </w:tcPr>
          <w:p w14:paraId="488494EB"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2151DB6E"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1.953.068,00</w:t>
            </w:r>
          </w:p>
        </w:tc>
        <w:tc>
          <w:tcPr>
            <w:tcW w:w="292" w:type="pct"/>
            <w:tcBorders>
              <w:top w:val="nil"/>
              <w:left w:val="nil"/>
              <w:bottom w:val="single" w:sz="4" w:space="0" w:color="auto"/>
              <w:right w:val="single" w:sz="4" w:space="0" w:color="auto"/>
            </w:tcBorders>
            <w:shd w:val="clear" w:color="000000" w:fill="F2F2F2"/>
            <w:vAlign w:val="center"/>
            <w:hideMark/>
          </w:tcPr>
          <w:p w14:paraId="5C5BDF8E"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50%</w:t>
            </w:r>
          </w:p>
        </w:tc>
        <w:tc>
          <w:tcPr>
            <w:tcW w:w="340" w:type="pct"/>
            <w:tcBorders>
              <w:top w:val="nil"/>
              <w:left w:val="nil"/>
              <w:bottom w:val="single" w:sz="4" w:space="0" w:color="auto"/>
              <w:right w:val="single" w:sz="4" w:space="0" w:color="auto"/>
            </w:tcBorders>
            <w:shd w:val="clear" w:color="auto" w:fill="auto"/>
            <w:vAlign w:val="center"/>
            <w:hideMark/>
          </w:tcPr>
          <w:p w14:paraId="4B9C2732"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4098967C"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920.141,00</w:t>
            </w:r>
          </w:p>
        </w:tc>
        <w:tc>
          <w:tcPr>
            <w:tcW w:w="389" w:type="pct"/>
            <w:tcBorders>
              <w:top w:val="nil"/>
              <w:left w:val="nil"/>
              <w:bottom w:val="single" w:sz="4" w:space="0" w:color="auto"/>
              <w:right w:val="single" w:sz="4" w:space="0" w:color="auto"/>
            </w:tcBorders>
            <w:shd w:val="clear" w:color="000000" w:fill="F2F2F2"/>
            <w:vAlign w:val="center"/>
            <w:hideMark/>
          </w:tcPr>
          <w:p w14:paraId="38D1ED69"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920.141,00</w:t>
            </w:r>
          </w:p>
        </w:tc>
        <w:tc>
          <w:tcPr>
            <w:tcW w:w="340" w:type="pct"/>
            <w:tcBorders>
              <w:top w:val="nil"/>
              <w:left w:val="nil"/>
              <w:bottom w:val="single" w:sz="4" w:space="0" w:color="auto"/>
              <w:right w:val="single" w:sz="4" w:space="0" w:color="auto"/>
            </w:tcBorders>
            <w:shd w:val="clear" w:color="000000" w:fill="FFFFFF"/>
            <w:vAlign w:val="center"/>
            <w:hideMark/>
          </w:tcPr>
          <w:p w14:paraId="688DB13B"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56.393,00</w:t>
            </w:r>
          </w:p>
        </w:tc>
        <w:tc>
          <w:tcPr>
            <w:tcW w:w="388" w:type="pct"/>
            <w:tcBorders>
              <w:top w:val="nil"/>
              <w:left w:val="nil"/>
              <w:bottom w:val="single" w:sz="4" w:space="0" w:color="auto"/>
              <w:right w:val="single" w:sz="4" w:space="0" w:color="auto"/>
            </w:tcBorders>
            <w:shd w:val="clear" w:color="000000" w:fill="F2F2F2"/>
            <w:vAlign w:val="center"/>
            <w:hideMark/>
          </w:tcPr>
          <w:p w14:paraId="1ED50757"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56.393,00</w:t>
            </w:r>
          </w:p>
        </w:tc>
        <w:tc>
          <w:tcPr>
            <w:tcW w:w="483" w:type="pct"/>
            <w:tcBorders>
              <w:top w:val="nil"/>
              <w:left w:val="nil"/>
              <w:bottom w:val="single" w:sz="4" w:space="0" w:color="auto"/>
              <w:right w:val="single" w:sz="4" w:space="0" w:color="auto"/>
            </w:tcBorders>
            <w:shd w:val="clear" w:color="000000" w:fill="F2F2F2"/>
            <w:vAlign w:val="center"/>
            <w:hideMark/>
          </w:tcPr>
          <w:p w14:paraId="6D876573"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5,77%</w:t>
            </w:r>
          </w:p>
        </w:tc>
      </w:tr>
      <w:tr w:rsidR="008B6659" w:rsidRPr="0029055C" w14:paraId="0D47CAC5"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41C0CBA7"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4</w:t>
            </w:r>
          </w:p>
        </w:tc>
        <w:tc>
          <w:tcPr>
            <w:tcW w:w="183" w:type="pct"/>
            <w:tcBorders>
              <w:top w:val="nil"/>
              <w:left w:val="nil"/>
              <w:bottom w:val="single" w:sz="4" w:space="0" w:color="auto"/>
              <w:right w:val="single" w:sz="4" w:space="0" w:color="auto"/>
            </w:tcBorders>
            <w:shd w:val="clear" w:color="auto" w:fill="auto"/>
            <w:vAlign w:val="center"/>
            <w:hideMark/>
          </w:tcPr>
          <w:p w14:paraId="1C519B50"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ΕΤΠΑ</w:t>
            </w:r>
          </w:p>
        </w:tc>
        <w:tc>
          <w:tcPr>
            <w:tcW w:w="351" w:type="pct"/>
            <w:tcBorders>
              <w:top w:val="nil"/>
              <w:left w:val="nil"/>
              <w:bottom w:val="single" w:sz="4" w:space="0" w:color="auto"/>
              <w:right w:val="single" w:sz="4" w:space="0" w:color="auto"/>
            </w:tcBorders>
            <w:shd w:val="clear" w:color="auto" w:fill="auto"/>
            <w:vAlign w:val="center"/>
            <w:hideMark/>
          </w:tcPr>
          <w:p w14:paraId="01C01725"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Λιγότερο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41449A11"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151.911.654,00</w:t>
            </w:r>
          </w:p>
        </w:tc>
        <w:tc>
          <w:tcPr>
            <w:tcW w:w="348" w:type="pct"/>
            <w:tcBorders>
              <w:top w:val="nil"/>
              <w:left w:val="nil"/>
              <w:bottom w:val="single" w:sz="4" w:space="0" w:color="auto"/>
              <w:right w:val="single" w:sz="4" w:space="0" w:color="auto"/>
            </w:tcBorders>
            <w:shd w:val="clear" w:color="000000" w:fill="F2F2F2"/>
            <w:vAlign w:val="center"/>
            <w:hideMark/>
          </w:tcPr>
          <w:p w14:paraId="7FD75DC8"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37.977.914,00</w:t>
            </w:r>
          </w:p>
        </w:tc>
        <w:tc>
          <w:tcPr>
            <w:tcW w:w="325" w:type="pct"/>
            <w:tcBorders>
              <w:top w:val="nil"/>
              <w:left w:val="nil"/>
              <w:bottom w:val="single" w:sz="4" w:space="0" w:color="auto"/>
              <w:right w:val="single" w:sz="4" w:space="0" w:color="auto"/>
            </w:tcBorders>
            <w:shd w:val="clear" w:color="000000" w:fill="F2F2F2"/>
            <w:vAlign w:val="center"/>
            <w:hideMark/>
          </w:tcPr>
          <w:p w14:paraId="0435D02D"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37.977.914,00</w:t>
            </w:r>
          </w:p>
        </w:tc>
        <w:tc>
          <w:tcPr>
            <w:tcW w:w="256" w:type="pct"/>
            <w:tcBorders>
              <w:top w:val="nil"/>
              <w:left w:val="nil"/>
              <w:bottom w:val="single" w:sz="4" w:space="0" w:color="auto"/>
              <w:right w:val="single" w:sz="4" w:space="0" w:color="auto"/>
            </w:tcBorders>
            <w:shd w:val="clear" w:color="000000" w:fill="F2F2F2"/>
            <w:vAlign w:val="center"/>
            <w:hideMark/>
          </w:tcPr>
          <w:p w14:paraId="1F7FEE0B"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09DBEF78"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189.889.568,00</w:t>
            </w:r>
          </w:p>
        </w:tc>
        <w:tc>
          <w:tcPr>
            <w:tcW w:w="292" w:type="pct"/>
            <w:tcBorders>
              <w:top w:val="nil"/>
              <w:left w:val="nil"/>
              <w:bottom w:val="single" w:sz="4" w:space="0" w:color="auto"/>
              <w:right w:val="single" w:sz="4" w:space="0" w:color="auto"/>
            </w:tcBorders>
            <w:shd w:val="clear" w:color="000000" w:fill="F2F2F2"/>
            <w:vAlign w:val="center"/>
            <w:hideMark/>
          </w:tcPr>
          <w:p w14:paraId="557E8F68"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73506730"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6E93978B"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142.517.416,00</w:t>
            </w:r>
          </w:p>
        </w:tc>
        <w:tc>
          <w:tcPr>
            <w:tcW w:w="389" w:type="pct"/>
            <w:tcBorders>
              <w:top w:val="nil"/>
              <w:left w:val="nil"/>
              <w:bottom w:val="single" w:sz="4" w:space="0" w:color="auto"/>
              <w:right w:val="single" w:sz="4" w:space="0" w:color="auto"/>
            </w:tcBorders>
            <w:shd w:val="clear" w:color="000000" w:fill="F2F2F2"/>
            <w:vAlign w:val="center"/>
            <w:hideMark/>
          </w:tcPr>
          <w:p w14:paraId="2F299A1F"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35.629.354,00</w:t>
            </w:r>
          </w:p>
        </w:tc>
        <w:tc>
          <w:tcPr>
            <w:tcW w:w="340" w:type="pct"/>
            <w:tcBorders>
              <w:top w:val="nil"/>
              <w:left w:val="nil"/>
              <w:bottom w:val="single" w:sz="4" w:space="0" w:color="auto"/>
              <w:right w:val="single" w:sz="4" w:space="0" w:color="auto"/>
            </w:tcBorders>
            <w:shd w:val="clear" w:color="000000" w:fill="FFFFFF"/>
            <w:vAlign w:val="center"/>
            <w:hideMark/>
          </w:tcPr>
          <w:p w14:paraId="6A0A5D05"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9.394.238,00</w:t>
            </w:r>
          </w:p>
        </w:tc>
        <w:tc>
          <w:tcPr>
            <w:tcW w:w="388" w:type="pct"/>
            <w:tcBorders>
              <w:top w:val="nil"/>
              <w:left w:val="nil"/>
              <w:bottom w:val="single" w:sz="4" w:space="0" w:color="auto"/>
              <w:right w:val="single" w:sz="4" w:space="0" w:color="auto"/>
            </w:tcBorders>
            <w:shd w:val="clear" w:color="000000" w:fill="F2F2F2"/>
            <w:vAlign w:val="center"/>
            <w:hideMark/>
          </w:tcPr>
          <w:p w14:paraId="2A9F66C7"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2.348.560,00</w:t>
            </w:r>
          </w:p>
        </w:tc>
        <w:tc>
          <w:tcPr>
            <w:tcW w:w="483" w:type="pct"/>
            <w:tcBorders>
              <w:top w:val="nil"/>
              <w:left w:val="nil"/>
              <w:bottom w:val="single" w:sz="4" w:space="0" w:color="auto"/>
              <w:right w:val="single" w:sz="4" w:space="0" w:color="auto"/>
            </w:tcBorders>
            <w:shd w:val="clear" w:color="000000" w:fill="F2F2F2"/>
            <w:vAlign w:val="center"/>
            <w:hideMark/>
          </w:tcPr>
          <w:p w14:paraId="4036B197"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6,18%</w:t>
            </w:r>
          </w:p>
        </w:tc>
      </w:tr>
      <w:tr w:rsidR="008B6659" w:rsidRPr="0029055C" w14:paraId="47E5FF4C"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163AA409"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4</w:t>
            </w:r>
          </w:p>
        </w:tc>
        <w:tc>
          <w:tcPr>
            <w:tcW w:w="183" w:type="pct"/>
            <w:tcBorders>
              <w:top w:val="nil"/>
              <w:left w:val="nil"/>
              <w:bottom w:val="single" w:sz="4" w:space="0" w:color="auto"/>
              <w:right w:val="single" w:sz="4" w:space="0" w:color="auto"/>
            </w:tcBorders>
            <w:shd w:val="clear" w:color="auto" w:fill="auto"/>
            <w:vAlign w:val="center"/>
            <w:hideMark/>
          </w:tcPr>
          <w:p w14:paraId="62B3B726"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ΕΤΠΑ</w:t>
            </w:r>
          </w:p>
        </w:tc>
        <w:tc>
          <w:tcPr>
            <w:tcW w:w="351" w:type="pct"/>
            <w:tcBorders>
              <w:top w:val="nil"/>
              <w:left w:val="nil"/>
              <w:bottom w:val="single" w:sz="4" w:space="0" w:color="auto"/>
              <w:right w:val="single" w:sz="4" w:space="0" w:color="auto"/>
            </w:tcBorders>
            <w:shd w:val="clear" w:color="auto" w:fill="auto"/>
            <w:vAlign w:val="center"/>
            <w:hideMark/>
          </w:tcPr>
          <w:p w14:paraId="23860A64"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Περιφέρειες σε Μετάβαση</w:t>
            </w:r>
          </w:p>
        </w:tc>
        <w:tc>
          <w:tcPr>
            <w:tcW w:w="348" w:type="pct"/>
            <w:tcBorders>
              <w:top w:val="nil"/>
              <w:left w:val="nil"/>
              <w:bottom w:val="single" w:sz="4" w:space="0" w:color="auto"/>
              <w:right w:val="single" w:sz="4" w:space="0" w:color="auto"/>
            </w:tcBorders>
            <w:shd w:val="clear" w:color="000000" w:fill="FFFFFF"/>
            <w:vAlign w:val="center"/>
            <w:hideMark/>
          </w:tcPr>
          <w:p w14:paraId="68497325"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26.312.573,00</w:t>
            </w:r>
          </w:p>
        </w:tc>
        <w:tc>
          <w:tcPr>
            <w:tcW w:w="348" w:type="pct"/>
            <w:tcBorders>
              <w:top w:val="nil"/>
              <w:left w:val="nil"/>
              <w:bottom w:val="single" w:sz="4" w:space="0" w:color="auto"/>
              <w:right w:val="single" w:sz="4" w:space="0" w:color="auto"/>
            </w:tcBorders>
            <w:shd w:val="clear" w:color="000000" w:fill="F2F2F2"/>
            <w:vAlign w:val="center"/>
            <w:hideMark/>
          </w:tcPr>
          <w:p w14:paraId="64D343F5"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6.578.144,00</w:t>
            </w:r>
          </w:p>
        </w:tc>
        <w:tc>
          <w:tcPr>
            <w:tcW w:w="325" w:type="pct"/>
            <w:tcBorders>
              <w:top w:val="nil"/>
              <w:left w:val="nil"/>
              <w:bottom w:val="single" w:sz="4" w:space="0" w:color="auto"/>
              <w:right w:val="single" w:sz="4" w:space="0" w:color="auto"/>
            </w:tcBorders>
            <w:shd w:val="clear" w:color="000000" w:fill="F2F2F2"/>
            <w:vAlign w:val="center"/>
            <w:hideMark/>
          </w:tcPr>
          <w:p w14:paraId="17E2EEF7"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6.578.144,00</w:t>
            </w:r>
          </w:p>
        </w:tc>
        <w:tc>
          <w:tcPr>
            <w:tcW w:w="256" w:type="pct"/>
            <w:tcBorders>
              <w:top w:val="nil"/>
              <w:left w:val="nil"/>
              <w:bottom w:val="single" w:sz="4" w:space="0" w:color="auto"/>
              <w:right w:val="single" w:sz="4" w:space="0" w:color="auto"/>
            </w:tcBorders>
            <w:shd w:val="clear" w:color="000000" w:fill="F2F2F2"/>
            <w:vAlign w:val="center"/>
            <w:hideMark/>
          </w:tcPr>
          <w:p w14:paraId="77F62ED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3A705915"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32.890.717,00</w:t>
            </w:r>
          </w:p>
        </w:tc>
        <w:tc>
          <w:tcPr>
            <w:tcW w:w="292" w:type="pct"/>
            <w:tcBorders>
              <w:top w:val="nil"/>
              <w:left w:val="nil"/>
              <w:bottom w:val="single" w:sz="4" w:space="0" w:color="auto"/>
              <w:right w:val="single" w:sz="4" w:space="0" w:color="auto"/>
            </w:tcBorders>
            <w:shd w:val="clear" w:color="000000" w:fill="F2F2F2"/>
            <w:vAlign w:val="center"/>
            <w:hideMark/>
          </w:tcPr>
          <w:p w14:paraId="03164616"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088B6A1A"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67720C16"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24.685.398,00</w:t>
            </w:r>
          </w:p>
        </w:tc>
        <w:tc>
          <w:tcPr>
            <w:tcW w:w="389" w:type="pct"/>
            <w:tcBorders>
              <w:top w:val="nil"/>
              <w:left w:val="nil"/>
              <w:bottom w:val="single" w:sz="4" w:space="0" w:color="auto"/>
              <w:right w:val="single" w:sz="4" w:space="0" w:color="auto"/>
            </w:tcBorders>
            <w:shd w:val="clear" w:color="000000" w:fill="F2F2F2"/>
            <w:vAlign w:val="center"/>
            <w:hideMark/>
          </w:tcPr>
          <w:p w14:paraId="1D469202"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6.171.350,00</w:t>
            </w:r>
          </w:p>
        </w:tc>
        <w:tc>
          <w:tcPr>
            <w:tcW w:w="340" w:type="pct"/>
            <w:tcBorders>
              <w:top w:val="nil"/>
              <w:left w:val="nil"/>
              <w:bottom w:val="single" w:sz="4" w:space="0" w:color="auto"/>
              <w:right w:val="single" w:sz="4" w:space="0" w:color="auto"/>
            </w:tcBorders>
            <w:shd w:val="clear" w:color="000000" w:fill="FFFFFF"/>
            <w:vAlign w:val="center"/>
            <w:hideMark/>
          </w:tcPr>
          <w:p w14:paraId="375C221B"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1.627.175,00</w:t>
            </w:r>
          </w:p>
        </w:tc>
        <w:tc>
          <w:tcPr>
            <w:tcW w:w="388" w:type="pct"/>
            <w:tcBorders>
              <w:top w:val="nil"/>
              <w:left w:val="nil"/>
              <w:bottom w:val="single" w:sz="4" w:space="0" w:color="auto"/>
              <w:right w:val="single" w:sz="4" w:space="0" w:color="auto"/>
            </w:tcBorders>
            <w:shd w:val="clear" w:color="000000" w:fill="F2F2F2"/>
            <w:vAlign w:val="center"/>
            <w:hideMark/>
          </w:tcPr>
          <w:p w14:paraId="6495354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406.794,00</w:t>
            </w:r>
          </w:p>
        </w:tc>
        <w:tc>
          <w:tcPr>
            <w:tcW w:w="483" w:type="pct"/>
            <w:tcBorders>
              <w:top w:val="nil"/>
              <w:left w:val="nil"/>
              <w:bottom w:val="single" w:sz="4" w:space="0" w:color="auto"/>
              <w:right w:val="single" w:sz="4" w:space="0" w:color="auto"/>
            </w:tcBorders>
            <w:shd w:val="clear" w:color="000000" w:fill="F2F2F2"/>
            <w:vAlign w:val="center"/>
            <w:hideMark/>
          </w:tcPr>
          <w:p w14:paraId="4B2AE6D3"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6,18%</w:t>
            </w:r>
          </w:p>
        </w:tc>
      </w:tr>
      <w:tr w:rsidR="008B6659" w:rsidRPr="0029055C" w14:paraId="51CF9F63"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5D7FEDDC"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4</w:t>
            </w:r>
          </w:p>
        </w:tc>
        <w:tc>
          <w:tcPr>
            <w:tcW w:w="183" w:type="pct"/>
            <w:tcBorders>
              <w:top w:val="nil"/>
              <w:left w:val="nil"/>
              <w:bottom w:val="single" w:sz="4" w:space="0" w:color="auto"/>
              <w:right w:val="single" w:sz="4" w:space="0" w:color="auto"/>
            </w:tcBorders>
            <w:shd w:val="clear" w:color="auto" w:fill="auto"/>
            <w:vAlign w:val="center"/>
            <w:hideMark/>
          </w:tcPr>
          <w:p w14:paraId="0FD4F64E"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ΕΤΠΑ</w:t>
            </w:r>
          </w:p>
        </w:tc>
        <w:tc>
          <w:tcPr>
            <w:tcW w:w="351" w:type="pct"/>
            <w:tcBorders>
              <w:top w:val="nil"/>
              <w:left w:val="nil"/>
              <w:bottom w:val="single" w:sz="4" w:space="0" w:color="auto"/>
              <w:right w:val="single" w:sz="4" w:space="0" w:color="auto"/>
            </w:tcBorders>
            <w:shd w:val="clear" w:color="auto" w:fill="auto"/>
            <w:vAlign w:val="center"/>
            <w:hideMark/>
          </w:tcPr>
          <w:p w14:paraId="77F9B898"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Περισσότερο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422B8A24"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46.131.778,00</w:t>
            </w:r>
          </w:p>
        </w:tc>
        <w:tc>
          <w:tcPr>
            <w:tcW w:w="348" w:type="pct"/>
            <w:tcBorders>
              <w:top w:val="nil"/>
              <w:left w:val="nil"/>
              <w:bottom w:val="single" w:sz="4" w:space="0" w:color="auto"/>
              <w:right w:val="single" w:sz="4" w:space="0" w:color="auto"/>
            </w:tcBorders>
            <w:shd w:val="clear" w:color="000000" w:fill="F2F2F2"/>
            <w:vAlign w:val="center"/>
            <w:hideMark/>
          </w:tcPr>
          <w:p w14:paraId="1B5F68B6"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11.532.945,00</w:t>
            </w:r>
          </w:p>
        </w:tc>
        <w:tc>
          <w:tcPr>
            <w:tcW w:w="325" w:type="pct"/>
            <w:tcBorders>
              <w:top w:val="nil"/>
              <w:left w:val="nil"/>
              <w:bottom w:val="single" w:sz="4" w:space="0" w:color="auto"/>
              <w:right w:val="single" w:sz="4" w:space="0" w:color="auto"/>
            </w:tcBorders>
            <w:shd w:val="clear" w:color="000000" w:fill="F2F2F2"/>
            <w:vAlign w:val="center"/>
            <w:hideMark/>
          </w:tcPr>
          <w:p w14:paraId="3640DB98"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11.532.945,00</w:t>
            </w:r>
          </w:p>
        </w:tc>
        <w:tc>
          <w:tcPr>
            <w:tcW w:w="256" w:type="pct"/>
            <w:tcBorders>
              <w:top w:val="nil"/>
              <w:left w:val="nil"/>
              <w:bottom w:val="single" w:sz="4" w:space="0" w:color="auto"/>
              <w:right w:val="single" w:sz="4" w:space="0" w:color="auto"/>
            </w:tcBorders>
            <w:shd w:val="clear" w:color="000000" w:fill="F2F2F2"/>
            <w:vAlign w:val="center"/>
            <w:hideMark/>
          </w:tcPr>
          <w:p w14:paraId="71352903"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1F734D48"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57.664.723,00</w:t>
            </w:r>
          </w:p>
        </w:tc>
        <w:tc>
          <w:tcPr>
            <w:tcW w:w="292" w:type="pct"/>
            <w:tcBorders>
              <w:top w:val="nil"/>
              <w:left w:val="nil"/>
              <w:bottom w:val="single" w:sz="4" w:space="0" w:color="auto"/>
              <w:right w:val="single" w:sz="4" w:space="0" w:color="auto"/>
            </w:tcBorders>
            <w:shd w:val="clear" w:color="000000" w:fill="F2F2F2"/>
            <w:vAlign w:val="center"/>
            <w:hideMark/>
          </w:tcPr>
          <w:p w14:paraId="256879EE"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341A70D6"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75677F41"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43.278.974,00</w:t>
            </w:r>
          </w:p>
        </w:tc>
        <w:tc>
          <w:tcPr>
            <w:tcW w:w="389" w:type="pct"/>
            <w:tcBorders>
              <w:top w:val="nil"/>
              <w:left w:val="nil"/>
              <w:bottom w:val="single" w:sz="4" w:space="0" w:color="auto"/>
              <w:right w:val="single" w:sz="4" w:space="0" w:color="auto"/>
            </w:tcBorders>
            <w:shd w:val="clear" w:color="000000" w:fill="F2F2F2"/>
            <w:vAlign w:val="center"/>
            <w:hideMark/>
          </w:tcPr>
          <w:p w14:paraId="1E89E5B0"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10.819.744,00</w:t>
            </w:r>
          </w:p>
        </w:tc>
        <w:tc>
          <w:tcPr>
            <w:tcW w:w="340" w:type="pct"/>
            <w:tcBorders>
              <w:top w:val="nil"/>
              <w:left w:val="nil"/>
              <w:bottom w:val="single" w:sz="4" w:space="0" w:color="auto"/>
              <w:right w:val="single" w:sz="4" w:space="0" w:color="auto"/>
            </w:tcBorders>
            <w:shd w:val="clear" w:color="000000" w:fill="FFFFFF"/>
            <w:vAlign w:val="center"/>
            <w:hideMark/>
          </w:tcPr>
          <w:p w14:paraId="2B3D5B31"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2.852.804,00</w:t>
            </w:r>
          </w:p>
        </w:tc>
        <w:tc>
          <w:tcPr>
            <w:tcW w:w="388" w:type="pct"/>
            <w:tcBorders>
              <w:top w:val="nil"/>
              <w:left w:val="nil"/>
              <w:bottom w:val="single" w:sz="4" w:space="0" w:color="auto"/>
              <w:right w:val="single" w:sz="4" w:space="0" w:color="auto"/>
            </w:tcBorders>
            <w:shd w:val="clear" w:color="000000" w:fill="F2F2F2"/>
            <w:vAlign w:val="center"/>
            <w:hideMark/>
          </w:tcPr>
          <w:p w14:paraId="6BE040DD"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713.201,00</w:t>
            </w:r>
          </w:p>
        </w:tc>
        <w:tc>
          <w:tcPr>
            <w:tcW w:w="483" w:type="pct"/>
            <w:tcBorders>
              <w:top w:val="nil"/>
              <w:left w:val="nil"/>
              <w:bottom w:val="single" w:sz="4" w:space="0" w:color="auto"/>
              <w:right w:val="single" w:sz="4" w:space="0" w:color="auto"/>
            </w:tcBorders>
            <w:shd w:val="clear" w:color="000000" w:fill="F2F2F2"/>
            <w:vAlign w:val="center"/>
            <w:hideMark/>
          </w:tcPr>
          <w:p w14:paraId="152544DD"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6,18%</w:t>
            </w:r>
          </w:p>
        </w:tc>
      </w:tr>
      <w:tr w:rsidR="008B6659" w:rsidRPr="0029055C" w14:paraId="3D59B8C8"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25226F49"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5</w:t>
            </w:r>
          </w:p>
        </w:tc>
        <w:tc>
          <w:tcPr>
            <w:tcW w:w="183" w:type="pct"/>
            <w:tcBorders>
              <w:top w:val="nil"/>
              <w:left w:val="nil"/>
              <w:bottom w:val="single" w:sz="4" w:space="0" w:color="auto"/>
              <w:right w:val="single" w:sz="4" w:space="0" w:color="auto"/>
            </w:tcBorders>
            <w:shd w:val="clear" w:color="auto" w:fill="auto"/>
            <w:vAlign w:val="center"/>
            <w:hideMark/>
          </w:tcPr>
          <w:p w14:paraId="35140096"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ΕΤΠΑ</w:t>
            </w:r>
          </w:p>
        </w:tc>
        <w:tc>
          <w:tcPr>
            <w:tcW w:w="351" w:type="pct"/>
            <w:tcBorders>
              <w:top w:val="nil"/>
              <w:left w:val="nil"/>
              <w:bottom w:val="single" w:sz="4" w:space="0" w:color="auto"/>
              <w:right w:val="single" w:sz="4" w:space="0" w:color="auto"/>
            </w:tcBorders>
            <w:shd w:val="clear" w:color="auto" w:fill="auto"/>
            <w:vAlign w:val="center"/>
            <w:hideMark/>
          </w:tcPr>
          <w:p w14:paraId="5B6755C1"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Περιφέρειες σε Μετάβαση</w:t>
            </w:r>
          </w:p>
        </w:tc>
        <w:tc>
          <w:tcPr>
            <w:tcW w:w="348" w:type="pct"/>
            <w:tcBorders>
              <w:top w:val="nil"/>
              <w:left w:val="nil"/>
              <w:bottom w:val="single" w:sz="4" w:space="0" w:color="auto"/>
              <w:right w:val="single" w:sz="4" w:space="0" w:color="auto"/>
            </w:tcBorders>
            <w:shd w:val="clear" w:color="000000" w:fill="FFFFFF"/>
            <w:vAlign w:val="center"/>
            <w:hideMark/>
          </w:tcPr>
          <w:p w14:paraId="2651B018"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7.613.111,00</w:t>
            </w:r>
          </w:p>
        </w:tc>
        <w:tc>
          <w:tcPr>
            <w:tcW w:w="348" w:type="pct"/>
            <w:tcBorders>
              <w:top w:val="nil"/>
              <w:left w:val="nil"/>
              <w:bottom w:val="single" w:sz="4" w:space="0" w:color="auto"/>
              <w:right w:val="single" w:sz="4" w:space="0" w:color="auto"/>
            </w:tcBorders>
            <w:shd w:val="clear" w:color="000000" w:fill="F2F2F2"/>
            <w:vAlign w:val="center"/>
            <w:hideMark/>
          </w:tcPr>
          <w:p w14:paraId="26DD6089"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7.613.111,00</w:t>
            </w:r>
          </w:p>
        </w:tc>
        <w:tc>
          <w:tcPr>
            <w:tcW w:w="325" w:type="pct"/>
            <w:tcBorders>
              <w:top w:val="nil"/>
              <w:left w:val="nil"/>
              <w:bottom w:val="single" w:sz="4" w:space="0" w:color="auto"/>
              <w:right w:val="single" w:sz="4" w:space="0" w:color="auto"/>
            </w:tcBorders>
            <w:shd w:val="clear" w:color="000000" w:fill="F2F2F2"/>
            <w:vAlign w:val="center"/>
            <w:hideMark/>
          </w:tcPr>
          <w:p w14:paraId="15CD3D1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7.613.111,00</w:t>
            </w:r>
          </w:p>
        </w:tc>
        <w:tc>
          <w:tcPr>
            <w:tcW w:w="256" w:type="pct"/>
            <w:tcBorders>
              <w:top w:val="nil"/>
              <w:left w:val="nil"/>
              <w:bottom w:val="single" w:sz="4" w:space="0" w:color="auto"/>
              <w:right w:val="single" w:sz="4" w:space="0" w:color="auto"/>
            </w:tcBorders>
            <w:shd w:val="clear" w:color="000000" w:fill="F2F2F2"/>
            <w:vAlign w:val="center"/>
            <w:hideMark/>
          </w:tcPr>
          <w:p w14:paraId="7DAE571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24506AEC"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15.226.222,00</w:t>
            </w:r>
          </w:p>
        </w:tc>
        <w:tc>
          <w:tcPr>
            <w:tcW w:w="292" w:type="pct"/>
            <w:tcBorders>
              <w:top w:val="nil"/>
              <w:left w:val="nil"/>
              <w:bottom w:val="single" w:sz="4" w:space="0" w:color="auto"/>
              <w:right w:val="single" w:sz="4" w:space="0" w:color="auto"/>
            </w:tcBorders>
            <w:shd w:val="clear" w:color="000000" w:fill="F2F2F2"/>
            <w:vAlign w:val="center"/>
            <w:hideMark/>
          </w:tcPr>
          <w:p w14:paraId="3C22978E"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50%</w:t>
            </w:r>
          </w:p>
        </w:tc>
        <w:tc>
          <w:tcPr>
            <w:tcW w:w="340" w:type="pct"/>
            <w:tcBorders>
              <w:top w:val="nil"/>
              <w:left w:val="nil"/>
              <w:bottom w:val="single" w:sz="4" w:space="0" w:color="auto"/>
              <w:right w:val="single" w:sz="4" w:space="0" w:color="auto"/>
            </w:tcBorders>
            <w:shd w:val="clear" w:color="auto" w:fill="auto"/>
            <w:vAlign w:val="center"/>
            <w:hideMark/>
          </w:tcPr>
          <w:p w14:paraId="161D08CA"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72E6FDE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7.142.312,00</w:t>
            </w:r>
          </w:p>
        </w:tc>
        <w:tc>
          <w:tcPr>
            <w:tcW w:w="389" w:type="pct"/>
            <w:tcBorders>
              <w:top w:val="nil"/>
              <w:left w:val="nil"/>
              <w:bottom w:val="single" w:sz="4" w:space="0" w:color="auto"/>
              <w:right w:val="single" w:sz="4" w:space="0" w:color="auto"/>
            </w:tcBorders>
            <w:shd w:val="clear" w:color="000000" w:fill="F2F2F2"/>
            <w:vAlign w:val="center"/>
            <w:hideMark/>
          </w:tcPr>
          <w:p w14:paraId="22A8776B"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7.142.312,00</w:t>
            </w:r>
          </w:p>
        </w:tc>
        <w:tc>
          <w:tcPr>
            <w:tcW w:w="340" w:type="pct"/>
            <w:tcBorders>
              <w:top w:val="nil"/>
              <w:left w:val="nil"/>
              <w:bottom w:val="single" w:sz="4" w:space="0" w:color="auto"/>
              <w:right w:val="single" w:sz="4" w:space="0" w:color="auto"/>
            </w:tcBorders>
            <w:shd w:val="clear" w:color="000000" w:fill="FFFFFF"/>
            <w:vAlign w:val="center"/>
            <w:hideMark/>
          </w:tcPr>
          <w:p w14:paraId="33FA0356"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470.799,00</w:t>
            </w:r>
          </w:p>
        </w:tc>
        <w:tc>
          <w:tcPr>
            <w:tcW w:w="388" w:type="pct"/>
            <w:tcBorders>
              <w:top w:val="nil"/>
              <w:left w:val="nil"/>
              <w:bottom w:val="single" w:sz="4" w:space="0" w:color="auto"/>
              <w:right w:val="single" w:sz="4" w:space="0" w:color="auto"/>
            </w:tcBorders>
            <w:shd w:val="clear" w:color="000000" w:fill="F2F2F2"/>
            <w:vAlign w:val="center"/>
            <w:hideMark/>
          </w:tcPr>
          <w:p w14:paraId="195ECE50"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470.799,00</w:t>
            </w:r>
          </w:p>
        </w:tc>
        <w:tc>
          <w:tcPr>
            <w:tcW w:w="483" w:type="pct"/>
            <w:tcBorders>
              <w:top w:val="nil"/>
              <w:left w:val="nil"/>
              <w:bottom w:val="single" w:sz="4" w:space="0" w:color="auto"/>
              <w:right w:val="single" w:sz="4" w:space="0" w:color="auto"/>
            </w:tcBorders>
            <w:shd w:val="clear" w:color="000000" w:fill="F2F2F2"/>
            <w:vAlign w:val="center"/>
            <w:hideMark/>
          </w:tcPr>
          <w:p w14:paraId="651DA542"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6,18%</w:t>
            </w:r>
          </w:p>
        </w:tc>
      </w:tr>
      <w:tr w:rsidR="008B6659" w:rsidRPr="0029055C" w14:paraId="6B329522"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3612A866"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6</w:t>
            </w:r>
          </w:p>
        </w:tc>
        <w:tc>
          <w:tcPr>
            <w:tcW w:w="183" w:type="pct"/>
            <w:tcBorders>
              <w:top w:val="nil"/>
              <w:left w:val="nil"/>
              <w:bottom w:val="single" w:sz="4" w:space="0" w:color="auto"/>
              <w:right w:val="single" w:sz="4" w:space="0" w:color="auto"/>
            </w:tcBorders>
            <w:shd w:val="clear" w:color="auto" w:fill="auto"/>
            <w:vAlign w:val="center"/>
            <w:hideMark/>
          </w:tcPr>
          <w:p w14:paraId="04D31F6F"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ΕΤΠΑ</w:t>
            </w:r>
          </w:p>
        </w:tc>
        <w:tc>
          <w:tcPr>
            <w:tcW w:w="351" w:type="pct"/>
            <w:tcBorders>
              <w:top w:val="nil"/>
              <w:left w:val="nil"/>
              <w:bottom w:val="single" w:sz="4" w:space="0" w:color="auto"/>
              <w:right w:val="single" w:sz="4" w:space="0" w:color="auto"/>
            </w:tcBorders>
            <w:shd w:val="clear" w:color="auto" w:fill="auto"/>
            <w:vAlign w:val="center"/>
            <w:hideMark/>
          </w:tcPr>
          <w:p w14:paraId="326998A7"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Περισσότερο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18120268"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3.732.996,00</w:t>
            </w:r>
          </w:p>
        </w:tc>
        <w:tc>
          <w:tcPr>
            <w:tcW w:w="348" w:type="pct"/>
            <w:tcBorders>
              <w:top w:val="nil"/>
              <w:left w:val="nil"/>
              <w:bottom w:val="single" w:sz="4" w:space="0" w:color="auto"/>
              <w:right w:val="single" w:sz="4" w:space="0" w:color="auto"/>
            </w:tcBorders>
            <w:shd w:val="clear" w:color="000000" w:fill="F2F2F2"/>
            <w:vAlign w:val="center"/>
            <w:hideMark/>
          </w:tcPr>
          <w:p w14:paraId="05F30B0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3.732.996,00</w:t>
            </w:r>
          </w:p>
        </w:tc>
        <w:tc>
          <w:tcPr>
            <w:tcW w:w="325" w:type="pct"/>
            <w:tcBorders>
              <w:top w:val="nil"/>
              <w:left w:val="nil"/>
              <w:bottom w:val="single" w:sz="4" w:space="0" w:color="auto"/>
              <w:right w:val="single" w:sz="4" w:space="0" w:color="auto"/>
            </w:tcBorders>
            <w:shd w:val="clear" w:color="000000" w:fill="F2F2F2"/>
            <w:vAlign w:val="center"/>
            <w:hideMark/>
          </w:tcPr>
          <w:p w14:paraId="57FBBF33"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3.732.996,00</w:t>
            </w:r>
          </w:p>
        </w:tc>
        <w:tc>
          <w:tcPr>
            <w:tcW w:w="256" w:type="pct"/>
            <w:tcBorders>
              <w:top w:val="nil"/>
              <w:left w:val="nil"/>
              <w:bottom w:val="single" w:sz="4" w:space="0" w:color="auto"/>
              <w:right w:val="single" w:sz="4" w:space="0" w:color="auto"/>
            </w:tcBorders>
            <w:shd w:val="clear" w:color="000000" w:fill="F2F2F2"/>
            <w:vAlign w:val="center"/>
            <w:hideMark/>
          </w:tcPr>
          <w:p w14:paraId="6FE2DA52"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6CDE70F9"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7.465.992,00</w:t>
            </w:r>
          </w:p>
        </w:tc>
        <w:tc>
          <w:tcPr>
            <w:tcW w:w="292" w:type="pct"/>
            <w:tcBorders>
              <w:top w:val="nil"/>
              <w:left w:val="nil"/>
              <w:bottom w:val="single" w:sz="4" w:space="0" w:color="auto"/>
              <w:right w:val="single" w:sz="4" w:space="0" w:color="auto"/>
            </w:tcBorders>
            <w:shd w:val="clear" w:color="000000" w:fill="F2F2F2"/>
            <w:vAlign w:val="center"/>
            <w:hideMark/>
          </w:tcPr>
          <w:p w14:paraId="2CA103F5"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50%</w:t>
            </w:r>
          </w:p>
        </w:tc>
        <w:tc>
          <w:tcPr>
            <w:tcW w:w="340" w:type="pct"/>
            <w:tcBorders>
              <w:top w:val="nil"/>
              <w:left w:val="nil"/>
              <w:bottom w:val="single" w:sz="4" w:space="0" w:color="auto"/>
              <w:right w:val="single" w:sz="4" w:space="0" w:color="auto"/>
            </w:tcBorders>
            <w:shd w:val="clear" w:color="auto" w:fill="auto"/>
            <w:vAlign w:val="center"/>
            <w:hideMark/>
          </w:tcPr>
          <w:p w14:paraId="38219F74"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7CEEE99F"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3.502.144,00</w:t>
            </w:r>
          </w:p>
        </w:tc>
        <w:tc>
          <w:tcPr>
            <w:tcW w:w="389" w:type="pct"/>
            <w:tcBorders>
              <w:top w:val="nil"/>
              <w:left w:val="nil"/>
              <w:bottom w:val="single" w:sz="4" w:space="0" w:color="auto"/>
              <w:right w:val="single" w:sz="4" w:space="0" w:color="auto"/>
            </w:tcBorders>
            <w:shd w:val="clear" w:color="000000" w:fill="F2F2F2"/>
            <w:vAlign w:val="center"/>
            <w:hideMark/>
          </w:tcPr>
          <w:p w14:paraId="748579B6"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3.502.144,00</w:t>
            </w:r>
          </w:p>
        </w:tc>
        <w:tc>
          <w:tcPr>
            <w:tcW w:w="340" w:type="pct"/>
            <w:tcBorders>
              <w:top w:val="nil"/>
              <w:left w:val="nil"/>
              <w:bottom w:val="single" w:sz="4" w:space="0" w:color="auto"/>
              <w:right w:val="single" w:sz="4" w:space="0" w:color="auto"/>
            </w:tcBorders>
            <w:shd w:val="clear" w:color="000000" w:fill="FFFFFF"/>
            <w:vAlign w:val="center"/>
            <w:hideMark/>
          </w:tcPr>
          <w:p w14:paraId="3F9B2C2F"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230.852,00</w:t>
            </w:r>
          </w:p>
        </w:tc>
        <w:tc>
          <w:tcPr>
            <w:tcW w:w="388" w:type="pct"/>
            <w:tcBorders>
              <w:top w:val="nil"/>
              <w:left w:val="nil"/>
              <w:bottom w:val="single" w:sz="4" w:space="0" w:color="auto"/>
              <w:right w:val="single" w:sz="4" w:space="0" w:color="auto"/>
            </w:tcBorders>
            <w:shd w:val="clear" w:color="000000" w:fill="F2F2F2"/>
            <w:vAlign w:val="center"/>
            <w:hideMark/>
          </w:tcPr>
          <w:p w14:paraId="3EFAE4A9"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230.852,00</w:t>
            </w:r>
          </w:p>
        </w:tc>
        <w:tc>
          <w:tcPr>
            <w:tcW w:w="483" w:type="pct"/>
            <w:tcBorders>
              <w:top w:val="nil"/>
              <w:left w:val="nil"/>
              <w:bottom w:val="single" w:sz="4" w:space="0" w:color="auto"/>
              <w:right w:val="single" w:sz="4" w:space="0" w:color="auto"/>
            </w:tcBorders>
            <w:shd w:val="clear" w:color="000000" w:fill="F2F2F2"/>
            <w:vAlign w:val="center"/>
            <w:hideMark/>
          </w:tcPr>
          <w:p w14:paraId="3A22FC37"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6,18%</w:t>
            </w:r>
          </w:p>
        </w:tc>
      </w:tr>
      <w:tr w:rsidR="008B6659" w:rsidRPr="0029055C" w14:paraId="02120AD2"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0E901A50"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7</w:t>
            </w:r>
          </w:p>
        </w:tc>
        <w:tc>
          <w:tcPr>
            <w:tcW w:w="183" w:type="pct"/>
            <w:tcBorders>
              <w:top w:val="nil"/>
              <w:left w:val="nil"/>
              <w:bottom w:val="single" w:sz="4" w:space="0" w:color="auto"/>
              <w:right w:val="single" w:sz="4" w:space="0" w:color="auto"/>
            </w:tcBorders>
            <w:shd w:val="clear" w:color="auto" w:fill="auto"/>
            <w:vAlign w:val="center"/>
            <w:hideMark/>
          </w:tcPr>
          <w:p w14:paraId="494E2456"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55D4D6B3"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Λιγότερο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613D7A99"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63.935.841,00</w:t>
            </w:r>
          </w:p>
        </w:tc>
        <w:tc>
          <w:tcPr>
            <w:tcW w:w="348" w:type="pct"/>
            <w:tcBorders>
              <w:top w:val="nil"/>
              <w:left w:val="nil"/>
              <w:bottom w:val="single" w:sz="4" w:space="0" w:color="auto"/>
              <w:right w:val="single" w:sz="4" w:space="0" w:color="auto"/>
            </w:tcBorders>
            <w:shd w:val="clear" w:color="000000" w:fill="F2F2F2"/>
            <w:vAlign w:val="center"/>
            <w:hideMark/>
          </w:tcPr>
          <w:p w14:paraId="0E953D2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15.983.961,00</w:t>
            </w:r>
          </w:p>
        </w:tc>
        <w:tc>
          <w:tcPr>
            <w:tcW w:w="325" w:type="pct"/>
            <w:tcBorders>
              <w:top w:val="nil"/>
              <w:left w:val="nil"/>
              <w:bottom w:val="single" w:sz="4" w:space="0" w:color="auto"/>
              <w:right w:val="single" w:sz="4" w:space="0" w:color="auto"/>
            </w:tcBorders>
            <w:shd w:val="clear" w:color="000000" w:fill="F2F2F2"/>
            <w:vAlign w:val="center"/>
            <w:hideMark/>
          </w:tcPr>
          <w:p w14:paraId="0E583839"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15.983.961,00</w:t>
            </w:r>
          </w:p>
        </w:tc>
        <w:tc>
          <w:tcPr>
            <w:tcW w:w="256" w:type="pct"/>
            <w:tcBorders>
              <w:top w:val="nil"/>
              <w:left w:val="nil"/>
              <w:bottom w:val="single" w:sz="4" w:space="0" w:color="auto"/>
              <w:right w:val="single" w:sz="4" w:space="0" w:color="auto"/>
            </w:tcBorders>
            <w:shd w:val="clear" w:color="000000" w:fill="F2F2F2"/>
            <w:vAlign w:val="center"/>
            <w:hideMark/>
          </w:tcPr>
          <w:p w14:paraId="69718C84"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44288B6E"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79.919.802,00</w:t>
            </w:r>
          </w:p>
        </w:tc>
        <w:tc>
          <w:tcPr>
            <w:tcW w:w="292" w:type="pct"/>
            <w:tcBorders>
              <w:top w:val="nil"/>
              <w:left w:val="nil"/>
              <w:bottom w:val="single" w:sz="4" w:space="0" w:color="auto"/>
              <w:right w:val="single" w:sz="4" w:space="0" w:color="auto"/>
            </w:tcBorders>
            <w:shd w:val="clear" w:color="000000" w:fill="F2F2F2"/>
            <w:vAlign w:val="center"/>
            <w:hideMark/>
          </w:tcPr>
          <w:p w14:paraId="6279CEE1"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7602785C"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57D04D78"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59.504.289,00</w:t>
            </w:r>
          </w:p>
        </w:tc>
        <w:tc>
          <w:tcPr>
            <w:tcW w:w="389" w:type="pct"/>
            <w:tcBorders>
              <w:top w:val="nil"/>
              <w:left w:val="nil"/>
              <w:bottom w:val="single" w:sz="4" w:space="0" w:color="auto"/>
              <w:right w:val="single" w:sz="4" w:space="0" w:color="auto"/>
            </w:tcBorders>
            <w:shd w:val="clear" w:color="000000" w:fill="F2F2F2"/>
            <w:vAlign w:val="center"/>
            <w:hideMark/>
          </w:tcPr>
          <w:p w14:paraId="6D38CBBC"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14.876.073,00</w:t>
            </w:r>
          </w:p>
        </w:tc>
        <w:tc>
          <w:tcPr>
            <w:tcW w:w="340" w:type="pct"/>
            <w:tcBorders>
              <w:top w:val="nil"/>
              <w:left w:val="nil"/>
              <w:bottom w:val="single" w:sz="4" w:space="0" w:color="auto"/>
              <w:right w:val="single" w:sz="4" w:space="0" w:color="auto"/>
            </w:tcBorders>
            <w:shd w:val="clear" w:color="000000" w:fill="FFFFFF"/>
            <w:vAlign w:val="center"/>
            <w:hideMark/>
          </w:tcPr>
          <w:p w14:paraId="36ECCEA7"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4.431.552,00</w:t>
            </w:r>
          </w:p>
        </w:tc>
        <w:tc>
          <w:tcPr>
            <w:tcW w:w="388" w:type="pct"/>
            <w:tcBorders>
              <w:top w:val="nil"/>
              <w:left w:val="nil"/>
              <w:bottom w:val="single" w:sz="4" w:space="0" w:color="auto"/>
              <w:right w:val="single" w:sz="4" w:space="0" w:color="auto"/>
            </w:tcBorders>
            <w:shd w:val="clear" w:color="000000" w:fill="F2F2F2"/>
            <w:vAlign w:val="center"/>
            <w:hideMark/>
          </w:tcPr>
          <w:p w14:paraId="35C0B11D"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1.107.888,00</w:t>
            </w:r>
          </w:p>
        </w:tc>
        <w:tc>
          <w:tcPr>
            <w:tcW w:w="483" w:type="pct"/>
            <w:tcBorders>
              <w:top w:val="nil"/>
              <w:left w:val="nil"/>
              <w:bottom w:val="single" w:sz="4" w:space="0" w:color="auto"/>
              <w:right w:val="single" w:sz="4" w:space="0" w:color="auto"/>
            </w:tcBorders>
            <w:shd w:val="clear" w:color="000000" w:fill="F2F2F2"/>
            <w:vAlign w:val="center"/>
            <w:hideMark/>
          </w:tcPr>
          <w:p w14:paraId="3C577436"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6,93%</w:t>
            </w:r>
          </w:p>
        </w:tc>
      </w:tr>
      <w:tr w:rsidR="008B6659" w:rsidRPr="0029055C" w14:paraId="59AA9722"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0935CD8B"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7</w:t>
            </w:r>
          </w:p>
        </w:tc>
        <w:tc>
          <w:tcPr>
            <w:tcW w:w="183" w:type="pct"/>
            <w:tcBorders>
              <w:top w:val="nil"/>
              <w:left w:val="nil"/>
              <w:bottom w:val="single" w:sz="4" w:space="0" w:color="auto"/>
              <w:right w:val="single" w:sz="4" w:space="0" w:color="auto"/>
            </w:tcBorders>
            <w:shd w:val="clear" w:color="auto" w:fill="auto"/>
            <w:vAlign w:val="center"/>
            <w:hideMark/>
          </w:tcPr>
          <w:p w14:paraId="701B0A43"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5865A916"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Περιφέρειες σε Μετάβαση</w:t>
            </w:r>
          </w:p>
        </w:tc>
        <w:tc>
          <w:tcPr>
            <w:tcW w:w="348" w:type="pct"/>
            <w:tcBorders>
              <w:top w:val="nil"/>
              <w:left w:val="nil"/>
              <w:bottom w:val="single" w:sz="4" w:space="0" w:color="auto"/>
              <w:right w:val="single" w:sz="4" w:space="0" w:color="auto"/>
            </w:tcBorders>
            <w:shd w:val="clear" w:color="000000" w:fill="FFFFFF"/>
            <w:vAlign w:val="center"/>
            <w:hideMark/>
          </w:tcPr>
          <w:p w14:paraId="4F148C2E"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15.244.016,00</w:t>
            </w:r>
          </w:p>
        </w:tc>
        <w:tc>
          <w:tcPr>
            <w:tcW w:w="348" w:type="pct"/>
            <w:tcBorders>
              <w:top w:val="nil"/>
              <w:left w:val="nil"/>
              <w:bottom w:val="single" w:sz="4" w:space="0" w:color="auto"/>
              <w:right w:val="single" w:sz="4" w:space="0" w:color="auto"/>
            </w:tcBorders>
            <w:shd w:val="clear" w:color="000000" w:fill="F2F2F2"/>
            <w:vAlign w:val="center"/>
            <w:hideMark/>
          </w:tcPr>
          <w:p w14:paraId="62529CB9"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3.811.004,00</w:t>
            </w:r>
          </w:p>
        </w:tc>
        <w:tc>
          <w:tcPr>
            <w:tcW w:w="325" w:type="pct"/>
            <w:tcBorders>
              <w:top w:val="nil"/>
              <w:left w:val="nil"/>
              <w:bottom w:val="single" w:sz="4" w:space="0" w:color="auto"/>
              <w:right w:val="single" w:sz="4" w:space="0" w:color="auto"/>
            </w:tcBorders>
            <w:shd w:val="clear" w:color="000000" w:fill="F2F2F2"/>
            <w:vAlign w:val="center"/>
            <w:hideMark/>
          </w:tcPr>
          <w:p w14:paraId="16534126"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3.811.004,00</w:t>
            </w:r>
          </w:p>
        </w:tc>
        <w:tc>
          <w:tcPr>
            <w:tcW w:w="256" w:type="pct"/>
            <w:tcBorders>
              <w:top w:val="nil"/>
              <w:left w:val="nil"/>
              <w:bottom w:val="single" w:sz="4" w:space="0" w:color="auto"/>
              <w:right w:val="single" w:sz="4" w:space="0" w:color="auto"/>
            </w:tcBorders>
            <w:shd w:val="clear" w:color="000000" w:fill="F2F2F2"/>
            <w:vAlign w:val="center"/>
            <w:hideMark/>
          </w:tcPr>
          <w:p w14:paraId="12F6FD6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28647E3C"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19.055.020,00</w:t>
            </w:r>
          </w:p>
        </w:tc>
        <w:tc>
          <w:tcPr>
            <w:tcW w:w="292" w:type="pct"/>
            <w:tcBorders>
              <w:top w:val="nil"/>
              <w:left w:val="nil"/>
              <w:bottom w:val="single" w:sz="4" w:space="0" w:color="auto"/>
              <w:right w:val="single" w:sz="4" w:space="0" w:color="auto"/>
            </w:tcBorders>
            <w:shd w:val="clear" w:color="000000" w:fill="F2F2F2"/>
            <w:vAlign w:val="center"/>
            <w:hideMark/>
          </w:tcPr>
          <w:p w14:paraId="324B9C83"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19C029D4"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7C11747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14.187.747,00</w:t>
            </w:r>
          </w:p>
        </w:tc>
        <w:tc>
          <w:tcPr>
            <w:tcW w:w="389" w:type="pct"/>
            <w:tcBorders>
              <w:top w:val="nil"/>
              <w:left w:val="nil"/>
              <w:bottom w:val="single" w:sz="4" w:space="0" w:color="auto"/>
              <w:right w:val="single" w:sz="4" w:space="0" w:color="auto"/>
            </w:tcBorders>
            <w:shd w:val="clear" w:color="000000" w:fill="F2F2F2"/>
            <w:vAlign w:val="center"/>
            <w:hideMark/>
          </w:tcPr>
          <w:p w14:paraId="44AEF4B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3.546.937,00</w:t>
            </w:r>
          </w:p>
        </w:tc>
        <w:tc>
          <w:tcPr>
            <w:tcW w:w="340" w:type="pct"/>
            <w:tcBorders>
              <w:top w:val="nil"/>
              <w:left w:val="nil"/>
              <w:bottom w:val="single" w:sz="4" w:space="0" w:color="auto"/>
              <w:right w:val="single" w:sz="4" w:space="0" w:color="auto"/>
            </w:tcBorders>
            <w:shd w:val="clear" w:color="000000" w:fill="FFFFFF"/>
            <w:vAlign w:val="center"/>
            <w:hideMark/>
          </w:tcPr>
          <w:p w14:paraId="06EFF751"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1.056.269,00</w:t>
            </w:r>
          </w:p>
        </w:tc>
        <w:tc>
          <w:tcPr>
            <w:tcW w:w="388" w:type="pct"/>
            <w:tcBorders>
              <w:top w:val="nil"/>
              <w:left w:val="nil"/>
              <w:bottom w:val="single" w:sz="4" w:space="0" w:color="auto"/>
              <w:right w:val="single" w:sz="4" w:space="0" w:color="auto"/>
            </w:tcBorders>
            <w:shd w:val="clear" w:color="000000" w:fill="F2F2F2"/>
            <w:vAlign w:val="center"/>
            <w:hideMark/>
          </w:tcPr>
          <w:p w14:paraId="3EEF8D2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264.067,00</w:t>
            </w:r>
          </w:p>
        </w:tc>
        <w:tc>
          <w:tcPr>
            <w:tcW w:w="483" w:type="pct"/>
            <w:tcBorders>
              <w:top w:val="nil"/>
              <w:left w:val="nil"/>
              <w:bottom w:val="single" w:sz="4" w:space="0" w:color="auto"/>
              <w:right w:val="single" w:sz="4" w:space="0" w:color="auto"/>
            </w:tcBorders>
            <w:shd w:val="clear" w:color="000000" w:fill="F2F2F2"/>
            <w:vAlign w:val="center"/>
            <w:hideMark/>
          </w:tcPr>
          <w:p w14:paraId="070804BE"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6,93%</w:t>
            </w:r>
          </w:p>
        </w:tc>
      </w:tr>
      <w:tr w:rsidR="008B6659" w:rsidRPr="0029055C" w14:paraId="1A44A3FC"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0074D057"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7</w:t>
            </w:r>
          </w:p>
        </w:tc>
        <w:tc>
          <w:tcPr>
            <w:tcW w:w="183" w:type="pct"/>
            <w:tcBorders>
              <w:top w:val="nil"/>
              <w:left w:val="nil"/>
              <w:bottom w:val="single" w:sz="4" w:space="0" w:color="auto"/>
              <w:right w:val="single" w:sz="4" w:space="0" w:color="auto"/>
            </w:tcBorders>
            <w:shd w:val="clear" w:color="auto" w:fill="auto"/>
            <w:vAlign w:val="center"/>
            <w:hideMark/>
          </w:tcPr>
          <w:p w14:paraId="1C695D0B"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112334C2"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Περισσότερο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0EABB994"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9.552.181,00</w:t>
            </w:r>
          </w:p>
        </w:tc>
        <w:tc>
          <w:tcPr>
            <w:tcW w:w="348" w:type="pct"/>
            <w:tcBorders>
              <w:top w:val="nil"/>
              <w:left w:val="nil"/>
              <w:bottom w:val="single" w:sz="4" w:space="0" w:color="auto"/>
              <w:right w:val="single" w:sz="4" w:space="0" w:color="auto"/>
            </w:tcBorders>
            <w:shd w:val="clear" w:color="000000" w:fill="F2F2F2"/>
            <w:vAlign w:val="center"/>
            <w:hideMark/>
          </w:tcPr>
          <w:p w14:paraId="6CFB1C58"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2.388.046,00</w:t>
            </w:r>
          </w:p>
        </w:tc>
        <w:tc>
          <w:tcPr>
            <w:tcW w:w="325" w:type="pct"/>
            <w:tcBorders>
              <w:top w:val="nil"/>
              <w:left w:val="nil"/>
              <w:bottom w:val="single" w:sz="4" w:space="0" w:color="auto"/>
              <w:right w:val="single" w:sz="4" w:space="0" w:color="auto"/>
            </w:tcBorders>
            <w:shd w:val="clear" w:color="000000" w:fill="F2F2F2"/>
            <w:vAlign w:val="center"/>
            <w:hideMark/>
          </w:tcPr>
          <w:p w14:paraId="787B5FA7"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2.388.046,00</w:t>
            </w:r>
          </w:p>
        </w:tc>
        <w:tc>
          <w:tcPr>
            <w:tcW w:w="256" w:type="pct"/>
            <w:tcBorders>
              <w:top w:val="nil"/>
              <w:left w:val="nil"/>
              <w:bottom w:val="single" w:sz="4" w:space="0" w:color="auto"/>
              <w:right w:val="single" w:sz="4" w:space="0" w:color="auto"/>
            </w:tcBorders>
            <w:shd w:val="clear" w:color="000000" w:fill="F2F2F2"/>
            <w:vAlign w:val="center"/>
            <w:hideMark/>
          </w:tcPr>
          <w:p w14:paraId="30117FA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2A5C1359"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11.940.227,00</w:t>
            </w:r>
          </w:p>
        </w:tc>
        <w:tc>
          <w:tcPr>
            <w:tcW w:w="292" w:type="pct"/>
            <w:tcBorders>
              <w:top w:val="nil"/>
              <w:left w:val="nil"/>
              <w:bottom w:val="single" w:sz="4" w:space="0" w:color="auto"/>
              <w:right w:val="single" w:sz="4" w:space="0" w:color="auto"/>
            </w:tcBorders>
            <w:shd w:val="clear" w:color="000000" w:fill="F2F2F2"/>
            <w:vAlign w:val="center"/>
            <w:hideMark/>
          </w:tcPr>
          <w:p w14:paraId="295F0EB5"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3EC3F345"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7E587CC6"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8.889.568,00</w:t>
            </w:r>
          </w:p>
        </w:tc>
        <w:tc>
          <w:tcPr>
            <w:tcW w:w="389" w:type="pct"/>
            <w:tcBorders>
              <w:top w:val="nil"/>
              <w:left w:val="nil"/>
              <w:bottom w:val="single" w:sz="4" w:space="0" w:color="auto"/>
              <w:right w:val="single" w:sz="4" w:space="0" w:color="auto"/>
            </w:tcBorders>
            <w:shd w:val="clear" w:color="000000" w:fill="F2F2F2"/>
            <w:vAlign w:val="center"/>
            <w:hideMark/>
          </w:tcPr>
          <w:p w14:paraId="23B7A88D"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2.222.393,00</w:t>
            </w:r>
          </w:p>
        </w:tc>
        <w:tc>
          <w:tcPr>
            <w:tcW w:w="340" w:type="pct"/>
            <w:tcBorders>
              <w:top w:val="nil"/>
              <w:left w:val="nil"/>
              <w:bottom w:val="single" w:sz="4" w:space="0" w:color="auto"/>
              <w:right w:val="single" w:sz="4" w:space="0" w:color="auto"/>
            </w:tcBorders>
            <w:shd w:val="clear" w:color="000000" w:fill="FFFFFF"/>
            <w:vAlign w:val="center"/>
            <w:hideMark/>
          </w:tcPr>
          <w:p w14:paraId="57C9DCFF"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662.613,00</w:t>
            </w:r>
          </w:p>
        </w:tc>
        <w:tc>
          <w:tcPr>
            <w:tcW w:w="388" w:type="pct"/>
            <w:tcBorders>
              <w:top w:val="nil"/>
              <w:left w:val="nil"/>
              <w:bottom w:val="single" w:sz="4" w:space="0" w:color="auto"/>
              <w:right w:val="single" w:sz="4" w:space="0" w:color="auto"/>
            </w:tcBorders>
            <w:shd w:val="clear" w:color="000000" w:fill="F2F2F2"/>
            <w:vAlign w:val="center"/>
            <w:hideMark/>
          </w:tcPr>
          <w:p w14:paraId="7630102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165.653,00</w:t>
            </w:r>
          </w:p>
        </w:tc>
        <w:tc>
          <w:tcPr>
            <w:tcW w:w="483" w:type="pct"/>
            <w:tcBorders>
              <w:top w:val="nil"/>
              <w:left w:val="nil"/>
              <w:bottom w:val="single" w:sz="4" w:space="0" w:color="auto"/>
              <w:right w:val="single" w:sz="4" w:space="0" w:color="auto"/>
            </w:tcBorders>
            <w:shd w:val="clear" w:color="000000" w:fill="F2F2F2"/>
            <w:vAlign w:val="center"/>
            <w:hideMark/>
          </w:tcPr>
          <w:p w14:paraId="2CE9A3FB"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6,94%</w:t>
            </w:r>
          </w:p>
        </w:tc>
      </w:tr>
      <w:tr w:rsidR="008B6659" w:rsidRPr="0029055C" w14:paraId="4ACB3ED2"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5653BF2E"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8</w:t>
            </w:r>
          </w:p>
        </w:tc>
        <w:tc>
          <w:tcPr>
            <w:tcW w:w="183" w:type="pct"/>
            <w:tcBorders>
              <w:top w:val="nil"/>
              <w:left w:val="nil"/>
              <w:bottom w:val="single" w:sz="4" w:space="0" w:color="auto"/>
              <w:right w:val="single" w:sz="4" w:space="0" w:color="auto"/>
            </w:tcBorders>
            <w:shd w:val="clear" w:color="auto" w:fill="auto"/>
            <w:vAlign w:val="center"/>
            <w:hideMark/>
          </w:tcPr>
          <w:p w14:paraId="65DA303C"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7E79568B"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Περιφέρειες σε Μετάβαση</w:t>
            </w:r>
          </w:p>
        </w:tc>
        <w:tc>
          <w:tcPr>
            <w:tcW w:w="348" w:type="pct"/>
            <w:tcBorders>
              <w:top w:val="nil"/>
              <w:left w:val="nil"/>
              <w:bottom w:val="single" w:sz="4" w:space="0" w:color="auto"/>
              <w:right w:val="single" w:sz="4" w:space="0" w:color="auto"/>
            </w:tcBorders>
            <w:shd w:val="clear" w:color="000000" w:fill="FFFFFF"/>
            <w:vAlign w:val="center"/>
            <w:hideMark/>
          </w:tcPr>
          <w:p w14:paraId="0FFA1027"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4.412.435,00</w:t>
            </w:r>
          </w:p>
        </w:tc>
        <w:tc>
          <w:tcPr>
            <w:tcW w:w="348" w:type="pct"/>
            <w:tcBorders>
              <w:top w:val="nil"/>
              <w:left w:val="nil"/>
              <w:bottom w:val="single" w:sz="4" w:space="0" w:color="auto"/>
              <w:right w:val="single" w:sz="4" w:space="0" w:color="auto"/>
            </w:tcBorders>
            <w:shd w:val="clear" w:color="000000" w:fill="F2F2F2"/>
            <w:vAlign w:val="center"/>
            <w:hideMark/>
          </w:tcPr>
          <w:p w14:paraId="074A732D"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4.412.435,00</w:t>
            </w:r>
          </w:p>
        </w:tc>
        <w:tc>
          <w:tcPr>
            <w:tcW w:w="325" w:type="pct"/>
            <w:tcBorders>
              <w:top w:val="nil"/>
              <w:left w:val="nil"/>
              <w:bottom w:val="single" w:sz="4" w:space="0" w:color="auto"/>
              <w:right w:val="single" w:sz="4" w:space="0" w:color="auto"/>
            </w:tcBorders>
            <w:shd w:val="clear" w:color="000000" w:fill="F2F2F2"/>
            <w:vAlign w:val="center"/>
            <w:hideMark/>
          </w:tcPr>
          <w:p w14:paraId="4E313201"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4.412.435,00</w:t>
            </w:r>
          </w:p>
        </w:tc>
        <w:tc>
          <w:tcPr>
            <w:tcW w:w="256" w:type="pct"/>
            <w:tcBorders>
              <w:top w:val="nil"/>
              <w:left w:val="nil"/>
              <w:bottom w:val="single" w:sz="4" w:space="0" w:color="auto"/>
              <w:right w:val="single" w:sz="4" w:space="0" w:color="auto"/>
            </w:tcBorders>
            <w:shd w:val="clear" w:color="000000" w:fill="F2F2F2"/>
            <w:vAlign w:val="center"/>
            <w:hideMark/>
          </w:tcPr>
          <w:p w14:paraId="50583418"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62D34D7D"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8.824.870,00</w:t>
            </w:r>
          </w:p>
        </w:tc>
        <w:tc>
          <w:tcPr>
            <w:tcW w:w="292" w:type="pct"/>
            <w:tcBorders>
              <w:top w:val="nil"/>
              <w:left w:val="nil"/>
              <w:bottom w:val="single" w:sz="4" w:space="0" w:color="auto"/>
              <w:right w:val="single" w:sz="4" w:space="0" w:color="auto"/>
            </w:tcBorders>
            <w:shd w:val="clear" w:color="000000" w:fill="F2F2F2"/>
            <w:vAlign w:val="center"/>
            <w:hideMark/>
          </w:tcPr>
          <w:p w14:paraId="5F50AD45"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50%</w:t>
            </w:r>
          </w:p>
        </w:tc>
        <w:tc>
          <w:tcPr>
            <w:tcW w:w="340" w:type="pct"/>
            <w:tcBorders>
              <w:top w:val="nil"/>
              <w:left w:val="nil"/>
              <w:bottom w:val="single" w:sz="4" w:space="0" w:color="auto"/>
              <w:right w:val="single" w:sz="4" w:space="0" w:color="auto"/>
            </w:tcBorders>
            <w:shd w:val="clear" w:color="auto" w:fill="auto"/>
            <w:vAlign w:val="center"/>
            <w:hideMark/>
          </w:tcPr>
          <w:p w14:paraId="35140962"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5CB8BBDB"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4.106.697,00</w:t>
            </w:r>
          </w:p>
        </w:tc>
        <w:tc>
          <w:tcPr>
            <w:tcW w:w="389" w:type="pct"/>
            <w:tcBorders>
              <w:top w:val="nil"/>
              <w:left w:val="nil"/>
              <w:bottom w:val="single" w:sz="4" w:space="0" w:color="auto"/>
              <w:right w:val="single" w:sz="4" w:space="0" w:color="auto"/>
            </w:tcBorders>
            <w:shd w:val="clear" w:color="000000" w:fill="F2F2F2"/>
            <w:vAlign w:val="center"/>
            <w:hideMark/>
          </w:tcPr>
          <w:p w14:paraId="360BB6CC"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4.106.697,00</w:t>
            </w:r>
          </w:p>
        </w:tc>
        <w:tc>
          <w:tcPr>
            <w:tcW w:w="340" w:type="pct"/>
            <w:tcBorders>
              <w:top w:val="nil"/>
              <w:left w:val="nil"/>
              <w:bottom w:val="single" w:sz="4" w:space="0" w:color="auto"/>
              <w:right w:val="single" w:sz="4" w:space="0" w:color="auto"/>
            </w:tcBorders>
            <w:shd w:val="clear" w:color="000000" w:fill="FFFFFF"/>
            <w:vAlign w:val="center"/>
            <w:hideMark/>
          </w:tcPr>
          <w:p w14:paraId="7A707BB5"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305.738,00</w:t>
            </w:r>
          </w:p>
        </w:tc>
        <w:tc>
          <w:tcPr>
            <w:tcW w:w="388" w:type="pct"/>
            <w:tcBorders>
              <w:top w:val="nil"/>
              <w:left w:val="nil"/>
              <w:bottom w:val="single" w:sz="4" w:space="0" w:color="auto"/>
              <w:right w:val="single" w:sz="4" w:space="0" w:color="auto"/>
            </w:tcBorders>
            <w:shd w:val="clear" w:color="000000" w:fill="F2F2F2"/>
            <w:vAlign w:val="center"/>
            <w:hideMark/>
          </w:tcPr>
          <w:p w14:paraId="4846D985"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305.738,00</w:t>
            </w:r>
          </w:p>
        </w:tc>
        <w:tc>
          <w:tcPr>
            <w:tcW w:w="483" w:type="pct"/>
            <w:tcBorders>
              <w:top w:val="nil"/>
              <w:left w:val="nil"/>
              <w:bottom w:val="single" w:sz="4" w:space="0" w:color="auto"/>
              <w:right w:val="single" w:sz="4" w:space="0" w:color="auto"/>
            </w:tcBorders>
            <w:shd w:val="clear" w:color="000000" w:fill="F2F2F2"/>
            <w:vAlign w:val="center"/>
            <w:hideMark/>
          </w:tcPr>
          <w:p w14:paraId="6113AC70"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6,93%</w:t>
            </w:r>
          </w:p>
        </w:tc>
      </w:tr>
      <w:tr w:rsidR="008B6659" w:rsidRPr="0029055C" w14:paraId="5C7B3131"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7235DAF9"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9</w:t>
            </w:r>
          </w:p>
        </w:tc>
        <w:tc>
          <w:tcPr>
            <w:tcW w:w="183" w:type="pct"/>
            <w:tcBorders>
              <w:top w:val="nil"/>
              <w:left w:val="nil"/>
              <w:bottom w:val="single" w:sz="4" w:space="0" w:color="auto"/>
              <w:right w:val="single" w:sz="4" w:space="0" w:color="auto"/>
            </w:tcBorders>
            <w:shd w:val="clear" w:color="auto" w:fill="auto"/>
            <w:vAlign w:val="center"/>
            <w:hideMark/>
          </w:tcPr>
          <w:p w14:paraId="171E76C0"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06BE53A2"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Περισσότερο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4E9B23F3"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775.680,00</w:t>
            </w:r>
          </w:p>
        </w:tc>
        <w:tc>
          <w:tcPr>
            <w:tcW w:w="348" w:type="pct"/>
            <w:tcBorders>
              <w:top w:val="nil"/>
              <w:left w:val="nil"/>
              <w:bottom w:val="single" w:sz="4" w:space="0" w:color="auto"/>
              <w:right w:val="single" w:sz="4" w:space="0" w:color="auto"/>
            </w:tcBorders>
            <w:shd w:val="clear" w:color="000000" w:fill="F2F2F2"/>
            <w:vAlign w:val="center"/>
            <w:hideMark/>
          </w:tcPr>
          <w:p w14:paraId="30BF00A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775.680,00</w:t>
            </w:r>
          </w:p>
        </w:tc>
        <w:tc>
          <w:tcPr>
            <w:tcW w:w="325" w:type="pct"/>
            <w:tcBorders>
              <w:top w:val="nil"/>
              <w:left w:val="nil"/>
              <w:bottom w:val="single" w:sz="4" w:space="0" w:color="auto"/>
              <w:right w:val="single" w:sz="4" w:space="0" w:color="auto"/>
            </w:tcBorders>
            <w:shd w:val="clear" w:color="000000" w:fill="F2F2F2"/>
            <w:vAlign w:val="center"/>
            <w:hideMark/>
          </w:tcPr>
          <w:p w14:paraId="2A893600"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775.680,00</w:t>
            </w:r>
          </w:p>
        </w:tc>
        <w:tc>
          <w:tcPr>
            <w:tcW w:w="256" w:type="pct"/>
            <w:tcBorders>
              <w:top w:val="nil"/>
              <w:left w:val="nil"/>
              <w:bottom w:val="single" w:sz="4" w:space="0" w:color="auto"/>
              <w:right w:val="single" w:sz="4" w:space="0" w:color="auto"/>
            </w:tcBorders>
            <w:shd w:val="clear" w:color="000000" w:fill="F2F2F2"/>
            <w:vAlign w:val="center"/>
            <w:hideMark/>
          </w:tcPr>
          <w:p w14:paraId="6CE97956"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53E0C231"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1.551.360,00</w:t>
            </w:r>
          </w:p>
        </w:tc>
        <w:tc>
          <w:tcPr>
            <w:tcW w:w="292" w:type="pct"/>
            <w:tcBorders>
              <w:top w:val="nil"/>
              <w:left w:val="nil"/>
              <w:bottom w:val="single" w:sz="4" w:space="0" w:color="auto"/>
              <w:right w:val="single" w:sz="4" w:space="0" w:color="auto"/>
            </w:tcBorders>
            <w:shd w:val="clear" w:color="000000" w:fill="F2F2F2"/>
            <w:vAlign w:val="center"/>
            <w:hideMark/>
          </w:tcPr>
          <w:p w14:paraId="7086A5A5"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50%</w:t>
            </w:r>
          </w:p>
        </w:tc>
        <w:tc>
          <w:tcPr>
            <w:tcW w:w="340" w:type="pct"/>
            <w:tcBorders>
              <w:top w:val="nil"/>
              <w:left w:val="nil"/>
              <w:bottom w:val="single" w:sz="4" w:space="0" w:color="auto"/>
              <w:right w:val="single" w:sz="4" w:space="0" w:color="auto"/>
            </w:tcBorders>
            <w:shd w:val="clear" w:color="auto" w:fill="auto"/>
            <w:vAlign w:val="center"/>
            <w:hideMark/>
          </w:tcPr>
          <w:p w14:paraId="788D8E98"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69A44D89"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721.901,00</w:t>
            </w:r>
          </w:p>
        </w:tc>
        <w:tc>
          <w:tcPr>
            <w:tcW w:w="389" w:type="pct"/>
            <w:tcBorders>
              <w:top w:val="nil"/>
              <w:left w:val="nil"/>
              <w:bottom w:val="single" w:sz="4" w:space="0" w:color="auto"/>
              <w:right w:val="single" w:sz="4" w:space="0" w:color="auto"/>
            </w:tcBorders>
            <w:shd w:val="clear" w:color="000000" w:fill="F2F2F2"/>
            <w:vAlign w:val="center"/>
            <w:hideMark/>
          </w:tcPr>
          <w:p w14:paraId="5F3F6566"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721.901,00</w:t>
            </w:r>
          </w:p>
        </w:tc>
        <w:tc>
          <w:tcPr>
            <w:tcW w:w="340" w:type="pct"/>
            <w:tcBorders>
              <w:top w:val="nil"/>
              <w:left w:val="nil"/>
              <w:bottom w:val="single" w:sz="4" w:space="0" w:color="auto"/>
              <w:right w:val="single" w:sz="4" w:space="0" w:color="auto"/>
            </w:tcBorders>
            <w:shd w:val="clear" w:color="000000" w:fill="FFFFFF"/>
            <w:vAlign w:val="center"/>
            <w:hideMark/>
          </w:tcPr>
          <w:p w14:paraId="1E21D1B9"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53.779,00</w:t>
            </w:r>
          </w:p>
        </w:tc>
        <w:tc>
          <w:tcPr>
            <w:tcW w:w="388" w:type="pct"/>
            <w:tcBorders>
              <w:top w:val="nil"/>
              <w:left w:val="nil"/>
              <w:bottom w:val="single" w:sz="4" w:space="0" w:color="auto"/>
              <w:right w:val="single" w:sz="4" w:space="0" w:color="auto"/>
            </w:tcBorders>
            <w:shd w:val="clear" w:color="000000" w:fill="F2F2F2"/>
            <w:vAlign w:val="center"/>
            <w:hideMark/>
          </w:tcPr>
          <w:p w14:paraId="12776D9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53.779,00</w:t>
            </w:r>
          </w:p>
        </w:tc>
        <w:tc>
          <w:tcPr>
            <w:tcW w:w="483" w:type="pct"/>
            <w:tcBorders>
              <w:top w:val="nil"/>
              <w:left w:val="nil"/>
              <w:bottom w:val="single" w:sz="4" w:space="0" w:color="auto"/>
              <w:right w:val="single" w:sz="4" w:space="0" w:color="auto"/>
            </w:tcBorders>
            <w:shd w:val="clear" w:color="000000" w:fill="F2F2F2"/>
            <w:vAlign w:val="center"/>
            <w:hideMark/>
          </w:tcPr>
          <w:p w14:paraId="0AB4FDD9"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6,93%</w:t>
            </w:r>
          </w:p>
        </w:tc>
      </w:tr>
      <w:tr w:rsidR="008B6659" w:rsidRPr="0029055C" w14:paraId="35C8EDDA"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7D1B09F3"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10</w:t>
            </w:r>
          </w:p>
        </w:tc>
        <w:tc>
          <w:tcPr>
            <w:tcW w:w="183" w:type="pct"/>
            <w:tcBorders>
              <w:top w:val="nil"/>
              <w:left w:val="nil"/>
              <w:bottom w:val="single" w:sz="4" w:space="0" w:color="auto"/>
              <w:right w:val="single" w:sz="4" w:space="0" w:color="auto"/>
            </w:tcBorders>
            <w:shd w:val="clear" w:color="auto" w:fill="auto"/>
            <w:vAlign w:val="center"/>
            <w:hideMark/>
          </w:tcPr>
          <w:p w14:paraId="1159B7BA"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39EA0535"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Λιγότερο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61D6834A"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3.718.674,00</w:t>
            </w:r>
          </w:p>
        </w:tc>
        <w:tc>
          <w:tcPr>
            <w:tcW w:w="348" w:type="pct"/>
            <w:tcBorders>
              <w:top w:val="nil"/>
              <w:left w:val="nil"/>
              <w:bottom w:val="single" w:sz="4" w:space="0" w:color="auto"/>
              <w:right w:val="single" w:sz="4" w:space="0" w:color="auto"/>
            </w:tcBorders>
            <w:shd w:val="clear" w:color="000000" w:fill="F2F2F2"/>
            <w:vAlign w:val="center"/>
            <w:hideMark/>
          </w:tcPr>
          <w:p w14:paraId="7D77A132"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929.669,00</w:t>
            </w:r>
          </w:p>
        </w:tc>
        <w:tc>
          <w:tcPr>
            <w:tcW w:w="325" w:type="pct"/>
            <w:tcBorders>
              <w:top w:val="nil"/>
              <w:left w:val="nil"/>
              <w:bottom w:val="single" w:sz="4" w:space="0" w:color="auto"/>
              <w:right w:val="single" w:sz="4" w:space="0" w:color="auto"/>
            </w:tcBorders>
            <w:shd w:val="clear" w:color="000000" w:fill="F2F2F2"/>
            <w:vAlign w:val="center"/>
            <w:hideMark/>
          </w:tcPr>
          <w:p w14:paraId="716FE9E8"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929.669,00</w:t>
            </w:r>
          </w:p>
        </w:tc>
        <w:tc>
          <w:tcPr>
            <w:tcW w:w="256" w:type="pct"/>
            <w:tcBorders>
              <w:top w:val="nil"/>
              <w:left w:val="nil"/>
              <w:bottom w:val="single" w:sz="4" w:space="0" w:color="auto"/>
              <w:right w:val="single" w:sz="4" w:space="0" w:color="auto"/>
            </w:tcBorders>
            <w:shd w:val="clear" w:color="000000" w:fill="F2F2F2"/>
            <w:vAlign w:val="center"/>
            <w:hideMark/>
          </w:tcPr>
          <w:p w14:paraId="6D6D551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1666AEF9"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4.648.343,00</w:t>
            </w:r>
          </w:p>
        </w:tc>
        <w:tc>
          <w:tcPr>
            <w:tcW w:w="292" w:type="pct"/>
            <w:tcBorders>
              <w:top w:val="nil"/>
              <w:left w:val="nil"/>
              <w:bottom w:val="single" w:sz="4" w:space="0" w:color="auto"/>
              <w:right w:val="single" w:sz="4" w:space="0" w:color="auto"/>
            </w:tcBorders>
            <w:shd w:val="clear" w:color="000000" w:fill="F2F2F2"/>
            <w:vAlign w:val="center"/>
            <w:hideMark/>
          </w:tcPr>
          <w:p w14:paraId="7C5348EA"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22213DA2"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704636C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3.718.674,00</w:t>
            </w:r>
          </w:p>
        </w:tc>
        <w:tc>
          <w:tcPr>
            <w:tcW w:w="389" w:type="pct"/>
            <w:tcBorders>
              <w:top w:val="nil"/>
              <w:left w:val="nil"/>
              <w:bottom w:val="single" w:sz="4" w:space="0" w:color="auto"/>
              <w:right w:val="single" w:sz="4" w:space="0" w:color="auto"/>
            </w:tcBorders>
            <w:shd w:val="clear" w:color="000000" w:fill="F2F2F2"/>
            <w:vAlign w:val="center"/>
            <w:hideMark/>
          </w:tcPr>
          <w:p w14:paraId="50B17D90"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929.669,00</w:t>
            </w:r>
          </w:p>
        </w:tc>
        <w:tc>
          <w:tcPr>
            <w:tcW w:w="340" w:type="pct"/>
            <w:tcBorders>
              <w:top w:val="nil"/>
              <w:left w:val="nil"/>
              <w:bottom w:val="single" w:sz="4" w:space="0" w:color="auto"/>
              <w:right w:val="single" w:sz="4" w:space="0" w:color="auto"/>
            </w:tcBorders>
            <w:shd w:val="clear" w:color="auto" w:fill="auto"/>
            <w:vAlign w:val="center"/>
            <w:hideMark/>
          </w:tcPr>
          <w:p w14:paraId="442AD98D"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0,00</w:t>
            </w:r>
          </w:p>
        </w:tc>
        <w:tc>
          <w:tcPr>
            <w:tcW w:w="388" w:type="pct"/>
            <w:tcBorders>
              <w:top w:val="nil"/>
              <w:left w:val="nil"/>
              <w:bottom w:val="single" w:sz="4" w:space="0" w:color="auto"/>
              <w:right w:val="single" w:sz="4" w:space="0" w:color="auto"/>
            </w:tcBorders>
            <w:shd w:val="clear" w:color="000000" w:fill="F2F2F2"/>
            <w:vAlign w:val="center"/>
            <w:hideMark/>
          </w:tcPr>
          <w:p w14:paraId="3AE8C0B4"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c>
          <w:tcPr>
            <w:tcW w:w="483" w:type="pct"/>
            <w:tcBorders>
              <w:top w:val="nil"/>
              <w:left w:val="nil"/>
              <w:bottom w:val="single" w:sz="4" w:space="0" w:color="auto"/>
              <w:right w:val="single" w:sz="4" w:space="0" w:color="auto"/>
            </w:tcBorders>
            <w:shd w:val="clear" w:color="000000" w:fill="F2F2F2"/>
            <w:vAlign w:val="center"/>
            <w:hideMark/>
          </w:tcPr>
          <w:p w14:paraId="0E358200"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r>
      <w:tr w:rsidR="008B6659" w:rsidRPr="0029055C" w14:paraId="055CF71D"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78599258"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lastRenderedPageBreak/>
              <w:t>10</w:t>
            </w:r>
          </w:p>
        </w:tc>
        <w:tc>
          <w:tcPr>
            <w:tcW w:w="183" w:type="pct"/>
            <w:tcBorders>
              <w:top w:val="nil"/>
              <w:left w:val="nil"/>
              <w:bottom w:val="single" w:sz="4" w:space="0" w:color="auto"/>
              <w:right w:val="single" w:sz="4" w:space="0" w:color="auto"/>
            </w:tcBorders>
            <w:shd w:val="clear" w:color="auto" w:fill="auto"/>
            <w:vAlign w:val="center"/>
            <w:hideMark/>
          </w:tcPr>
          <w:p w14:paraId="1F50251E"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60ACC025"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Περιφέρειες σε Μετάβαση</w:t>
            </w:r>
          </w:p>
        </w:tc>
        <w:tc>
          <w:tcPr>
            <w:tcW w:w="348" w:type="pct"/>
            <w:tcBorders>
              <w:top w:val="nil"/>
              <w:left w:val="nil"/>
              <w:bottom w:val="single" w:sz="4" w:space="0" w:color="auto"/>
              <w:right w:val="single" w:sz="4" w:space="0" w:color="auto"/>
            </w:tcBorders>
            <w:shd w:val="clear" w:color="000000" w:fill="FFFFFF"/>
            <w:vAlign w:val="center"/>
            <w:hideMark/>
          </w:tcPr>
          <w:p w14:paraId="5E5439E2"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1.142.708,00</w:t>
            </w:r>
          </w:p>
        </w:tc>
        <w:tc>
          <w:tcPr>
            <w:tcW w:w="348" w:type="pct"/>
            <w:tcBorders>
              <w:top w:val="nil"/>
              <w:left w:val="nil"/>
              <w:bottom w:val="single" w:sz="4" w:space="0" w:color="auto"/>
              <w:right w:val="single" w:sz="4" w:space="0" w:color="auto"/>
            </w:tcBorders>
            <w:shd w:val="clear" w:color="000000" w:fill="F2F2F2"/>
            <w:vAlign w:val="center"/>
            <w:hideMark/>
          </w:tcPr>
          <w:p w14:paraId="603D8943"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285.677,00</w:t>
            </w:r>
          </w:p>
        </w:tc>
        <w:tc>
          <w:tcPr>
            <w:tcW w:w="325" w:type="pct"/>
            <w:tcBorders>
              <w:top w:val="nil"/>
              <w:left w:val="nil"/>
              <w:bottom w:val="single" w:sz="4" w:space="0" w:color="auto"/>
              <w:right w:val="single" w:sz="4" w:space="0" w:color="auto"/>
            </w:tcBorders>
            <w:shd w:val="clear" w:color="000000" w:fill="F2F2F2"/>
            <w:vAlign w:val="center"/>
            <w:hideMark/>
          </w:tcPr>
          <w:p w14:paraId="33C7BA57"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285.677,00</w:t>
            </w:r>
          </w:p>
        </w:tc>
        <w:tc>
          <w:tcPr>
            <w:tcW w:w="256" w:type="pct"/>
            <w:tcBorders>
              <w:top w:val="nil"/>
              <w:left w:val="nil"/>
              <w:bottom w:val="single" w:sz="4" w:space="0" w:color="auto"/>
              <w:right w:val="single" w:sz="4" w:space="0" w:color="auto"/>
            </w:tcBorders>
            <w:shd w:val="clear" w:color="000000" w:fill="F2F2F2"/>
            <w:vAlign w:val="center"/>
            <w:hideMark/>
          </w:tcPr>
          <w:p w14:paraId="10445DC5"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29CE10F4"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1.428.385,00</w:t>
            </w:r>
          </w:p>
        </w:tc>
        <w:tc>
          <w:tcPr>
            <w:tcW w:w="292" w:type="pct"/>
            <w:tcBorders>
              <w:top w:val="nil"/>
              <w:left w:val="nil"/>
              <w:bottom w:val="single" w:sz="4" w:space="0" w:color="auto"/>
              <w:right w:val="single" w:sz="4" w:space="0" w:color="auto"/>
            </w:tcBorders>
            <w:shd w:val="clear" w:color="000000" w:fill="F2F2F2"/>
            <w:vAlign w:val="center"/>
            <w:hideMark/>
          </w:tcPr>
          <w:p w14:paraId="616D37EE"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360796C1"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5C2F362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1.142.708,00</w:t>
            </w:r>
          </w:p>
        </w:tc>
        <w:tc>
          <w:tcPr>
            <w:tcW w:w="389" w:type="pct"/>
            <w:tcBorders>
              <w:top w:val="nil"/>
              <w:left w:val="nil"/>
              <w:bottom w:val="single" w:sz="4" w:space="0" w:color="auto"/>
              <w:right w:val="single" w:sz="4" w:space="0" w:color="auto"/>
            </w:tcBorders>
            <w:shd w:val="clear" w:color="000000" w:fill="F2F2F2"/>
            <w:vAlign w:val="center"/>
            <w:hideMark/>
          </w:tcPr>
          <w:p w14:paraId="1A3DD11C"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285.677,00</w:t>
            </w:r>
          </w:p>
        </w:tc>
        <w:tc>
          <w:tcPr>
            <w:tcW w:w="340" w:type="pct"/>
            <w:tcBorders>
              <w:top w:val="nil"/>
              <w:left w:val="nil"/>
              <w:bottom w:val="single" w:sz="4" w:space="0" w:color="auto"/>
              <w:right w:val="single" w:sz="4" w:space="0" w:color="auto"/>
            </w:tcBorders>
            <w:shd w:val="clear" w:color="auto" w:fill="auto"/>
            <w:vAlign w:val="center"/>
            <w:hideMark/>
          </w:tcPr>
          <w:p w14:paraId="508BEF92"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0,00</w:t>
            </w:r>
          </w:p>
        </w:tc>
        <w:tc>
          <w:tcPr>
            <w:tcW w:w="388" w:type="pct"/>
            <w:tcBorders>
              <w:top w:val="nil"/>
              <w:left w:val="nil"/>
              <w:bottom w:val="single" w:sz="4" w:space="0" w:color="auto"/>
              <w:right w:val="single" w:sz="4" w:space="0" w:color="auto"/>
            </w:tcBorders>
            <w:shd w:val="clear" w:color="000000" w:fill="F2F2F2"/>
            <w:vAlign w:val="center"/>
            <w:hideMark/>
          </w:tcPr>
          <w:p w14:paraId="23728A0F"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c>
          <w:tcPr>
            <w:tcW w:w="483" w:type="pct"/>
            <w:tcBorders>
              <w:top w:val="nil"/>
              <w:left w:val="nil"/>
              <w:bottom w:val="single" w:sz="4" w:space="0" w:color="auto"/>
              <w:right w:val="single" w:sz="4" w:space="0" w:color="auto"/>
            </w:tcBorders>
            <w:shd w:val="clear" w:color="000000" w:fill="F2F2F2"/>
            <w:vAlign w:val="center"/>
            <w:hideMark/>
          </w:tcPr>
          <w:p w14:paraId="7C272901"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r>
      <w:tr w:rsidR="008B6659" w:rsidRPr="0029055C" w14:paraId="77317F28"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5A80CECD"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10</w:t>
            </w:r>
          </w:p>
        </w:tc>
        <w:tc>
          <w:tcPr>
            <w:tcW w:w="183" w:type="pct"/>
            <w:tcBorders>
              <w:top w:val="nil"/>
              <w:left w:val="nil"/>
              <w:bottom w:val="single" w:sz="4" w:space="0" w:color="auto"/>
              <w:right w:val="single" w:sz="4" w:space="0" w:color="auto"/>
            </w:tcBorders>
            <w:shd w:val="clear" w:color="auto" w:fill="auto"/>
            <w:vAlign w:val="center"/>
            <w:hideMark/>
          </w:tcPr>
          <w:p w14:paraId="1A8A8250"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4EB609DC"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Περισσότερο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38A50BBF"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453.272,00</w:t>
            </w:r>
          </w:p>
        </w:tc>
        <w:tc>
          <w:tcPr>
            <w:tcW w:w="348" w:type="pct"/>
            <w:tcBorders>
              <w:top w:val="nil"/>
              <w:left w:val="nil"/>
              <w:bottom w:val="single" w:sz="4" w:space="0" w:color="auto"/>
              <w:right w:val="single" w:sz="4" w:space="0" w:color="auto"/>
            </w:tcBorders>
            <w:shd w:val="clear" w:color="000000" w:fill="F2F2F2"/>
            <w:vAlign w:val="center"/>
            <w:hideMark/>
          </w:tcPr>
          <w:p w14:paraId="2EC07B86"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113.318,00</w:t>
            </w:r>
          </w:p>
        </w:tc>
        <w:tc>
          <w:tcPr>
            <w:tcW w:w="325" w:type="pct"/>
            <w:tcBorders>
              <w:top w:val="nil"/>
              <w:left w:val="nil"/>
              <w:bottom w:val="single" w:sz="4" w:space="0" w:color="auto"/>
              <w:right w:val="single" w:sz="4" w:space="0" w:color="auto"/>
            </w:tcBorders>
            <w:shd w:val="clear" w:color="000000" w:fill="F2F2F2"/>
            <w:vAlign w:val="center"/>
            <w:hideMark/>
          </w:tcPr>
          <w:p w14:paraId="294F950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113.318,00</w:t>
            </w:r>
          </w:p>
        </w:tc>
        <w:tc>
          <w:tcPr>
            <w:tcW w:w="256" w:type="pct"/>
            <w:tcBorders>
              <w:top w:val="nil"/>
              <w:left w:val="nil"/>
              <w:bottom w:val="single" w:sz="4" w:space="0" w:color="auto"/>
              <w:right w:val="single" w:sz="4" w:space="0" w:color="auto"/>
            </w:tcBorders>
            <w:shd w:val="clear" w:color="000000" w:fill="F2F2F2"/>
            <w:vAlign w:val="center"/>
            <w:hideMark/>
          </w:tcPr>
          <w:p w14:paraId="6D15F79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7EC8ADA7"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566.590,00</w:t>
            </w:r>
          </w:p>
        </w:tc>
        <w:tc>
          <w:tcPr>
            <w:tcW w:w="292" w:type="pct"/>
            <w:tcBorders>
              <w:top w:val="nil"/>
              <w:left w:val="nil"/>
              <w:bottom w:val="single" w:sz="4" w:space="0" w:color="auto"/>
              <w:right w:val="single" w:sz="4" w:space="0" w:color="auto"/>
            </w:tcBorders>
            <w:shd w:val="clear" w:color="000000" w:fill="F2F2F2"/>
            <w:vAlign w:val="center"/>
            <w:hideMark/>
          </w:tcPr>
          <w:p w14:paraId="73BAD048"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60D55AA8"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7403CCA6"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453.272,00</w:t>
            </w:r>
          </w:p>
        </w:tc>
        <w:tc>
          <w:tcPr>
            <w:tcW w:w="389" w:type="pct"/>
            <w:tcBorders>
              <w:top w:val="nil"/>
              <w:left w:val="nil"/>
              <w:bottom w:val="single" w:sz="4" w:space="0" w:color="auto"/>
              <w:right w:val="single" w:sz="4" w:space="0" w:color="auto"/>
            </w:tcBorders>
            <w:shd w:val="clear" w:color="000000" w:fill="F2F2F2"/>
            <w:vAlign w:val="center"/>
            <w:hideMark/>
          </w:tcPr>
          <w:p w14:paraId="50CEF28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113.318,00</w:t>
            </w:r>
          </w:p>
        </w:tc>
        <w:tc>
          <w:tcPr>
            <w:tcW w:w="340" w:type="pct"/>
            <w:tcBorders>
              <w:top w:val="nil"/>
              <w:left w:val="nil"/>
              <w:bottom w:val="single" w:sz="4" w:space="0" w:color="auto"/>
              <w:right w:val="single" w:sz="4" w:space="0" w:color="auto"/>
            </w:tcBorders>
            <w:shd w:val="clear" w:color="auto" w:fill="auto"/>
            <w:vAlign w:val="center"/>
            <w:hideMark/>
          </w:tcPr>
          <w:p w14:paraId="2E3B8A40"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0,00</w:t>
            </w:r>
          </w:p>
        </w:tc>
        <w:tc>
          <w:tcPr>
            <w:tcW w:w="388" w:type="pct"/>
            <w:tcBorders>
              <w:top w:val="nil"/>
              <w:left w:val="nil"/>
              <w:bottom w:val="single" w:sz="4" w:space="0" w:color="auto"/>
              <w:right w:val="single" w:sz="4" w:space="0" w:color="auto"/>
            </w:tcBorders>
            <w:shd w:val="clear" w:color="000000" w:fill="F2F2F2"/>
            <w:vAlign w:val="center"/>
            <w:hideMark/>
          </w:tcPr>
          <w:p w14:paraId="3D33853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c>
          <w:tcPr>
            <w:tcW w:w="483" w:type="pct"/>
            <w:tcBorders>
              <w:top w:val="nil"/>
              <w:left w:val="nil"/>
              <w:bottom w:val="single" w:sz="4" w:space="0" w:color="auto"/>
              <w:right w:val="single" w:sz="4" w:space="0" w:color="auto"/>
            </w:tcBorders>
            <w:shd w:val="clear" w:color="000000" w:fill="F2F2F2"/>
            <w:vAlign w:val="center"/>
            <w:hideMark/>
          </w:tcPr>
          <w:p w14:paraId="7C8AE2F3"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r>
      <w:tr w:rsidR="008B6659" w:rsidRPr="0029055C" w14:paraId="05A5AD95"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40E81D8A"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11</w:t>
            </w:r>
          </w:p>
        </w:tc>
        <w:tc>
          <w:tcPr>
            <w:tcW w:w="183" w:type="pct"/>
            <w:tcBorders>
              <w:top w:val="nil"/>
              <w:left w:val="nil"/>
              <w:bottom w:val="single" w:sz="4" w:space="0" w:color="auto"/>
              <w:right w:val="single" w:sz="4" w:space="0" w:color="auto"/>
            </w:tcBorders>
            <w:shd w:val="clear" w:color="auto" w:fill="auto"/>
            <w:vAlign w:val="center"/>
            <w:hideMark/>
          </w:tcPr>
          <w:p w14:paraId="23C2024A"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64DE8B7A"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Περιφέρειες σε Μετάβαση</w:t>
            </w:r>
          </w:p>
        </w:tc>
        <w:tc>
          <w:tcPr>
            <w:tcW w:w="348" w:type="pct"/>
            <w:tcBorders>
              <w:top w:val="nil"/>
              <w:left w:val="nil"/>
              <w:bottom w:val="single" w:sz="4" w:space="0" w:color="auto"/>
              <w:right w:val="single" w:sz="4" w:space="0" w:color="auto"/>
            </w:tcBorders>
            <w:shd w:val="clear" w:color="000000" w:fill="FFFFFF"/>
            <w:vAlign w:val="center"/>
            <w:hideMark/>
          </w:tcPr>
          <w:p w14:paraId="4899A2CF"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332.850,00</w:t>
            </w:r>
          </w:p>
        </w:tc>
        <w:tc>
          <w:tcPr>
            <w:tcW w:w="348" w:type="pct"/>
            <w:tcBorders>
              <w:top w:val="nil"/>
              <w:left w:val="nil"/>
              <w:bottom w:val="single" w:sz="4" w:space="0" w:color="auto"/>
              <w:right w:val="single" w:sz="4" w:space="0" w:color="auto"/>
            </w:tcBorders>
            <w:shd w:val="clear" w:color="000000" w:fill="F2F2F2"/>
            <w:vAlign w:val="center"/>
            <w:hideMark/>
          </w:tcPr>
          <w:p w14:paraId="4907B0B9"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332.850,00</w:t>
            </w:r>
          </w:p>
        </w:tc>
        <w:tc>
          <w:tcPr>
            <w:tcW w:w="325" w:type="pct"/>
            <w:tcBorders>
              <w:top w:val="nil"/>
              <w:left w:val="nil"/>
              <w:bottom w:val="single" w:sz="4" w:space="0" w:color="auto"/>
              <w:right w:val="single" w:sz="4" w:space="0" w:color="auto"/>
            </w:tcBorders>
            <w:shd w:val="clear" w:color="000000" w:fill="F2F2F2"/>
            <w:vAlign w:val="center"/>
            <w:hideMark/>
          </w:tcPr>
          <w:p w14:paraId="471374A9"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332.850,00</w:t>
            </w:r>
          </w:p>
        </w:tc>
        <w:tc>
          <w:tcPr>
            <w:tcW w:w="256" w:type="pct"/>
            <w:tcBorders>
              <w:top w:val="nil"/>
              <w:left w:val="nil"/>
              <w:bottom w:val="single" w:sz="4" w:space="0" w:color="auto"/>
              <w:right w:val="single" w:sz="4" w:space="0" w:color="auto"/>
            </w:tcBorders>
            <w:shd w:val="clear" w:color="000000" w:fill="F2F2F2"/>
            <w:vAlign w:val="center"/>
            <w:hideMark/>
          </w:tcPr>
          <w:p w14:paraId="506F4DDC"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590AE24A"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665.700,00</w:t>
            </w:r>
          </w:p>
        </w:tc>
        <w:tc>
          <w:tcPr>
            <w:tcW w:w="292" w:type="pct"/>
            <w:tcBorders>
              <w:top w:val="nil"/>
              <w:left w:val="nil"/>
              <w:bottom w:val="single" w:sz="4" w:space="0" w:color="auto"/>
              <w:right w:val="single" w:sz="4" w:space="0" w:color="auto"/>
            </w:tcBorders>
            <w:shd w:val="clear" w:color="000000" w:fill="F2F2F2"/>
            <w:vAlign w:val="center"/>
            <w:hideMark/>
          </w:tcPr>
          <w:p w14:paraId="119803E8"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50%</w:t>
            </w:r>
          </w:p>
        </w:tc>
        <w:tc>
          <w:tcPr>
            <w:tcW w:w="340" w:type="pct"/>
            <w:tcBorders>
              <w:top w:val="nil"/>
              <w:left w:val="nil"/>
              <w:bottom w:val="single" w:sz="4" w:space="0" w:color="auto"/>
              <w:right w:val="single" w:sz="4" w:space="0" w:color="auto"/>
            </w:tcBorders>
            <w:shd w:val="clear" w:color="auto" w:fill="auto"/>
            <w:vAlign w:val="center"/>
            <w:hideMark/>
          </w:tcPr>
          <w:p w14:paraId="0FDA98A7"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501EE914"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332.850,00</w:t>
            </w:r>
          </w:p>
        </w:tc>
        <w:tc>
          <w:tcPr>
            <w:tcW w:w="389" w:type="pct"/>
            <w:tcBorders>
              <w:top w:val="nil"/>
              <w:left w:val="nil"/>
              <w:bottom w:val="single" w:sz="4" w:space="0" w:color="auto"/>
              <w:right w:val="single" w:sz="4" w:space="0" w:color="auto"/>
            </w:tcBorders>
            <w:shd w:val="clear" w:color="000000" w:fill="F2F2F2"/>
            <w:vAlign w:val="center"/>
            <w:hideMark/>
          </w:tcPr>
          <w:p w14:paraId="4CE076C3"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332.850,00</w:t>
            </w:r>
          </w:p>
        </w:tc>
        <w:tc>
          <w:tcPr>
            <w:tcW w:w="340" w:type="pct"/>
            <w:tcBorders>
              <w:top w:val="nil"/>
              <w:left w:val="nil"/>
              <w:bottom w:val="single" w:sz="4" w:space="0" w:color="auto"/>
              <w:right w:val="single" w:sz="4" w:space="0" w:color="auto"/>
            </w:tcBorders>
            <w:shd w:val="clear" w:color="auto" w:fill="auto"/>
            <w:vAlign w:val="center"/>
            <w:hideMark/>
          </w:tcPr>
          <w:p w14:paraId="5A38F027"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0,00</w:t>
            </w:r>
          </w:p>
        </w:tc>
        <w:tc>
          <w:tcPr>
            <w:tcW w:w="388" w:type="pct"/>
            <w:tcBorders>
              <w:top w:val="nil"/>
              <w:left w:val="nil"/>
              <w:bottom w:val="single" w:sz="4" w:space="0" w:color="auto"/>
              <w:right w:val="single" w:sz="4" w:space="0" w:color="auto"/>
            </w:tcBorders>
            <w:shd w:val="clear" w:color="000000" w:fill="F2F2F2"/>
            <w:vAlign w:val="center"/>
            <w:hideMark/>
          </w:tcPr>
          <w:p w14:paraId="5561F5C9"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c>
          <w:tcPr>
            <w:tcW w:w="483" w:type="pct"/>
            <w:tcBorders>
              <w:top w:val="nil"/>
              <w:left w:val="nil"/>
              <w:bottom w:val="single" w:sz="4" w:space="0" w:color="auto"/>
              <w:right w:val="single" w:sz="4" w:space="0" w:color="auto"/>
            </w:tcBorders>
            <w:shd w:val="clear" w:color="000000" w:fill="F2F2F2"/>
            <w:vAlign w:val="center"/>
            <w:hideMark/>
          </w:tcPr>
          <w:p w14:paraId="2A1F1642"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r>
      <w:tr w:rsidR="008B6659" w:rsidRPr="0029055C" w14:paraId="09ABB280"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4000EB2B"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12</w:t>
            </w:r>
          </w:p>
        </w:tc>
        <w:tc>
          <w:tcPr>
            <w:tcW w:w="183" w:type="pct"/>
            <w:tcBorders>
              <w:top w:val="nil"/>
              <w:left w:val="nil"/>
              <w:bottom w:val="single" w:sz="4" w:space="0" w:color="auto"/>
              <w:right w:val="single" w:sz="4" w:space="0" w:color="auto"/>
            </w:tcBorders>
            <w:shd w:val="clear" w:color="auto" w:fill="auto"/>
            <w:vAlign w:val="center"/>
            <w:hideMark/>
          </w:tcPr>
          <w:p w14:paraId="7E4AB9BE"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13C4A829"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Περισσότερο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7A73E35D"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42.277,00</w:t>
            </w:r>
          </w:p>
        </w:tc>
        <w:tc>
          <w:tcPr>
            <w:tcW w:w="348" w:type="pct"/>
            <w:tcBorders>
              <w:top w:val="nil"/>
              <w:left w:val="nil"/>
              <w:bottom w:val="single" w:sz="4" w:space="0" w:color="auto"/>
              <w:right w:val="single" w:sz="4" w:space="0" w:color="auto"/>
            </w:tcBorders>
            <w:shd w:val="clear" w:color="000000" w:fill="F2F2F2"/>
            <w:vAlign w:val="center"/>
            <w:hideMark/>
          </w:tcPr>
          <w:p w14:paraId="4AE66903"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42.277,00</w:t>
            </w:r>
          </w:p>
        </w:tc>
        <w:tc>
          <w:tcPr>
            <w:tcW w:w="325" w:type="pct"/>
            <w:tcBorders>
              <w:top w:val="nil"/>
              <w:left w:val="nil"/>
              <w:bottom w:val="single" w:sz="4" w:space="0" w:color="auto"/>
              <w:right w:val="single" w:sz="4" w:space="0" w:color="auto"/>
            </w:tcBorders>
            <w:shd w:val="clear" w:color="000000" w:fill="F2F2F2"/>
            <w:vAlign w:val="center"/>
            <w:hideMark/>
          </w:tcPr>
          <w:p w14:paraId="0457663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42.277,00</w:t>
            </w:r>
          </w:p>
        </w:tc>
        <w:tc>
          <w:tcPr>
            <w:tcW w:w="256" w:type="pct"/>
            <w:tcBorders>
              <w:top w:val="nil"/>
              <w:left w:val="nil"/>
              <w:bottom w:val="single" w:sz="4" w:space="0" w:color="auto"/>
              <w:right w:val="single" w:sz="4" w:space="0" w:color="auto"/>
            </w:tcBorders>
            <w:shd w:val="clear" w:color="000000" w:fill="F2F2F2"/>
            <w:vAlign w:val="center"/>
            <w:hideMark/>
          </w:tcPr>
          <w:p w14:paraId="27FA1D4F"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41432FCC"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84.554,00</w:t>
            </w:r>
          </w:p>
        </w:tc>
        <w:tc>
          <w:tcPr>
            <w:tcW w:w="292" w:type="pct"/>
            <w:tcBorders>
              <w:top w:val="nil"/>
              <w:left w:val="nil"/>
              <w:bottom w:val="single" w:sz="4" w:space="0" w:color="auto"/>
              <w:right w:val="single" w:sz="4" w:space="0" w:color="auto"/>
            </w:tcBorders>
            <w:shd w:val="clear" w:color="000000" w:fill="F2F2F2"/>
            <w:vAlign w:val="center"/>
            <w:hideMark/>
          </w:tcPr>
          <w:p w14:paraId="498D859E"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50%</w:t>
            </w:r>
          </w:p>
        </w:tc>
        <w:tc>
          <w:tcPr>
            <w:tcW w:w="340" w:type="pct"/>
            <w:tcBorders>
              <w:top w:val="nil"/>
              <w:left w:val="nil"/>
              <w:bottom w:val="single" w:sz="4" w:space="0" w:color="auto"/>
              <w:right w:val="single" w:sz="4" w:space="0" w:color="auto"/>
            </w:tcBorders>
            <w:shd w:val="clear" w:color="auto" w:fill="auto"/>
            <w:vAlign w:val="center"/>
            <w:hideMark/>
          </w:tcPr>
          <w:p w14:paraId="554BD670"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596E70EF"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42.277,00</w:t>
            </w:r>
          </w:p>
        </w:tc>
        <w:tc>
          <w:tcPr>
            <w:tcW w:w="389" w:type="pct"/>
            <w:tcBorders>
              <w:top w:val="nil"/>
              <w:left w:val="nil"/>
              <w:bottom w:val="single" w:sz="4" w:space="0" w:color="auto"/>
              <w:right w:val="single" w:sz="4" w:space="0" w:color="auto"/>
            </w:tcBorders>
            <w:shd w:val="clear" w:color="000000" w:fill="F2F2F2"/>
            <w:vAlign w:val="center"/>
            <w:hideMark/>
          </w:tcPr>
          <w:p w14:paraId="7CEF7064"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42.277,00</w:t>
            </w:r>
          </w:p>
        </w:tc>
        <w:tc>
          <w:tcPr>
            <w:tcW w:w="340" w:type="pct"/>
            <w:tcBorders>
              <w:top w:val="nil"/>
              <w:left w:val="nil"/>
              <w:bottom w:val="single" w:sz="4" w:space="0" w:color="auto"/>
              <w:right w:val="single" w:sz="4" w:space="0" w:color="auto"/>
            </w:tcBorders>
            <w:shd w:val="clear" w:color="auto" w:fill="auto"/>
            <w:vAlign w:val="center"/>
            <w:hideMark/>
          </w:tcPr>
          <w:p w14:paraId="08B797EE"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0,00</w:t>
            </w:r>
          </w:p>
        </w:tc>
        <w:tc>
          <w:tcPr>
            <w:tcW w:w="388" w:type="pct"/>
            <w:tcBorders>
              <w:top w:val="nil"/>
              <w:left w:val="nil"/>
              <w:bottom w:val="single" w:sz="4" w:space="0" w:color="auto"/>
              <w:right w:val="single" w:sz="4" w:space="0" w:color="auto"/>
            </w:tcBorders>
            <w:shd w:val="clear" w:color="000000" w:fill="F2F2F2"/>
            <w:vAlign w:val="center"/>
            <w:hideMark/>
          </w:tcPr>
          <w:p w14:paraId="064C32A6"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c>
          <w:tcPr>
            <w:tcW w:w="483" w:type="pct"/>
            <w:tcBorders>
              <w:top w:val="nil"/>
              <w:left w:val="nil"/>
              <w:bottom w:val="single" w:sz="4" w:space="0" w:color="auto"/>
              <w:right w:val="single" w:sz="4" w:space="0" w:color="auto"/>
            </w:tcBorders>
            <w:shd w:val="clear" w:color="000000" w:fill="F2F2F2"/>
            <w:vAlign w:val="center"/>
            <w:hideMark/>
          </w:tcPr>
          <w:p w14:paraId="343FABB9"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r>
      <w:tr w:rsidR="008B6659" w:rsidRPr="0029055C" w14:paraId="06B1810D"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1AEB8742"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13</w:t>
            </w:r>
          </w:p>
        </w:tc>
        <w:tc>
          <w:tcPr>
            <w:tcW w:w="183" w:type="pct"/>
            <w:tcBorders>
              <w:top w:val="nil"/>
              <w:left w:val="nil"/>
              <w:bottom w:val="single" w:sz="4" w:space="0" w:color="auto"/>
              <w:right w:val="single" w:sz="4" w:space="0" w:color="auto"/>
            </w:tcBorders>
            <w:shd w:val="clear" w:color="auto" w:fill="auto"/>
            <w:vAlign w:val="center"/>
            <w:hideMark/>
          </w:tcPr>
          <w:p w14:paraId="58B0AFA3"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ΕΤΠΑ</w:t>
            </w:r>
          </w:p>
        </w:tc>
        <w:tc>
          <w:tcPr>
            <w:tcW w:w="351" w:type="pct"/>
            <w:tcBorders>
              <w:top w:val="nil"/>
              <w:left w:val="nil"/>
              <w:bottom w:val="single" w:sz="4" w:space="0" w:color="auto"/>
              <w:right w:val="single" w:sz="4" w:space="0" w:color="auto"/>
            </w:tcBorders>
            <w:shd w:val="clear" w:color="auto" w:fill="auto"/>
            <w:vAlign w:val="center"/>
            <w:hideMark/>
          </w:tcPr>
          <w:p w14:paraId="0D4EF70E"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Λιγότερο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29688AB6"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2.096.544,00</w:t>
            </w:r>
          </w:p>
        </w:tc>
        <w:tc>
          <w:tcPr>
            <w:tcW w:w="348" w:type="pct"/>
            <w:tcBorders>
              <w:top w:val="nil"/>
              <w:left w:val="nil"/>
              <w:bottom w:val="single" w:sz="4" w:space="0" w:color="auto"/>
              <w:right w:val="single" w:sz="4" w:space="0" w:color="auto"/>
            </w:tcBorders>
            <w:shd w:val="clear" w:color="000000" w:fill="F2F2F2"/>
            <w:vAlign w:val="center"/>
            <w:hideMark/>
          </w:tcPr>
          <w:p w14:paraId="2A9E2B8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524.136,00</w:t>
            </w:r>
          </w:p>
        </w:tc>
        <w:tc>
          <w:tcPr>
            <w:tcW w:w="325" w:type="pct"/>
            <w:tcBorders>
              <w:top w:val="nil"/>
              <w:left w:val="nil"/>
              <w:bottom w:val="single" w:sz="4" w:space="0" w:color="auto"/>
              <w:right w:val="single" w:sz="4" w:space="0" w:color="auto"/>
            </w:tcBorders>
            <w:shd w:val="clear" w:color="000000" w:fill="F2F2F2"/>
            <w:vAlign w:val="center"/>
            <w:hideMark/>
          </w:tcPr>
          <w:p w14:paraId="10F9AC59"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524.136,00</w:t>
            </w:r>
          </w:p>
        </w:tc>
        <w:tc>
          <w:tcPr>
            <w:tcW w:w="256" w:type="pct"/>
            <w:tcBorders>
              <w:top w:val="nil"/>
              <w:left w:val="nil"/>
              <w:bottom w:val="single" w:sz="4" w:space="0" w:color="auto"/>
              <w:right w:val="single" w:sz="4" w:space="0" w:color="auto"/>
            </w:tcBorders>
            <w:shd w:val="clear" w:color="000000" w:fill="F2F2F2"/>
            <w:vAlign w:val="center"/>
            <w:hideMark/>
          </w:tcPr>
          <w:p w14:paraId="555589E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4D9940C2"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2.620.680,00</w:t>
            </w:r>
          </w:p>
        </w:tc>
        <w:tc>
          <w:tcPr>
            <w:tcW w:w="292" w:type="pct"/>
            <w:tcBorders>
              <w:top w:val="nil"/>
              <w:left w:val="nil"/>
              <w:bottom w:val="single" w:sz="4" w:space="0" w:color="auto"/>
              <w:right w:val="single" w:sz="4" w:space="0" w:color="auto"/>
            </w:tcBorders>
            <w:shd w:val="clear" w:color="000000" w:fill="F2F2F2"/>
            <w:vAlign w:val="center"/>
            <w:hideMark/>
          </w:tcPr>
          <w:p w14:paraId="0B562F64"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0464CBCD"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29EB1AF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2.096.544,00</w:t>
            </w:r>
          </w:p>
        </w:tc>
        <w:tc>
          <w:tcPr>
            <w:tcW w:w="389" w:type="pct"/>
            <w:tcBorders>
              <w:top w:val="nil"/>
              <w:left w:val="nil"/>
              <w:bottom w:val="single" w:sz="4" w:space="0" w:color="auto"/>
              <w:right w:val="single" w:sz="4" w:space="0" w:color="auto"/>
            </w:tcBorders>
            <w:shd w:val="clear" w:color="000000" w:fill="F2F2F2"/>
            <w:vAlign w:val="center"/>
            <w:hideMark/>
          </w:tcPr>
          <w:p w14:paraId="3B77397F"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524.136,00</w:t>
            </w:r>
          </w:p>
        </w:tc>
        <w:tc>
          <w:tcPr>
            <w:tcW w:w="340" w:type="pct"/>
            <w:tcBorders>
              <w:top w:val="nil"/>
              <w:left w:val="nil"/>
              <w:bottom w:val="single" w:sz="4" w:space="0" w:color="auto"/>
              <w:right w:val="single" w:sz="4" w:space="0" w:color="auto"/>
            </w:tcBorders>
            <w:shd w:val="clear" w:color="auto" w:fill="auto"/>
            <w:vAlign w:val="center"/>
            <w:hideMark/>
          </w:tcPr>
          <w:p w14:paraId="67E591F4"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0,00</w:t>
            </w:r>
          </w:p>
        </w:tc>
        <w:tc>
          <w:tcPr>
            <w:tcW w:w="388" w:type="pct"/>
            <w:tcBorders>
              <w:top w:val="nil"/>
              <w:left w:val="nil"/>
              <w:bottom w:val="single" w:sz="4" w:space="0" w:color="auto"/>
              <w:right w:val="single" w:sz="4" w:space="0" w:color="auto"/>
            </w:tcBorders>
            <w:shd w:val="clear" w:color="000000" w:fill="F2F2F2"/>
            <w:vAlign w:val="center"/>
            <w:hideMark/>
          </w:tcPr>
          <w:p w14:paraId="6D1D2F28"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c>
          <w:tcPr>
            <w:tcW w:w="483" w:type="pct"/>
            <w:tcBorders>
              <w:top w:val="nil"/>
              <w:left w:val="nil"/>
              <w:bottom w:val="single" w:sz="4" w:space="0" w:color="auto"/>
              <w:right w:val="single" w:sz="4" w:space="0" w:color="auto"/>
            </w:tcBorders>
            <w:shd w:val="clear" w:color="000000" w:fill="F2F2F2"/>
            <w:vAlign w:val="center"/>
            <w:hideMark/>
          </w:tcPr>
          <w:p w14:paraId="13A6F27E"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r>
      <w:tr w:rsidR="008B6659" w:rsidRPr="0029055C" w14:paraId="2252DFA5"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62B088D1"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13</w:t>
            </w:r>
          </w:p>
        </w:tc>
        <w:tc>
          <w:tcPr>
            <w:tcW w:w="183" w:type="pct"/>
            <w:tcBorders>
              <w:top w:val="nil"/>
              <w:left w:val="nil"/>
              <w:bottom w:val="single" w:sz="4" w:space="0" w:color="auto"/>
              <w:right w:val="single" w:sz="4" w:space="0" w:color="auto"/>
            </w:tcBorders>
            <w:shd w:val="clear" w:color="auto" w:fill="auto"/>
            <w:vAlign w:val="center"/>
            <w:hideMark/>
          </w:tcPr>
          <w:p w14:paraId="297DA380"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ΕΤΠΑ</w:t>
            </w:r>
          </w:p>
        </w:tc>
        <w:tc>
          <w:tcPr>
            <w:tcW w:w="351" w:type="pct"/>
            <w:tcBorders>
              <w:top w:val="nil"/>
              <w:left w:val="nil"/>
              <w:bottom w:val="single" w:sz="4" w:space="0" w:color="auto"/>
              <w:right w:val="single" w:sz="4" w:space="0" w:color="auto"/>
            </w:tcBorders>
            <w:shd w:val="clear" w:color="auto" w:fill="auto"/>
            <w:vAlign w:val="center"/>
            <w:hideMark/>
          </w:tcPr>
          <w:p w14:paraId="53F63CB7"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Περιφέρειες σε Μετάβαση</w:t>
            </w:r>
          </w:p>
        </w:tc>
        <w:tc>
          <w:tcPr>
            <w:tcW w:w="348" w:type="pct"/>
            <w:tcBorders>
              <w:top w:val="nil"/>
              <w:left w:val="nil"/>
              <w:bottom w:val="single" w:sz="4" w:space="0" w:color="auto"/>
              <w:right w:val="single" w:sz="4" w:space="0" w:color="auto"/>
            </w:tcBorders>
            <w:shd w:val="clear" w:color="000000" w:fill="FFFFFF"/>
            <w:vAlign w:val="center"/>
            <w:hideMark/>
          </w:tcPr>
          <w:p w14:paraId="288422CE"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363.161,00</w:t>
            </w:r>
          </w:p>
        </w:tc>
        <w:tc>
          <w:tcPr>
            <w:tcW w:w="348" w:type="pct"/>
            <w:tcBorders>
              <w:top w:val="nil"/>
              <w:left w:val="nil"/>
              <w:bottom w:val="single" w:sz="4" w:space="0" w:color="auto"/>
              <w:right w:val="single" w:sz="4" w:space="0" w:color="auto"/>
            </w:tcBorders>
            <w:shd w:val="clear" w:color="000000" w:fill="F2F2F2"/>
            <w:vAlign w:val="center"/>
            <w:hideMark/>
          </w:tcPr>
          <w:p w14:paraId="70380902"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90.791,00</w:t>
            </w:r>
          </w:p>
        </w:tc>
        <w:tc>
          <w:tcPr>
            <w:tcW w:w="325" w:type="pct"/>
            <w:tcBorders>
              <w:top w:val="nil"/>
              <w:left w:val="nil"/>
              <w:bottom w:val="single" w:sz="4" w:space="0" w:color="auto"/>
              <w:right w:val="single" w:sz="4" w:space="0" w:color="auto"/>
            </w:tcBorders>
            <w:shd w:val="clear" w:color="000000" w:fill="F2F2F2"/>
            <w:vAlign w:val="center"/>
            <w:hideMark/>
          </w:tcPr>
          <w:p w14:paraId="30BE7934"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90.791,00</w:t>
            </w:r>
          </w:p>
        </w:tc>
        <w:tc>
          <w:tcPr>
            <w:tcW w:w="256" w:type="pct"/>
            <w:tcBorders>
              <w:top w:val="nil"/>
              <w:left w:val="nil"/>
              <w:bottom w:val="single" w:sz="4" w:space="0" w:color="auto"/>
              <w:right w:val="single" w:sz="4" w:space="0" w:color="auto"/>
            </w:tcBorders>
            <w:shd w:val="clear" w:color="000000" w:fill="F2F2F2"/>
            <w:vAlign w:val="center"/>
            <w:hideMark/>
          </w:tcPr>
          <w:p w14:paraId="163C93E3"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2D0236B2"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453.952,00</w:t>
            </w:r>
          </w:p>
        </w:tc>
        <w:tc>
          <w:tcPr>
            <w:tcW w:w="292" w:type="pct"/>
            <w:tcBorders>
              <w:top w:val="nil"/>
              <w:left w:val="nil"/>
              <w:bottom w:val="single" w:sz="4" w:space="0" w:color="auto"/>
              <w:right w:val="single" w:sz="4" w:space="0" w:color="auto"/>
            </w:tcBorders>
            <w:shd w:val="clear" w:color="000000" w:fill="F2F2F2"/>
            <w:vAlign w:val="center"/>
            <w:hideMark/>
          </w:tcPr>
          <w:p w14:paraId="48F90C3A"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1556E471"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41866E96"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363.161,00</w:t>
            </w:r>
          </w:p>
        </w:tc>
        <w:tc>
          <w:tcPr>
            <w:tcW w:w="389" w:type="pct"/>
            <w:tcBorders>
              <w:top w:val="nil"/>
              <w:left w:val="nil"/>
              <w:bottom w:val="single" w:sz="4" w:space="0" w:color="auto"/>
              <w:right w:val="single" w:sz="4" w:space="0" w:color="auto"/>
            </w:tcBorders>
            <w:shd w:val="clear" w:color="000000" w:fill="F2F2F2"/>
            <w:vAlign w:val="center"/>
            <w:hideMark/>
          </w:tcPr>
          <w:p w14:paraId="5D4D386C"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90.791,00</w:t>
            </w:r>
          </w:p>
        </w:tc>
        <w:tc>
          <w:tcPr>
            <w:tcW w:w="340" w:type="pct"/>
            <w:tcBorders>
              <w:top w:val="nil"/>
              <w:left w:val="nil"/>
              <w:bottom w:val="single" w:sz="4" w:space="0" w:color="auto"/>
              <w:right w:val="single" w:sz="4" w:space="0" w:color="auto"/>
            </w:tcBorders>
            <w:shd w:val="clear" w:color="auto" w:fill="auto"/>
            <w:vAlign w:val="center"/>
            <w:hideMark/>
          </w:tcPr>
          <w:p w14:paraId="767A6F75"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0,00</w:t>
            </w:r>
          </w:p>
        </w:tc>
        <w:tc>
          <w:tcPr>
            <w:tcW w:w="388" w:type="pct"/>
            <w:tcBorders>
              <w:top w:val="nil"/>
              <w:left w:val="nil"/>
              <w:bottom w:val="single" w:sz="4" w:space="0" w:color="auto"/>
              <w:right w:val="single" w:sz="4" w:space="0" w:color="auto"/>
            </w:tcBorders>
            <w:shd w:val="clear" w:color="000000" w:fill="F2F2F2"/>
            <w:vAlign w:val="center"/>
            <w:hideMark/>
          </w:tcPr>
          <w:p w14:paraId="5212CEB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c>
          <w:tcPr>
            <w:tcW w:w="483" w:type="pct"/>
            <w:tcBorders>
              <w:top w:val="nil"/>
              <w:left w:val="nil"/>
              <w:bottom w:val="single" w:sz="4" w:space="0" w:color="auto"/>
              <w:right w:val="single" w:sz="4" w:space="0" w:color="auto"/>
            </w:tcBorders>
            <w:shd w:val="clear" w:color="000000" w:fill="F2F2F2"/>
            <w:vAlign w:val="center"/>
            <w:hideMark/>
          </w:tcPr>
          <w:p w14:paraId="369236F3"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r>
      <w:tr w:rsidR="008B6659" w:rsidRPr="0029055C" w14:paraId="6A48F917"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605A8ED6"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13</w:t>
            </w:r>
          </w:p>
        </w:tc>
        <w:tc>
          <w:tcPr>
            <w:tcW w:w="183" w:type="pct"/>
            <w:tcBorders>
              <w:top w:val="nil"/>
              <w:left w:val="nil"/>
              <w:bottom w:val="single" w:sz="4" w:space="0" w:color="auto"/>
              <w:right w:val="single" w:sz="4" w:space="0" w:color="auto"/>
            </w:tcBorders>
            <w:shd w:val="clear" w:color="auto" w:fill="auto"/>
            <w:vAlign w:val="center"/>
            <w:hideMark/>
          </w:tcPr>
          <w:p w14:paraId="0D26960A"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ΕΤΠΑ</w:t>
            </w:r>
          </w:p>
        </w:tc>
        <w:tc>
          <w:tcPr>
            <w:tcW w:w="351" w:type="pct"/>
            <w:tcBorders>
              <w:top w:val="nil"/>
              <w:left w:val="nil"/>
              <w:bottom w:val="single" w:sz="4" w:space="0" w:color="auto"/>
              <w:right w:val="single" w:sz="4" w:space="0" w:color="auto"/>
            </w:tcBorders>
            <w:shd w:val="clear" w:color="auto" w:fill="auto"/>
            <w:vAlign w:val="center"/>
            <w:hideMark/>
          </w:tcPr>
          <w:p w14:paraId="1C56BF7F"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Περισσότερο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46FD3803"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636.731,00</w:t>
            </w:r>
          </w:p>
        </w:tc>
        <w:tc>
          <w:tcPr>
            <w:tcW w:w="348" w:type="pct"/>
            <w:tcBorders>
              <w:top w:val="nil"/>
              <w:left w:val="nil"/>
              <w:bottom w:val="single" w:sz="4" w:space="0" w:color="auto"/>
              <w:right w:val="single" w:sz="4" w:space="0" w:color="auto"/>
            </w:tcBorders>
            <w:shd w:val="clear" w:color="000000" w:fill="F2F2F2"/>
            <w:vAlign w:val="center"/>
            <w:hideMark/>
          </w:tcPr>
          <w:p w14:paraId="7B5AB2DD"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159.183,00</w:t>
            </w:r>
          </w:p>
        </w:tc>
        <w:tc>
          <w:tcPr>
            <w:tcW w:w="325" w:type="pct"/>
            <w:tcBorders>
              <w:top w:val="nil"/>
              <w:left w:val="nil"/>
              <w:bottom w:val="single" w:sz="4" w:space="0" w:color="auto"/>
              <w:right w:val="single" w:sz="4" w:space="0" w:color="auto"/>
            </w:tcBorders>
            <w:shd w:val="clear" w:color="000000" w:fill="F2F2F2"/>
            <w:vAlign w:val="center"/>
            <w:hideMark/>
          </w:tcPr>
          <w:p w14:paraId="618CB814"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159.183,00</w:t>
            </w:r>
          </w:p>
        </w:tc>
        <w:tc>
          <w:tcPr>
            <w:tcW w:w="256" w:type="pct"/>
            <w:tcBorders>
              <w:top w:val="nil"/>
              <w:left w:val="nil"/>
              <w:bottom w:val="single" w:sz="4" w:space="0" w:color="auto"/>
              <w:right w:val="single" w:sz="4" w:space="0" w:color="auto"/>
            </w:tcBorders>
            <w:shd w:val="clear" w:color="000000" w:fill="F2F2F2"/>
            <w:vAlign w:val="center"/>
            <w:hideMark/>
          </w:tcPr>
          <w:p w14:paraId="6E7EB167"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0D68A9F7"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795.914,00</w:t>
            </w:r>
          </w:p>
        </w:tc>
        <w:tc>
          <w:tcPr>
            <w:tcW w:w="292" w:type="pct"/>
            <w:tcBorders>
              <w:top w:val="nil"/>
              <w:left w:val="nil"/>
              <w:bottom w:val="single" w:sz="4" w:space="0" w:color="auto"/>
              <w:right w:val="single" w:sz="4" w:space="0" w:color="auto"/>
            </w:tcBorders>
            <w:shd w:val="clear" w:color="000000" w:fill="F2F2F2"/>
            <w:vAlign w:val="center"/>
            <w:hideMark/>
          </w:tcPr>
          <w:p w14:paraId="034D31CA"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437BC9AE"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7EF4F3FF"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636.731,00</w:t>
            </w:r>
          </w:p>
        </w:tc>
        <w:tc>
          <w:tcPr>
            <w:tcW w:w="389" w:type="pct"/>
            <w:tcBorders>
              <w:top w:val="nil"/>
              <w:left w:val="nil"/>
              <w:bottom w:val="single" w:sz="4" w:space="0" w:color="auto"/>
              <w:right w:val="single" w:sz="4" w:space="0" w:color="auto"/>
            </w:tcBorders>
            <w:shd w:val="clear" w:color="000000" w:fill="F2F2F2"/>
            <w:vAlign w:val="center"/>
            <w:hideMark/>
          </w:tcPr>
          <w:p w14:paraId="1641820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159.183,00</w:t>
            </w:r>
          </w:p>
        </w:tc>
        <w:tc>
          <w:tcPr>
            <w:tcW w:w="340" w:type="pct"/>
            <w:tcBorders>
              <w:top w:val="nil"/>
              <w:left w:val="nil"/>
              <w:bottom w:val="single" w:sz="4" w:space="0" w:color="auto"/>
              <w:right w:val="single" w:sz="4" w:space="0" w:color="auto"/>
            </w:tcBorders>
            <w:shd w:val="clear" w:color="auto" w:fill="auto"/>
            <w:vAlign w:val="center"/>
            <w:hideMark/>
          </w:tcPr>
          <w:p w14:paraId="6A266B9C"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0,00</w:t>
            </w:r>
          </w:p>
        </w:tc>
        <w:tc>
          <w:tcPr>
            <w:tcW w:w="388" w:type="pct"/>
            <w:tcBorders>
              <w:top w:val="nil"/>
              <w:left w:val="nil"/>
              <w:bottom w:val="single" w:sz="4" w:space="0" w:color="auto"/>
              <w:right w:val="single" w:sz="4" w:space="0" w:color="auto"/>
            </w:tcBorders>
            <w:shd w:val="clear" w:color="000000" w:fill="F2F2F2"/>
            <w:vAlign w:val="center"/>
            <w:hideMark/>
          </w:tcPr>
          <w:p w14:paraId="5EFB1F6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c>
          <w:tcPr>
            <w:tcW w:w="483" w:type="pct"/>
            <w:tcBorders>
              <w:top w:val="nil"/>
              <w:left w:val="nil"/>
              <w:bottom w:val="single" w:sz="4" w:space="0" w:color="auto"/>
              <w:right w:val="single" w:sz="4" w:space="0" w:color="auto"/>
            </w:tcBorders>
            <w:shd w:val="clear" w:color="000000" w:fill="F2F2F2"/>
            <w:vAlign w:val="center"/>
            <w:hideMark/>
          </w:tcPr>
          <w:p w14:paraId="62F19E0B"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r>
      <w:tr w:rsidR="008B6659" w:rsidRPr="0029055C" w14:paraId="32E108B3"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0C88D32E"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14</w:t>
            </w:r>
          </w:p>
        </w:tc>
        <w:tc>
          <w:tcPr>
            <w:tcW w:w="183" w:type="pct"/>
            <w:tcBorders>
              <w:top w:val="nil"/>
              <w:left w:val="nil"/>
              <w:bottom w:val="single" w:sz="4" w:space="0" w:color="auto"/>
              <w:right w:val="single" w:sz="4" w:space="0" w:color="auto"/>
            </w:tcBorders>
            <w:shd w:val="clear" w:color="auto" w:fill="auto"/>
            <w:vAlign w:val="center"/>
            <w:hideMark/>
          </w:tcPr>
          <w:p w14:paraId="781A4DCB"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ΕΤΠΑ</w:t>
            </w:r>
          </w:p>
        </w:tc>
        <w:tc>
          <w:tcPr>
            <w:tcW w:w="351" w:type="pct"/>
            <w:tcBorders>
              <w:top w:val="nil"/>
              <w:left w:val="nil"/>
              <w:bottom w:val="single" w:sz="4" w:space="0" w:color="auto"/>
              <w:right w:val="single" w:sz="4" w:space="0" w:color="auto"/>
            </w:tcBorders>
            <w:shd w:val="clear" w:color="auto" w:fill="auto"/>
            <w:vAlign w:val="center"/>
            <w:hideMark/>
          </w:tcPr>
          <w:p w14:paraId="24276CE5"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Περιφέρειες σε Μετάβαση</w:t>
            </w:r>
          </w:p>
        </w:tc>
        <w:tc>
          <w:tcPr>
            <w:tcW w:w="348" w:type="pct"/>
            <w:tcBorders>
              <w:top w:val="nil"/>
              <w:left w:val="nil"/>
              <w:bottom w:val="single" w:sz="4" w:space="0" w:color="auto"/>
              <w:right w:val="single" w:sz="4" w:space="0" w:color="auto"/>
            </w:tcBorders>
            <w:shd w:val="clear" w:color="000000" w:fill="FFFFFF"/>
            <w:vAlign w:val="center"/>
            <w:hideMark/>
          </w:tcPr>
          <w:p w14:paraId="17894252"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105.096,00</w:t>
            </w:r>
          </w:p>
        </w:tc>
        <w:tc>
          <w:tcPr>
            <w:tcW w:w="348" w:type="pct"/>
            <w:tcBorders>
              <w:top w:val="nil"/>
              <w:left w:val="nil"/>
              <w:bottom w:val="single" w:sz="4" w:space="0" w:color="auto"/>
              <w:right w:val="single" w:sz="4" w:space="0" w:color="auto"/>
            </w:tcBorders>
            <w:shd w:val="clear" w:color="000000" w:fill="F2F2F2"/>
            <w:vAlign w:val="center"/>
            <w:hideMark/>
          </w:tcPr>
          <w:p w14:paraId="07C1EEF4"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105.096,00</w:t>
            </w:r>
          </w:p>
        </w:tc>
        <w:tc>
          <w:tcPr>
            <w:tcW w:w="325" w:type="pct"/>
            <w:tcBorders>
              <w:top w:val="nil"/>
              <w:left w:val="nil"/>
              <w:bottom w:val="single" w:sz="4" w:space="0" w:color="auto"/>
              <w:right w:val="single" w:sz="4" w:space="0" w:color="auto"/>
            </w:tcBorders>
            <w:shd w:val="clear" w:color="000000" w:fill="F2F2F2"/>
            <w:vAlign w:val="center"/>
            <w:hideMark/>
          </w:tcPr>
          <w:p w14:paraId="35F8ABBB"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105.096,00</w:t>
            </w:r>
          </w:p>
        </w:tc>
        <w:tc>
          <w:tcPr>
            <w:tcW w:w="256" w:type="pct"/>
            <w:tcBorders>
              <w:top w:val="nil"/>
              <w:left w:val="nil"/>
              <w:bottom w:val="single" w:sz="4" w:space="0" w:color="auto"/>
              <w:right w:val="single" w:sz="4" w:space="0" w:color="auto"/>
            </w:tcBorders>
            <w:shd w:val="clear" w:color="000000" w:fill="F2F2F2"/>
            <w:vAlign w:val="center"/>
            <w:hideMark/>
          </w:tcPr>
          <w:p w14:paraId="1FE0FB67"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1519696D"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210.192,00</w:t>
            </w:r>
          </w:p>
        </w:tc>
        <w:tc>
          <w:tcPr>
            <w:tcW w:w="292" w:type="pct"/>
            <w:tcBorders>
              <w:top w:val="nil"/>
              <w:left w:val="nil"/>
              <w:bottom w:val="single" w:sz="4" w:space="0" w:color="auto"/>
              <w:right w:val="single" w:sz="4" w:space="0" w:color="auto"/>
            </w:tcBorders>
            <w:shd w:val="clear" w:color="000000" w:fill="F2F2F2"/>
            <w:vAlign w:val="center"/>
            <w:hideMark/>
          </w:tcPr>
          <w:p w14:paraId="0AEE2742"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50%</w:t>
            </w:r>
          </w:p>
        </w:tc>
        <w:tc>
          <w:tcPr>
            <w:tcW w:w="340" w:type="pct"/>
            <w:tcBorders>
              <w:top w:val="nil"/>
              <w:left w:val="nil"/>
              <w:bottom w:val="single" w:sz="4" w:space="0" w:color="auto"/>
              <w:right w:val="single" w:sz="4" w:space="0" w:color="auto"/>
            </w:tcBorders>
            <w:shd w:val="clear" w:color="auto" w:fill="auto"/>
            <w:vAlign w:val="center"/>
            <w:hideMark/>
          </w:tcPr>
          <w:p w14:paraId="6D64CC57"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4F001CB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105.096,00</w:t>
            </w:r>
          </w:p>
        </w:tc>
        <w:tc>
          <w:tcPr>
            <w:tcW w:w="389" w:type="pct"/>
            <w:tcBorders>
              <w:top w:val="nil"/>
              <w:left w:val="nil"/>
              <w:bottom w:val="single" w:sz="4" w:space="0" w:color="auto"/>
              <w:right w:val="single" w:sz="4" w:space="0" w:color="auto"/>
            </w:tcBorders>
            <w:shd w:val="clear" w:color="000000" w:fill="F2F2F2"/>
            <w:vAlign w:val="center"/>
            <w:hideMark/>
          </w:tcPr>
          <w:p w14:paraId="525B77AB"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105.096,00</w:t>
            </w:r>
          </w:p>
        </w:tc>
        <w:tc>
          <w:tcPr>
            <w:tcW w:w="340" w:type="pct"/>
            <w:tcBorders>
              <w:top w:val="nil"/>
              <w:left w:val="nil"/>
              <w:bottom w:val="single" w:sz="4" w:space="0" w:color="auto"/>
              <w:right w:val="single" w:sz="4" w:space="0" w:color="auto"/>
            </w:tcBorders>
            <w:shd w:val="clear" w:color="auto" w:fill="auto"/>
            <w:vAlign w:val="center"/>
            <w:hideMark/>
          </w:tcPr>
          <w:p w14:paraId="1A0AC260"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0,00</w:t>
            </w:r>
          </w:p>
        </w:tc>
        <w:tc>
          <w:tcPr>
            <w:tcW w:w="388" w:type="pct"/>
            <w:tcBorders>
              <w:top w:val="nil"/>
              <w:left w:val="nil"/>
              <w:bottom w:val="single" w:sz="4" w:space="0" w:color="auto"/>
              <w:right w:val="single" w:sz="4" w:space="0" w:color="auto"/>
            </w:tcBorders>
            <w:shd w:val="clear" w:color="000000" w:fill="F2F2F2"/>
            <w:vAlign w:val="center"/>
            <w:hideMark/>
          </w:tcPr>
          <w:p w14:paraId="29CF9BE4"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c>
          <w:tcPr>
            <w:tcW w:w="483" w:type="pct"/>
            <w:tcBorders>
              <w:top w:val="nil"/>
              <w:left w:val="nil"/>
              <w:bottom w:val="single" w:sz="4" w:space="0" w:color="auto"/>
              <w:right w:val="single" w:sz="4" w:space="0" w:color="auto"/>
            </w:tcBorders>
            <w:shd w:val="clear" w:color="000000" w:fill="F2F2F2"/>
            <w:vAlign w:val="center"/>
            <w:hideMark/>
          </w:tcPr>
          <w:p w14:paraId="1C9C4A74"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r>
      <w:tr w:rsidR="008B6659" w:rsidRPr="0029055C" w14:paraId="40CBB51A"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7E179C95" w14:textId="77777777" w:rsidR="008B6659" w:rsidRPr="0029055C" w:rsidRDefault="008B6659" w:rsidP="008B6659">
            <w:pPr>
              <w:spacing w:before="40" w:after="40" w:line="240" w:lineRule="auto"/>
              <w:jc w:val="center"/>
              <w:rPr>
                <w:rFonts w:asciiTheme="minorHAnsi" w:hAnsiTheme="minorHAnsi" w:cstheme="minorHAnsi"/>
                <w:i/>
                <w:iCs/>
                <w:color w:val="000000"/>
                <w:sz w:val="14"/>
                <w:szCs w:val="14"/>
              </w:rPr>
            </w:pPr>
            <w:r w:rsidRPr="0029055C">
              <w:rPr>
                <w:rFonts w:asciiTheme="minorHAnsi" w:hAnsiTheme="minorHAnsi" w:cstheme="minorHAnsi"/>
                <w:i/>
                <w:iCs/>
                <w:color w:val="000000"/>
                <w:sz w:val="14"/>
                <w:szCs w:val="14"/>
              </w:rPr>
              <w:t>15</w:t>
            </w:r>
          </w:p>
        </w:tc>
        <w:tc>
          <w:tcPr>
            <w:tcW w:w="183" w:type="pct"/>
            <w:tcBorders>
              <w:top w:val="nil"/>
              <w:left w:val="nil"/>
              <w:bottom w:val="single" w:sz="4" w:space="0" w:color="auto"/>
              <w:right w:val="single" w:sz="4" w:space="0" w:color="auto"/>
            </w:tcBorders>
            <w:shd w:val="clear" w:color="auto" w:fill="auto"/>
            <w:vAlign w:val="center"/>
            <w:hideMark/>
          </w:tcPr>
          <w:p w14:paraId="6ADEECFF"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ΕΤΠΑ</w:t>
            </w:r>
          </w:p>
        </w:tc>
        <w:tc>
          <w:tcPr>
            <w:tcW w:w="351" w:type="pct"/>
            <w:tcBorders>
              <w:top w:val="nil"/>
              <w:left w:val="nil"/>
              <w:bottom w:val="single" w:sz="4" w:space="0" w:color="auto"/>
              <w:right w:val="single" w:sz="4" w:space="0" w:color="auto"/>
            </w:tcBorders>
            <w:shd w:val="clear" w:color="auto" w:fill="auto"/>
            <w:vAlign w:val="center"/>
            <w:hideMark/>
          </w:tcPr>
          <w:p w14:paraId="0536EFFF"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Περισσότερο αναπτυγμένες</w:t>
            </w:r>
          </w:p>
        </w:tc>
        <w:tc>
          <w:tcPr>
            <w:tcW w:w="348" w:type="pct"/>
            <w:tcBorders>
              <w:top w:val="nil"/>
              <w:left w:val="nil"/>
              <w:bottom w:val="single" w:sz="4" w:space="0" w:color="auto"/>
              <w:right w:val="single" w:sz="4" w:space="0" w:color="auto"/>
            </w:tcBorders>
            <w:shd w:val="clear" w:color="000000" w:fill="FFFFFF"/>
            <w:vAlign w:val="center"/>
            <w:hideMark/>
          </w:tcPr>
          <w:p w14:paraId="27A1B8C5"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51.544,00</w:t>
            </w:r>
          </w:p>
        </w:tc>
        <w:tc>
          <w:tcPr>
            <w:tcW w:w="348" w:type="pct"/>
            <w:tcBorders>
              <w:top w:val="nil"/>
              <w:left w:val="nil"/>
              <w:bottom w:val="single" w:sz="4" w:space="0" w:color="auto"/>
              <w:right w:val="single" w:sz="4" w:space="0" w:color="auto"/>
            </w:tcBorders>
            <w:shd w:val="clear" w:color="000000" w:fill="F2F2F2"/>
            <w:vAlign w:val="center"/>
            <w:hideMark/>
          </w:tcPr>
          <w:p w14:paraId="023A1AB6"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51.544,00</w:t>
            </w:r>
          </w:p>
        </w:tc>
        <w:tc>
          <w:tcPr>
            <w:tcW w:w="325" w:type="pct"/>
            <w:tcBorders>
              <w:top w:val="nil"/>
              <w:left w:val="nil"/>
              <w:bottom w:val="single" w:sz="4" w:space="0" w:color="auto"/>
              <w:right w:val="single" w:sz="4" w:space="0" w:color="auto"/>
            </w:tcBorders>
            <w:shd w:val="clear" w:color="000000" w:fill="F2F2F2"/>
            <w:vAlign w:val="center"/>
            <w:hideMark/>
          </w:tcPr>
          <w:p w14:paraId="0A1F73FD"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51.544,00</w:t>
            </w:r>
          </w:p>
        </w:tc>
        <w:tc>
          <w:tcPr>
            <w:tcW w:w="256" w:type="pct"/>
            <w:tcBorders>
              <w:top w:val="nil"/>
              <w:left w:val="nil"/>
              <w:bottom w:val="single" w:sz="4" w:space="0" w:color="auto"/>
              <w:right w:val="single" w:sz="4" w:space="0" w:color="auto"/>
            </w:tcBorders>
            <w:shd w:val="clear" w:color="000000" w:fill="F2F2F2"/>
            <w:vAlign w:val="center"/>
            <w:hideMark/>
          </w:tcPr>
          <w:p w14:paraId="73B16968"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 </w:t>
            </w:r>
          </w:p>
        </w:tc>
        <w:tc>
          <w:tcPr>
            <w:tcW w:w="374" w:type="pct"/>
            <w:tcBorders>
              <w:top w:val="nil"/>
              <w:left w:val="nil"/>
              <w:bottom w:val="single" w:sz="4" w:space="0" w:color="auto"/>
              <w:right w:val="single" w:sz="4" w:space="0" w:color="auto"/>
            </w:tcBorders>
            <w:shd w:val="clear" w:color="000000" w:fill="FFFFFF"/>
            <w:vAlign w:val="center"/>
            <w:hideMark/>
          </w:tcPr>
          <w:p w14:paraId="7825A9F6"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103.088,00</w:t>
            </w:r>
          </w:p>
        </w:tc>
        <w:tc>
          <w:tcPr>
            <w:tcW w:w="292" w:type="pct"/>
            <w:tcBorders>
              <w:top w:val="nil"/>
              <w:left w:val="nil"/>
              <w:bottom w:val="single" w:sz="4" w:space="0" w:color="auto"/>
              <w:right w:val="single" w:sz="4" w:space="0" w:color="auto"/>
            </w:tcBorders>
            <w:shd w:val="clear" w:color="000000" w:fill="F2F2F2"/>
            <w:vAlign w:val="center"/>
            <w:hideMark/>
          </w:tcPr>
          <w:p w14:paraId="57F648B6"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50%</w:t>
            </w:r>
          </w:p>
        </w:tc>
        <w:tc>
          <w:tcPr>
            <w:tcW w:w="340" w:type="pct"/>
            <w:tcBorders>
              <w:top w:val="nil"/>
              <w:left w:val="nil"/>
              <w:bottom w:val="single" w:sz="4" w:space="0" w:color="auto"/>
              <w:right w:val="single" w:sz="4" w:space="0" w:color="auto"/>
            </w:tcBorders>
            <w:shd w:val="clear" w:color="auto" w:fill="auto"/>
            <w:vAlign w:val="center"/>
            <w:hideMark/>
          </w:tcPr>
          <w:p w14:paraId="1E50622F"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0CD3666A"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51.544,00</w:t>
            </w:r>
          </w:p>
        </w:tc>
        <w:tc>
          <w:tcPr>
            <w:tcW w:w="389" w:type="pct"/>
            <w:tcBorders>
              <w:top w:val="nil"/>
              <w:left w:val="nil"/>
              <w:bottom w:val="single" w:sz="4" w:space="0" w:color="auto"/>
              <w:right w:val="single" w:sz="4" w:space="0" w:color="auto"/>
            </w:tcBorders>
            <w:shd w:val="clear" w:color="000000" w:fill="F2F2F2"/>
            <w:vAlign w:val="center"/>
            <w:hideMark/>
          </w:tcPr>
          <w:p w14:paraId="250CB2F9"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51.544,00</w:t>
            </w:r>
          </w:p>
        </w:tc>
        <w:tc>
          <w:tcPr>
            <w:tcW w:w="340" w:type="pct"/>
            <w:tcBorders>
              <w:top w:val="nil"/>
              <w:left w:val="nil"/>
              <w:bottom w:val="single" w:sz="4" w:space="0" w:color="auto"/>
              <w:right w:val="single" w:sz="4" w:space="0" w:color="auto"/>
            </w:tcBorders>
            <w:shd w:val="clear" w:color="auto" w:fill="auto"/>
            <w:vAlign w:val="center"/>
            <w:hideMark/>
          </w:tcPr>
          <w:p w14:paraId="733AB25A" w14:textId="77777777" w:rsidR="008B6659" w:rsidRPr="0029055C" w:rsidRDefault="008B6659" w:rsidP="008B6659">
            <w:pPr>
              <w:spacing w:before="40" w:after="40" w:line="240" w:lineRule="auto"/>
              <w:jc w:val="right"/>
              <w:rPr>
                <w:rFonts w:asciiTheme="minorHAnsi" w:hAnsiTheme="minorHAnsi" w:cstheme="minorHAnsi"/>
                <w:sz w:val="14"/>
                <w:szCs w:val="14"/>
              </w:rPr>
            </w:pPr>
            <w:r w:rsidRPr="0029055C">
              <w:rPr>
                <w:rFonts w:asciiTheme="minorHAnsi" w:hAnsiTheme="minorHAnsi" w:cstheme="minorHAnsi"/>
                <w:sz w:val="14"/>
                <w:szCs w:val="14"/>
              </w:rPr>
              <w:t>0,00</w:t>
            </w:r>
          </w:p>
        </w:tc>
        <w:tc>
          <w:tcPr>
            <w:tcW w:w="388" w:type="pct"/>
            <w:tcBorders>
              <w:top w:val="nil"/>
              <w:left w:val="nil"/>
              <w:bottom w:val="single" w:sz="4" w:space="0" w:color="auto"/>
              <w:right w:val="single" w:sz="4" w:space="0" w:color="auto"/>
            </w:tcBorders>
            <w:shd w:val="clear" w:color="000000" w:fill="F2F2F2"/>
            <w:vAlign w:val="center"/>
            <w:hideMark/>
          </w:tcPr>
          <w:p w14:paraId="2DD913DE" w14:textId="77777777" w:rsidR="008B6659" w:rsidRPr="0029055C" w:rsidRDefault="008B6659" w:rsidP="008B6659">
            <w:pPr>
              <w:spacing w:before="40" w:after="40" w:line="240" w:lineRule="auto"/>
              <w:jc w:val="right"/>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c>
          <w:tcPr>
            <w:tcW w:w="483" w:type="pct"/>
            <w:tcBorders>
              <w:top w:val="nil"/>
              <w:left w:val="nil"/>
              <w:bottom w:val="single" w:sz="4" w:space="0" w:color="auto"/>
              <w:right w:val="single" w:sz="4" w:space="0" w:color="auto"/>
            </w:tcBorders>
            <w:shd w:val="clear" w:color="000000" w:fill="F2F2F2"/>
            <w:vAlign w:val="center"/>
            <w:hideMark/>
          </w:tcPr>
          <w:p w14:paraId="7BDBF826" w14:textId="77777777" w:rsidR="008B6659" w:rsidRPr="0029055C" w:rsidRDefault="008B6659" w:rsidP="008B6659">
            <w:pPr>
              <w:spacing w:before="40" w:after="40" w:line="240" w:lineRule="auto"/>
              <w:jc w:val="center"/>
              <w:rPr>
                <w:rFonts w:asciiTheme="minorHAnsi" w:hAnsiTheme="minorHAnsi" w:cstheme="minorHAnsi"/>
                <w:color w:val="000000"/>
                <w:sz w:val="14"/>
                <w:szCs w:val="14"/>
              </w:rPr>
            </w:pPr>
            <w:r w:rsidRPr="0029055C">
              <w:rPr>
                <w:rFonts w:asciiTheme="minorHAnsi" w:hAnsiTheme="minorHAnsi" w:cstheme="minorHAnsi"/>
                <w:color w:val="000000"/>
                <w:sz w:val="14"/>
                <w:szCs w:val="14"/>
              </w:rPr>
              <w:t>0,00%</w:t>
            </w:r>
          </w:p>
        </w:tc>
      </w:tr>
      <w:tr w:rsidR="008B6659" w:rsidRPr="0029055C" w14:paraId="40EE51BB"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61EF847B"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Σύνολο</w:t>
            </w:r>
          </w:p>
        </w:tc>
        <w:tc>
          <w:tcPr>
            <w:tcW w:w="183" w:type="pct"/>
            <w:tcBorders>
              <w:top w:val="nil"/>
              <w:left w:val="nil"/>
              <w:bottom w:val="single" w:sz="4" w:space="0" w:color="auto"/>
              <w:right w:val="single" w:sz="4" w:space="0" w:color="auto"/>
            </w:tcBorders>
            <w:shd w:val="clear" w:color="auto" w:fill="auto"/>
            <w:vAlign w:val="center"/>
            <w:hideMark/>
          </w:tcPr>
          <w:p w14:paraId="3CBA3AF3"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ΕΤΠΑ</w:t>
            </w:r>
          </w:p>
        </w:tc>
        <w:tc>
          <w:tcPr>
            <w:tcW w:w="351" w:type="pct"/>
            <w:tcBorders>
              <w:top w:val="nil"/>
              <w:left w:val="nil"/>
              <w:bottom w:val="single" w:sz="4" w:space="0" w:color="auto"/>
              <w:right w:val="single" w:sz="4" w:space="0" w:color="auto"/>
            </w:tcBorders>
            <w:shd w:val="clear" w:color="auto" w:fill="auto"/>
            <w:vAlign w:val="center"/>
            <w:hideMark/>
          </w:tcPr>
          <w:p w14:paraId="4F745511"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Λιγότερο αναπτυγμένες</w:t>
            </w:r>
          </w:p>
        </w:tc>
        <w:tc>
          <w:tcPr>
            <w:tcW w:w="348" w:type="pct"/>
            <w:tcBorders>
              <w:top w:val="nil"/>
              <w:left w:val="nil"/>
              <w:bottom w:val="single" w:sz="4" w:space="0" w:color="auto"/>
              <w:right w:val="single" w:sz="4" w:space="0" w:color="auto"/>
            </w:tcBorders>
            <w:shd w:val="clear" w:color="auto" w:fill="auto"/>
            <w:vAlign w:val="center"/>
            <w:hideMark/>
          </w:tcPr>
          <w:p w14:paraId="3CF05062"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154.008.198,00</w:t>
            </w:r>
          </w:p>
        </w:tc>
        <w:tc>
          <w:tcPr>
            <w:tcW w:w="348" w:type="pct"/>
            <w:tcBorders>
              <w:top w:val="nil"/>
              <w:left w:val="nil"/>
              <w:bottom w:val="single" w:sz="4" w:space="0" w:color="auto"/>
              <w:right w:val="single" w:sz="4" w:space="0" w:color="auto"/>
            </w:tcBorders>
            <w:shd w:val="clear" w:color="000000" w:fill="F2F2F2"/>
            <w:vAlign w:val="center"/>
            <w:hideMark/>
          </w:tcPr>
          <w:p w14:paraId="6A4885F5"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38.502.050,00</w:t>
            </w:r>
          </w:p>
        </w:tc>
        <w:tc>
          <w:tcPr>
            <w:tcW w:w="325" w:type="pct"/>
            <w:tcBorders>
              <w:top w:val="nil"/>
              <w:left w:val="nil"/>
              <w:bottom w:val="single" w:sz="4" w:space="0" w:color="auto"/>
              <w:right w:val="single" w:sz="4" w:space="0" w:color="auto"/>
            </w:tcBorders>
            <w:shd w:val="clear" w:color="000000" w:fill="F2F2F2"/>
            <w:vAlign w:val="center"/>
            <w:hideMark/>
          </w:tcPr>
          <w:p w14:paraId="7B47F758"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38.502.050,00</w:t>
            </w:r>
          </w:p>
        </w:tc>
        <w:tc>
          <w:tcPr>
            <w:tcW w:w="256" w:type="pct"/>
            <w:tcBorders>
              <w:top w:val="nil"/>
              <w:left w:val="nil"/>
              <w:bottom w:val="single" w:sz="4" w:space="0" w:color="auto"/>
              <w:right w:val="single" w:sz="4" w:space="0" w:color="auto"/>
            </w:tcBorders>
            <w:shd w:val="clear" w:color="000000" w:fill="F2F2F2"/>
            <w:vAlign w:val="center"/>
            <w:hideMark/>
          </w:tcPr>
          <w:p w14:paraId="12E8E807"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w:t>
            </w:r>
          </w:p>
        </w:tc>
        <w:tc>
          <w:tcPr>
            <w:tcW w:w="374" w:type="pct"/>
            <w:tcBorders>
              <w:top w:val="nil"/>
              <w:left w:val="nil"/>
              <w:bottom w:val="single" w:sz="4" w:space="0" w:color="auto"/>
              <w:right w:val="single" w:sz="4" w:space="0" w:color="auto"/>
            </w:tcBorders>
            <w:shd w:val="clear" w:color="auto" w:fill="auto"/>
            <w:vAlign w:val="center"/>
            <w:hideMark/>
          </w:tcPr>
          <w:p w14:paraId="0C1A0E2B"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192.510.248,00</w:t>
            </w:r>
          </w:p>
        </w:tc>
        <w:tc>
          <w:tcPr>
            <w:tcW w:w="292" w:type="pct"/>
            <w:tcBorders>
              <w:top w:val="nil"/>
              <w:left w:val="nil"/>
              <w:bottom w:val="single" w:sz="4" w:space="0" w:color="auto"/>
              <w:right w:val="single" w:sz="4" w:space="0" w:color="auto"/>
            </w:tcBorders>
            <w:shd w:val="clear" w:color="000000" w:fill="F2F2F2"/>
            <w:vAlign w:val="center"/>
            <w:hideMark/>
          </w:tcPr>
          <w:p w14:paraId="5E9E2EE2"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757974D5"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4F83FC53"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144.613.960,00</w:t>
            </w:r>
          </w:p>
        </w:tc>
        <w:tc>
          <w:tcPr>
            <w:tcW w:w="389" w:type="pct"/>
            <w:tcBorders>
              <w:top w:val="nil"/>
              <w:left w:val="nil"/>
              <w:bottom w:val="single" w:sz="4" w:space="0" w:color="auto"/>
              <w:right w:val="single" w:sz="4" w:space="0" w:color="auto"/>
            </w:tcBorders>
            <w:shd w:val="clear" w:color="000000" w:fill="F2F2F2"/>
            <w:vAlign w:val="center"/>
            <w:hideMark/>
          </w:tcPr>
          <w:p w14:paraId="1573DA31"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36.153.490,00</w:t>
            </w:r>
          </w:p>
        </w:tc>
        <w:tc>
          <w:tcPr>
            <w:tcW w:w="340" w:type="pct"/>
            <w:tcBorders>
              <w:top w:val="nil"/>
              <w:left w:val="nil"/>
              <w:bottom w:val="single" w:sz="4" w:space="0" w:color="auto"/>
              <w:right w:val="single" w:sz="4" w:space="0" w:color="auto"/>
            </w:tcBorders>
            <w:shd w:val="clear" w:color="000000" w:fill="FFFFFF"/>
            <w:vAlign w:val="center"/>
            <w:hideMark/>
          </w:tcPr>
          <w:p w14:paraId="18863BB5"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9.394.238,00</w:t>
            </w:r>
          </w:p>
        </w:tc>
        <w:tc>
          <w:tcPr>
            <w:tcW w:w="388" w:type="pct"/>
            <w:tcBorders>
              <w:top w:val="nil"/>
              <w:left w:val="nil"/>
              <w:bottom w:val="single" w:sz="4" w:space="0" w:color="auto"/>
              <w:right w:val="single" w:sz="4" w:space="0" w:color="auto"/>
            </w:tcBorders>
            <w:shd w:val="clear" w:color="000000" w:fill="F2F2F2"/>
            <w:vAlign w:val="center"/>
            <w:hideMark/>
          </w:tcPr>
          <w:p w14:paraId="70AD412E"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2.348.560,00</w:t>
            </w:r>
          </w:p>
        </w:tc>
        <w:tc>
          <w:tcPr>
            <w:tcW w:w="483" w:type="pct"/>
            <w:tcBorders>
              <w:top w:val="nil"/>
              <w:left w:val="nil"/>
              <w:bottom w:val="single" w:sz="4" w:space="0" w:color="auto"/>
              <w:right w:val="single" w:sz="4" w:space="0" w:color="auto"/>
            </w:tcBorders>
            <w:shd w:val="clear" w:color="000000" w:fill="F2F2F2"/>
            <w:vAlign w:val="center"/>
            <w:hideMark/>
          </w:tcPr>
          <w:p w14:paraId="41AA64EB"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6,10%</w:t>
            </w:r>
          </w:p>
        </w:tc>
      </w:tr>
      <w:tr w:rsidR="008B6659" w:rsidRPr="0029055C" w14:paraId="2CA85B18"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11C23BEB"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Σύνολο</w:t>
            </w:r>
          </w:p>
        </w:tc>
        <w:tc>
          <w:tcPr>
            <w:tcW w:w="183" w:type="pct"/>
            <w:tcBorders>
              <w:top w:val="nil"/>
              <w:left w:val="nil"/>
              <w:bottom w:val="single" w:sz="4" w:space="0" w:color="auto"/>
              <w:right w:val="single" w:sz="4" w:space="0" w:color="auto"/>
            </w:tcBorders>
            <w:shd w:val="clear" w:color="auto" w:fill="auto"/>
            <w:vAlign w:val="center"/>
            <w:hideMark/>
          </w:tcPr>
          <w:p w14:paraId="638156B3"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ΕΤΠΑ</w:t>
            </w:r>
          </w:p>
        </w:tc>
        <w:tc>
          <w:tcPr>
            <w:tcW w:w="351" w:type="pct"/>
            <w:tcBorders>
              <w:top w:val="nil"/>
              <w:left w:val="nil"/>
              <w:bottom w:val="single" w:sz="4" w:space="0" w:color="auto"/>
              <w:right w:val="single" w:sz="4" w:space="0" w:color="auto"/>
            </w:tcBorders>
            <w:shd w:val="clear" w:color="auto" w:fill="auto"/>
            <w:vAlign w:val="center"/>
            <w:hideMark/>
          </w:tcPr>
          <w:p w14:paraId="73E7F0EF"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Περιφέρειες σε Μετάβαση</w:t>
            </w:r>
          </w:p>
        </w:tc>
        <w:tc>
          <w:tcPr>
            <w:tcW w:w="348" w:type="pct"/>
            <w:tcBorders>
              <w:top w:val="nil"/>
              <w:left w:val="nil"/>
              <w:bottom w:val="single" w:sz="4" w:space="0" w:color="auto"/>
              <w:right w:val="single" w:sz="4" w:space="0" w:color="auto"/>
            </w:tcBorders>
            <w:shd w:val="clear" w:color="auto" w:fill="auto"/>
            <w:vAlign w:val="center"/>
            <w:hideMark/>
          </w:tcPr>
          <w:p w14:paraId="2412EDD9"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34.393.941,00</w:t>
            </w:r>
          </w:p>
        </w:tc>
        <w:tc>
          <w:tcPr>
            <w:tcW w:w="348" w:type="pct"/>
            <w:tcBorders>
              <w:top w:val="nil"/>
              <w:left w:val="nil"/>
              <w:bottom w:val="single" w:sz="4" w:space="0" w:color="auto"/>
              <w:right w:val="single" w:sz="4" w:space="0" w:color="auto"/>
            </w:tcBorders>
            <w:shd w:val="clear" w:color="000000" w:fill="F2F2F2"/>
            <w:vAlign w:val="center"/>
            <w:hideMark/>
          </w:tcPr>
          <w:p w14:paraId="053B5C67"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14.387.142,00</w:t>
            </w:r>
          </w:p>
        </w:tc>
        <w:tc>
          <w:tcPr>
            <w:tcW w:w="325" w:type="pct"/>
            <w:tcBorders>
              <w:top w:val="nil"/>
              <w:left w:val="nil"/>
              <w:bottom w:val="single" w:sz="4" w:space="0" w:color="auto"/>
              <w:right w:val="single" w:sz="4" w:space="0" w:color="auto"/>
            </w:tcBorders>
            <w:shd w:val="clear" w:color="000000" w:fill="F2F2F2"/>
            <w:vAlign w:val="center"/>
            <w:hideMark/>
          </w:tcPr>
          <w:p w14:paraId="5154823B"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14.387.142,00</w:t>
            </w:r>
          </w:p>
        </w:tc>
        <w:tc>
          <w:tcPr>
            <w:tcW w:w="256" w:type="pct"/>
            <w:tcBorders>
              <w:top w:val="nil"/>
              <w:left w:val="nil"/>
              <w:bottom w:val="single" w:sz="4" w:space="0" w:color="auto"/>
              <w:right w:val="single" w:sz="4" w:space="0" w:color="auto"/>
            </w:tcBorders>
            <w:shd w:val="clear" w:color="000000" w:fill="F2F2F2"/>
            <w:vAlign w:val="center"/>
            <w:hideMark/>
          </w:tcPr>
          <w:p w14:paraId="3214EEB8"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w:t>
            </w:r>
          </w:p>
        </w:tc>
        <w:tc>
          <w:tcPr>
            <w:tcW w:w="374" w:type="pct"/>
            <w:tcBorders>
              <w:top w:val="nil"/>
              <w:left w:val="nil"/>
              <w:bottom w:val="single" w:sz="4" w:space="0" w:color="auto"/>
              <w:right w:val="single" w:sz="4" w:space="0" w:color="auto"/>
            </w:tcBorders>
            <w:shd w:val="clear" w:color="auto" w:fill="auto"/>
            <w:vAlign w:val="center"/>
            <w:hideMark/>
          </w:tcPr>
          <w:p w14:paraId="6816E827"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48.781.083,00</w:t>
            </w:r>
          </w:p>
        </w:tc>
        <w:tc>
          <w:tcPr>
            <w:tcW w:w="292" w:type="pct"/>
            <w:tcBorders>
              <w:top w:val="nil"/>
              <w:left w:val="nil"/>
              <w:bottom w:val="single" w:sz="4" w:space="0" w:color="auto"/>
              <w:right w:val="single" w:sz="4" w:space="0" w:color="auto"/>
            </w:tcBorders>
            <w:shd w:val="clear" w:color="000000" w:fill="F2F2F2"/>
            <w:vAlign w:val="center"/>
            <w:hideMark/>
          </w:tcPr>
          <w:p w14:paraId="51D4FBCE"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71%</w:t>
            </w:r>
          </w:p>
        </w:tc>
        <w:tc>
          <w:tcPr>
            <w:tcW w:w="340" w:type="pct"/>
            <w:tcBorders>
              <w:top w:val="nil"/>
              <w:left w:val="nil"/>
              <w:bottom w:val="single" w:sz="4" w:space="0" w:color="auto"/>
              <w:right w:val="single" w:sz="4" w:space="0" w:color="auto"/>
            </w:tcBorders>
            <w:shd w:val="clear" w:color="auto" w:fill="auto"/>
            <w:vAlign w:val="center"/>
            <w:hideMark/>
          </w:tcPr>
          <w:p w14:paraId="72CCED4B"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3AB83FD2"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32.295.967,00</w:t>
            </w:r>
          </w:p>
        </w:tc>
        <w:tc>
          <w:tcPr>
            <w:tcW w:w="389" w:type="pct"/>
            <w:tcBorders>
              <w:top w:val="nil"/>
              <w:left w:val="nil"/>
              <w:bottom w:val="single" w:sz="4" w:space="0" w:color="auto"/>
              <w:right w:val="single" w:sz="4" w:space="0" w:color="auto"/>
            </w:tcBorders>
            <w:shd w:val="clear" w:color="000000" w:fill="F2F2F2"/>
            <w:vAlign w:val="center"/>
            <w:hideMark/>
          </w:tcPr>
          <w:p w14:paraId="49753295"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13.509.549,00</w:t>
            </w:r>
          </w:p>
        </w:tc>
        <w:tc>
          <w:tcPr>
            <w:tcW w:w="340" w:type="pct"/>
            <w:tcBorders>
              <w:top w:val="nil"/>
              <w:left w:val="nil"/>
              <w:bottom w:val="single" w:sz="4" w:space="0" w:color="auto"/>
              <w:right w:val="single" w:sz="4" w:space="0" w:color="auto"/>
            </w:tcBorders>
            <w:shd w:val="clear" w:color="000000" w:fill="FFFFFF"/>
            <w:vAlign w:val="center"/>
            <w:hideMark/>
          </w:tcPr>
          <w:p w14:paraId="3022490F"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2.097.974,00</w:t>
            </w:r>
          </w:p>
        </w:tc>
        <w:tc>
          <w:tcPr>
            <w:tcW w:w="388" w:type="pct"/>
            <w:tcBorders>
              <w:top w:val="nil"/>
              <w:left w:val="nil"/>
              <w:bottom w:val="single" w:sz="4" w:space="0" w:color="auto"/>
              <w:right w:val="single" w:sz="4" w:space="0" w:color="auto"/>
            </w:tcBorders>
            <w:shd w:val="clear" w:color="000000" w:fill="F2F2F2"/>
            <w:vAlign w:val="center"/>
            <w:hideMark/>
          </w:tcPr>
          <w:p w14:paraId="2E599081"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877.593,00</w:t>
            </w:r>
          </w:p>
        </w:tc>
        <w:tc>
          <w:tcPr>
            <w:tcW w:w="483" w:type="pct"/>
            <w:tcBorders>
              <w:top w:val="nil"/>
              <w:left w:val="nil"/>
              <w:bottom w:val="single" w:sz="4" w:space="0" w:color="auto"/>
              <w:right w:val="single" w:sz="4" w:space="0" w:color="auto"/>
            </w:tcBorders>
            <w:shd w:val="clear" w:color="000000" w:fill="F2F2F2"/>
            <w:vAlign w:val="center"/>
            <w:hideMark/>
          </w:tcPr>
          <w:p w14:paraId="3D09665A"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6,10%</w:t>
            </w:r>
          </w:p>
        </w:tc>
      </w:tr>
      <w:tr w:rsidR="008B6659" w:rsidRPr="0029055C" w14:paraId="47FBFAA3"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51BB7DBC"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Σύνολο</w:t>
            </w:r>
          </w:p>
        </w:tc>
        <w:tc>
          <w:tcPr>
            <w:tcW w:w="183" w:type="pct"/>
            <w:tcBorders>
              <w:top w:val="nil"/>
              <w:left w:val="nil"/>
              <w:bottom w:val="single" w:sz="4" w:space="0" w:color="auto"/>
              <w:right w:val="single" w:sz="4" w:space="0" w:color="auto"/>
            </w:tcBorders>
            <w:shd w:val="clear" w:color="auto" w:fill="auto"/>
            <w:vAlign w:val="center"/>
            <w:hideMark/>
          </w:tcPr>
          <w:p w14:paraId="20D38338"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ΕΤΠΑ</w:t>
            </w:r>
          </w:p>
        </w:tc>
        <w:tc>
          <w:tcPr>
            <w:tcW w:w="351" w:type="pct"/>
            <w:tcBorders>
              <w:top w:val="nil"/>
              <w:left w:val="nil"/>
              <w:bottom w:val="single" w:sz="4" w:space="0" w:color="auto"/>
              <w:right w:val="single" w:sz="4" w:space="0" w:color="auto"/>
            </w:tcBorders>
            <w:shd w:val="clear" w:color="auto" w:fill="auto"/>
            <w:vAlign w:val="center"/>
            <w:hideMark/>
          </w:tcPr>
          <w:p w14:paraId="6D5DC0BA"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Περισσότερο αναπτυγμένες</w:t>
            </w:r>
          </w:p>
        </w:tc>
        <w:tc>
          <w:tcPr>
            <w:tcW w:w="348" w:type="pct"/>
            <w:tcBorders>
              <w:top w:val="nil"/>
              <w:left w:val="nil"/>
              <w:bottom w:val="single" w:sz="4" w:space="0" w:color="auto"/>
              <w:right w:val="single" w:sz="4" w:space="0" w:color="auto"/>
            </w:tcBorders>
            <w:shd w:val="clear" w:color="auto" w:fill="auto"/>
            <w:vAlign w:val="center"/>
            <w:hideMark/>
          </w:tcPr>
          <w:p w14:paraId="40B7810D"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50.553.049,00</w:t>
            </w:r>
          </w:p>
        </w:tc>
        <w:tc>
          <w:tcPr>
            <w:tcW w:w="348" w:type="pct"/>
            <w:tcBorders>
              <w:top w:val="nil"/>
              <w:left w:val="nil"/>
              <w:bottom w:val="single" w:sz="4" w:space="0" w:color="auto"/>
              <w:right w:val="single" w:sz="4" w:space="0" w:color="auto"/>
            </w:tcBorders>
            <w:shd w:val="clear" w:color="000000" w:fill="F2F2F2"/>
            <w:vAlign w:val="center"/>
            <w:hideMark/>
          </w:tcPr>
          <w:p w14:paraId="5ADEB5B3"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15.476.668,00</w:t>
            </w:r>
          </w:p>
        </w:tc>
        <w:tc>
          <w:tcPr>
            <w:tcW w:w="325" w:type="pct"/>
            <w:tcBorders>
              <w:top w:val="nil"/>
              <w:left w:val="nil"/>
              <w:bottom w:val="single" w:sz="4" w:space="0" w:color="auto"/>
              <w:right w:val="single" w:sz="4" w:space="0" w:color="auto"/>
            </w:tcBorders>
            <w:shd w:val="clear" w:color="000000" w:fill="F2F2F2"/>
            <w:vAlign w:val="center"/>
            <w:hideMark/>
          </w:tcPr>
          <w:p w14:paraId="2CED7609"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15.476.668,00</w:t>
            </w:r>
          </w:p>
        </w:tc>
        <w:tc>
          <w:tcPr>
            <w:tcW w:w="256" w:type="pct"/>
            <w:tcBorders>
              <w:top w:val="nil"/>
              <w:left w:val="nil"/>
              <w:bottom w:val="single" w:sz="4" w:space="0" w:color="auto"/>
              <w:right w:val="single" w:sz="4" w:space="0" w:color="auto"/>
            </w:tcBorders>
            <w:shd w:val="clear" w:color="000000" w:fill="F2F2F2"/>
            <w:vAlign w:val="center"/>
            <w:hideMark/>
          </w:tcPr>
          <w:p w14:paraId="2CD6013A"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w:t>
            </w:r>
          </w:p>
        </w:tc>
        <w:tc>
          <w:tcPr>
            <w:tcW w:w="374" w:type="pct"/>
            <w:tcBorders>
              <w:top w:val="nil"/>
              <w:left w:val="nil"/>
              <w:bottom w:val="single" w:sz="4" w:space="0" w:color="auto"/>
              <w:right w:val="single" w:sz="4" w:space="0" w:color="auto"/>
            </w:tcBorders>
            <w:shd w:val="clear" w:color="auto" w:fill="auto"/>
            <w:vAlign w:val="center"/>
            <w:hideMark/>
          </w:tcPr>
          <w:p w14:paraId="28F9CC43"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66.029.717,00</w:t>
            </w:r>
          </w:p>
        </w:tc>
        <w:tc>
          <w:tcPr>
            <w:tcW w:w="292" w:type="pct"/>
            <w:tcBorders>
              <w:top w:val="nil"/>
              <w:left w:val="nil"/>
              <w:bottom w:val="single" w:sz="4" w:space="0" w:color="auto"/>
              <w:right w:val="single" w:sz="4" w:space="0" w:color="auto"/>
            </w:tcBorders>
            <w:shd w:val="clear" w:color="000000" w:fill="F2F2F2"/>
            <w:vAlign w:val="center"/>
            <w:hideMark/>
          </w:tcPr>
          <w:p w14:paraId="121DF70A"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77%</w:t>
            </w:r>
          </w:p>
        </w:tc>
        <w:tc>
          <w:tcPr>
            <w:tcW w:w="340" w:type="pct"/>
            <w:tcBorders>
              <w:top w:val="nil"/>
              <w:left w:val="nil"/>
              <w:bottom w:val="single" w:sz="4" w:space="0" w:color="auto"/>
              <w:right w:val="single" w:sz="4" w:space="0" w:color="auto"/>
            </w:tcBorders>
            <w:shd w:val="clear" w:color="auto" w:fill="auto"/>
            <w:vAlign w:val="center"/>
            <w:hideMark/>
          </w:tcPr>
          <w:p w14:paraId="229B062A"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30483055"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47.469.393,00</w:t>
            </w:r>
          </w:p>
        </w:tc>
        <w:tc>
          <w:tcPr>
            <w:tcW w:w="389" w:type="pct"/>
            <w:tcBorders>
              <w:top w:val="nil"/>
              <w:left w:val="nil"/>
              <w:bottom w:val="single" w:sz="4" w:space="0" w:color="auto"/>
              <w:right w:val="single" w:sz="4" w:space="0" w:color="auto"/>
            </w:tcBorders>
            <w:shd w:val="clear" w:color="000000" w:fill="F2F2F2"/>
            <w:vAlign w:val="center"/>
            <w:hideMark/>
          </w:tcPr>
          <w:p w14:paraId="5C72F3C2"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14.532.615,00</w:t>
            </w:r>
          </w:p>
        </w:tc>
        <w:tc>
          <w:tcPr>
            <w:tcW w:w="340" w:type="pct"/>
            <w:tcBorders>
              <w:top w:val="nil"/>
              <w:left w:val="nil"/>
              <w:bottom w:val="single" w:sz="4" w:space="0" w:color="auto"/>
              <w:right w:val="single" w:sz="4" w:space="0" w:color="auto"/>
            </w:tcBorders>
            <w:shd w:val="clear" w:color="000000" w:fill="FFFFFF"/>
            <w:vAlign w:val="center"/>
            <w:hideMark/>
          </w:tcPr>
          <w:p w14:paraId="40FE533C"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3.083.656,00</w:t>
            </w:r>
          </w:p>
        </w:tc>
        <w:tc>
          <w:tcPr>
            <w:tcW w:w="388" w:type="pct"/>
            <w:tcBorders>
              <w:top w:val="nil"/>
              <w:left w:val="nil"/>
              <w:bottom w:val="single" w:sz="4" w:space="0" w:color="auto"/>
              <w:right w:val="single" w:sz="4" w:space="0" w:color="auto"/>
            </w:tcBorders>
            <w:shd w:val="clear" w:color="000000" w:fill="F2F2F2"/>
            <w:vAlign w:val="center"/>
            <w:hideMark/>
          </w:tcPr>
          <w:p w14:paraId="77CC0500"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944.053,00</w:t>
            </w:r>
          </w:p>
        </w:tc>
        <w:tc>
          <w:tcPr>
            <w:tcW w:w="483" w:type="pct"/>
            <w:tcBorders>
              <w:top w:val="nil"/>
              <w:left w:val="nil"/>
              <w:bottom w:val="single" w:sz="4" w:space="0" w:color="auto"/>
              <w:right w:val="single" w:sz="4" w:space="0" w:color="auto"/>
            </w:tcBorders>
            <w:shd w:val="clear" w:color="000000" w:fill="F2F2F2"/>
            <w:vAlign w:val="center"/>
            <w:hideMark/>
          </w:tcPr>
          <w:p w14:paraId="68E8D9E4"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6,10%</w:t>
            </w:r>
          </w:p>
        </w:tc>
      </w:tr>
      <w:tr w:rsidR="008B6659" w:rsidRPr="0029055C" w14:paraId="2E6A7CFB"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28CB0DE4"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Σύνολο</w:t>
            </w:r>
          </w:p>
        </w:tc>
        <w:tc>
          <w:tcPr>
            <w:tcW w:w="183" w:type="pct"/>
            <w:tcBorders>
              <w:top w:val="nil"/>
              <w:left w:val="nil"/>
              <w:bottom w:val="single" w:sz="4" w:space="0" w:color="auto"/>
              <w:right w:val="single" w:sz="4" w:space="0" w:color="auto"/>
            </w:tcBorders>
            <w:shd w:val="clear" w:color="auto" w:fill="auto"/>
            <w:vAlign w:val="center"/>
            <w:hideMark/>
          </w:tcPr>
          <w:p w14:paraId="10E0B308"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1740ED29"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Λιγότερο αναπτυγμένες</w:t>
            </w:r>
          </w:p>
        </w:tc>
        <w:tc>
          <w:tcPr>
            <w:tcW w:w="348" w:type="pct"/>
            <w:tcBorders>
              <w:top w:val="nil"/>
              <w:left w:val="nil"/>
              <w:bottom w:val="single" w:sz="4" w:space="0" w:color="auto"/>
              <w:right w:val="single" w:sz="4" w:space="0" w:color="auto"/>
            </w:tcBorders>
            <w:shd w:val="clear" w:color="auto" w:fill="auto"/>
            <w:vAlign w:val="center"/>
            <w:hideMark/>
          </w:tcPr>
          <w:p w14:paraId="30D6FAAA"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150.415.891,00</w:t>
            </w:r>
          </w:p>
        </w:tc>
        <w:tc>
          <w:tcPr>
            <w:tcW w:w="348" w:type="pct"/>
            <w:tcBorders>
              <w:top w:val="nil"/>
              <w:left w:val="nil"/>
              <w:bottom w:val="single" w:sz="4" w:space="0" w:color="auto"/>
              <w:right w:val="single" w:sz="4" w:space="0" w:color="auto"/>
            </w:tcBorders>
            <w:shd w:val="clear" w:color="000000" w:fill="F2F2F2"/>
            <w:vAlign w:val="center"/>
            <w:hideMark/>
          </w:tcPr>
          <w:p w14:paraId="425B0B26"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37.603.974,00</w:t>
            </w:r>
          </w:p>
        </w:tc>
        <w:tc>
          <w:tcPr>
            <w:tcW w:w="325" w:type="pct"/>
            <w:tcBorders>
              <w:top w:val="nil"/>
              <w:left w:val="nil"/>
              <w:bottom w:val="single" w:sz="4" w:space="0" w:color="auto"/>
              <w:right w:val="single" w:sz="4" w:space="0" w:color="auto"/>
            </w:tcBorders>
            <w:shd w:val="clear" w:color="000000" w:fill="F2F2F2"/>
            <w:vAlign w:val="center"/>
            <w:hideMark/>
          </w:tcPr>
          <w:p w14:paraId="39C77DE8"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37.603.974,00</w:t>
            </w:r>
          </w:p>
        </w:tc>
        <w:tc>
          <w:tcPr>
            <w:tcW w:w="256" w:type="pct"/>
            <w:tcBorders>
              <w:top w:val="nil"/>
              <w:left w:val="nil"/>
              <w:bottom w:val="single" w:sz="4" w:space="0" w:color="auto"/>
              <w:right w:val="single" w:sz="4" w:space="0" w:color="auto"/>
            </w:tcBorders>
            <w:shd w:val="clear" w:color="000000" w:fill="F2F2F2"/>
            <w:vAlign w:val="center"/>
            <w:hideMark/>
          </w:tcPr>
          <w:p w14:paraId="3536039A"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w:t>
            </w:r>
          </w:p>
        </w:tc>
        <w:tc>
          <w:tcPr>
            <w:tcW w:w="374" w:type="pct"/>
            <w:tcBorders>
              <w:top w:val="nil"/>
              <w:left w:val="nil"/>
              <w:bottom w:val="single" w:sz="4" w:space="0" w:color="auto"/>
              <w:right w:val="single" w:sz="4" w:space="0" w:color="auto"/>
            </w:tcBorders>
            <w:shd w:val="clear" w:color="auto" w:fill="auto"/>
            <w:vAlign w:val="center"/>
            <w:hideMark/>
          </w:tcPr>
          <w:p w14:paraId="7434E802"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188.019.865,00</w:t>
            </w:r>
          </w:p>
        </w:tc>
        <w:tc>
          <w:tcPr>
            <w:tcW w:w="292" w:type="pct"/>
            <w:tcBorders>
              <w:top w:val="nil"/>
              <w:left w:val="nil"/>
              <w:bottom w:val="single" w:sz="4" w:space="0" w:color="auto"/>
              <w:right w:val="single" w:sz="4" w:space="0" w:color="auto"/>
            </w:tcBorders>
            <w:shd w:val="clear" w:color="000000" w:fill="F2F2F2"/>
            <w:vAlign w:val="center"/>
            <w:hideMark/>
          </w:tcPr>
          <w:p w14:paraId="2CB5965B"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80%</w:t>
            </w:r>
          </w:p>
        </w:tc>
        <w:tc>
          <w:tcPr>
            <w:tcW w:w="340" w:type="pct"/>
            <w:tcBorders>
              <w:top w:val="nil"/>
              <w:left w:val="nil"/>
              <w:bottom w:val="single" w:sz="4" w:space="0" w:color="auto"/>
              <w:right w:val="single" w:sz="4" w:space="0" w:color="auto"/>
            </w:tcBorders>
            <w:shd w:val="clear" w:color="auto" w:fill="auto"/>
            <w:vAlign w:val="center"/>
            <w:hideMark/>
          </w:tcPr>
          <w:p w14:paraId="4D55DDD3"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722BCD67"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141.205.107,00</w:t>
            </w:r>
          </w:p>
        </w:tc>
        <w:tc>
          <w:tcPr>
            <w:tcW w:w="389" w:type="pct"/>
            <w:tcBorders>
              <w:top w:val="nil"/>
              <w:left w:val="nil"/>
              <w:bottom w:val="single" w:sz="4" w:space="0" w:color="auto"/>
              <w:right w:val="single" w:sz="4" w:space="0" w:color="auto"/>
            </w:tcBorders>
            <w:shd w:val="clear" w:color="000000" w:fill="F2F2F2"/>
            <w:vAlign w:val="center"/>
            <w:hideMark/>
          </w:tcPr>
          <w:p w14:paraId="1573DBE3"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35.301.278,00</w:t>
            </w:r>
          </w:p>
        </w:tc>
        <w:tc>
          <w:tcPr>
            <w:tcW w:w="340" w:type="pct"/>
            <w:tcBorders>
              <w:top w:val="nil"/>
              <w:left w:val="nil"/>
              <w:bottom w:val="single" w:sz="4" w:space="0" w:color="auto"/>
              <w:right w:val="single" w:sz="4" w:space="0" w:color="auto"/>
            </w:tcBorders>
            <w:shd w:val="clear" w:color="000000" w:fill="FFFFFF"/>
            <w:vAlign w:val="center"/>
            <w:hideMark/>
          </w:tcPr>
          <w:p w14:paraId="18C7437F"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9.210.784,00</w:t>
            </w:r>
          </w:p>
        </w:tc>
        <w:tc>
          <w:tcPr>
            <w:tcW w:w="388" w:type="pct"/>
            <w:tcBorders>
              <w:top w:val="nil"/>
              <w:left w:val="nil"/>
              <w:bottom w:val="single" w:sz="4" w:space="0" w:color="auto"/>
              <w:right w:val="single" w:sz="4" w:space="0" w:color="auto"/>
            </w:tcBorders>
            <w:shd w:val="clear" w:color="000000" w:fill="F2F2F2"/>
            <w:vAlign w:val="center"/>
            <w:hideMark/>
          </w:tcPr>
          <w:p w14:paraId="2F75232C"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2.302.696,00</w:t>
            </w:r>
          </w:p>
        </w:tc>
        <w:tc>
          <w:tcPr>
            <w:tcW w:w="483" w:type="pct"/>
            <w:tcBorders>
              <w:top w:val="nil"/>
              <w:left w:val="nil"/>
              <w:bottom w:val="single" w:sz="4" w:space="0" w:color="auto"/>
              <w:right w:val="single" w:sz="4" w:space="0" w:color="auto"/>
            </w:tcBorders>
            <w:shd w:val="clear" w:color="000000" w:fill="F2F2F2"/>
            <w:vAlign w:val="center"/>
            <w:hideMark/>
          </w:tcPr>
          <w:p w14:paraId="3BD32620"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6,12%</w:t>
            </w:r>
          </w:p>
        </w:tc>
      </w:tr>
      <w:tr w:rsidR="008B6659" w:rsidRPr="0029055C" w14:paraId="4C6ECE7D"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46497D7A"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Σύνολο</w:t>
            </w:r>
          </w:p>
        </w:tc>
        <w:tc>
          <w:tcPr>
            <w:tcW w:w="183" w:type="pct"/>
            <w:tcBorders>
              <w:top w:val="nil"/>
              <w:left w:val="nil"/>
              <w:bottom w:val="single" w:sz="4" w:space="0" w:color="auto"/>
              <w:right w:val="single" w:sz="4" w:space="0" w:color="auto"/>
            </w:tcBorders>
            <w:shd w:val="clear" w:color="auto" w:fill="auto"/>
            <w:vAlign w:val="center"/>
            <w:hideMark/>
          </w:tcPr>
          <w:p w14:paraId="0C5F986D"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4A673EAD"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Περιφέρειες σε Μετάβαση</w:t>
            </w:r>
          </w:p>
        </w:tc>
        <w:tc>
          <w:tcPr>
            <w:tcW w:w="348" w:type="pct"/>
            <w:tcBorders>
              <w:top w:val="nil"/>
              <w:left w:val="nil"/>
              <w:bottom w:val="single" w:sz="4" w:space="0" w:color="auto"/>
              <w:right w:val="single" w:sz="4" w:space="0" w:color="auto"/>
            </w:tcBorders>
            <w:shd w:val="clear" w:color="auto" w:fill="auto"/>
            <w:vAlign w:val="center"/>
            <w:hideMark/>
          </w:tcPr>
          <w:p w14:paraId="75DC4BB6"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49.800.615,00</w:t>
            </w:r>
          </w:p>
        </w:tc>
        <w:tc>
          <w:tcPr>
            <w:tcW w:w="348" w:type="pct"/>
            <w:tcBorders>
              <w:top w:val="nil"/>
              <w:left w:val="nil"/>
              <w:bottom w:val="single" w:sz="4" w:space="0" w:color="auto"/>
              <w:right w:val="single" w:sz="4" w:space="0" w:color="auto"/>
            </w:tcBorders>
            <w:shd w:val="clear" w:color="000000" w:fill="F2F2F2"/>
            <w:vAlign w:val="center"/>
            <w:hideMark/>
          </w:tcPr>
          <w:p w14:paraId="1F516F4B"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20.847.508,00</w:t>
            </w:r>
          </w:p>
        </w:tc>
        <w:tc>
          <w:tcPr>
            <w:tcW w:w="325" w:type="pct"/>
            <w:tcBorders>
              <w:top w:val="nil"/>
              <w:left w:val="nil"/>
              <w:bottom w:val="single" w:sz="4" w:space="0" w:color="auto"/>
              <w:right w:val="single" w:sz="4" w:space="0" w:color="auto"/>
            </w:tcBorders>
            <w:shd w:val="clear" w:color="000000" w:fill="F2F2F2"/>
            <w:vAlign w:val="center"/>
            <w:hideMark/>
          </w:tcPr>
          <w:p w14:paraId="12275290"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20.847.508,00</w:t>
            </w:r>
          </w:p>
        </w:tc>
        <w:tc>
          <w:tcPr>
            <w:tcW w:w="256" w:type="pct"/>
            <w:tcBorders>
              <w:top w:val="nil"/>
              <w:left w:val="nil"/>
              <w:bottom w:val="single" w:sz="4" w:space="0" w:color="auto"/>
              <w:right w:val="single" w:sz="4" w:space="0" w:color="auto"/>
            </w:tcBorders>
            <w:shd w:val="clear" w:color="000000" w:fill="F2F2F2"/>
            <w:vAlign w:val="center"/>
            <w:hideMark/>
          </w:tcPr>
          <w:p w14:paraId="09970847"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w:t>
            </w:r>
          </w:p>
        </w:tc>
        <w:tc>
          <w:tcPr>
            <w:tcW w:w="374" w:type="pct"/>
            <w:tcBorders>
              <w:top w:val="nil"/>
              <w:left w:val="nil"/>
              <w:bottom w:val="single" w:sz="4" w:space="0" w:color="auto"/>
              <w:right w:val="single" w:sz="4" w:space="0" w:color="auto"/>
            </w:tcBorders>
            <w:shd w:val="clear" w:color="auto" w:fill="auto"/>
            <w:vAlign w:val="center"/>
            <w:hideMark/>
          </w:tcPr>
          <w:p w14:paraId="0225347C"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70.648.123,00</w:t>
            </w:r>
          </w:p>
        </w:tc>
        <w:tc>
          <w:tcPr>
            <w:tcW w:w="292" w:type="pct"/>
            <w:tcBorders>
              <w:top w:val="nil"/>
              <w:left w:val="nil"/>
              <w:bottom w:val="single" w:sz="4" w:space="0" w:color="auto"/>
              <w:right w:val="single" w:sz="4" w:space="0" w:color="auto"/>
            </w:tcBorders>
            <w:shd w:val="clear" w:color="000000" w:fill="F2F2F2"/>
            <w:vAlign w:val="center"/>
            <w:hideMark/>
          </w:tcPr>
          <w:p w14:paraId="685B1E5C"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70%</w:t>
            </w:r>
          </w:p>
        </w:tc>
        <w:tc>
          <w:tcPr>
            <w:tcW w:w="340" w:type="pct"/>
            <w:tcBorders>
              <w:top w:val="nil"/>
              <w:left w:val="nil"/>
              <w:bottom w:val="single" w:sz="4" w:space="0" w:color="auto"/>
              <w:right w:val="single" w:sz="4" w:space="0" w:color="auto"/>
            </w:tcBorders>
            <w:shd w:val="clear" w:color="auto" w:fill="auto"/>
            <w:vAlign w:val="center"/>
            <w:hideMark/>
          </w:tcPr>
          <w:p w14:paraId="0AA89ACD"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014759C2"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46.753.509,00</w:t>
            </w:r>
          </w:p>
        </w:tc>
        <w:tc>
          <w:tcPr>
            <w:tcW w:w="389" w:type="pct"/>
            <w:tcBorders>
              <w:top w:val="nil"/>
              <w:left w:val="nil"/>
              <w:bottom w:val="single" w:sz="4" w:space="0" w:color="auto"/>
              <w:right w:val="single" w:sz="4" w:space="0" w:color="auto"/>
            </w:tcBorders>
            <w:shd w:val="clear" w:color="000000" w:fill="F2F2F2"/>
            <w:vAlign w:val="center"/>
            <w:hideMark/>
          </w:tcPr>
          <w:p w14:paraId="294B0C31"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19.571.947,00</w:t>
            </w:r>
          </w:p>
        </w:tc>
        <w:tc>
          <w:tcPr>
            <w:tcW w:w="340" w:type="pct"/>
            <w:tcBorders>
              <w:top w:val="nil"/>
              <w:left w:val="nil"/>
              <w:bottom w:val="single" w:sz="4" w:space="0" w:color="auto"/>
              <w:right w:val="single" w:sz="4" w:space="0" w:color="auto"/>
            </w:tcBorders>
            <w:shd w:val="clear" w:color="000000" w:fill="FFFFFF"/>
            <w:vAlign w:val="center"/>
            <w:hideMark/>
          </w:tcPr>
          <w:p w14:paraId="3F1F8DCB"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3.047.106,00</w:t>
            </w:r>
          </w:p>
        </w:tc>
        <w:tc>
          <w:tcPr>
            <w:tcW w:w="388" w:type="pct"/>
            <w:tcBorders>
              <w:top w:val="nil"/>
              <w:left w:val="nil"/>
              <w:bottom w:val="single" w:sz="4" w:space="0" w:color="auto"/>
              <w:right w:val="single" w:sz="4" w:space="0" w:color="auto"/>
            </w:tcBorders>
            <w:shd w:val="clear" w:color="000000" w:fill="F2F2F2"/>
            <w:vAlign w:val="center"/>
            <w:hideMark/>
          </w:tcPr>
          <w:p w14:paraId="388F697E"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1.275.561,00</w:t>
            </w:r>
          </w:p>
        </w:tc>
        <w:tc>
          <w:tcPr>
            <w:tcW w:w="483" w:type="pct"/>
            <w:tcBorders>
              <w:top w:val="nil"/>
              <w:left w:val="nil"/>
              <w:bottom w:val="single" w:sz="4" w:space="0" w:color="auto"/>
              <w:right w:val="single" w:sz="4" w:space="0" w:color="auto"/>
            </w:tcBorders>
            <w:shd w:val="clear" w:color="000000" w:fill="F2F2F2"/>
            <w:vAlign w:val="center"/>
            <w:hideMark/>
          </w:tcPr>
          <w:p w14:paraId="70CEE687"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6,12%</w:t>
            </w:r>
          </w:p>
        </w:tc>
      </w:tr>
      <w:tr w:rsidR="008B6659" w:rsidRPr="0029055C" w14:paraId="7A900131"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51F47E94"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Σύνολο</w:t>
            </w:r>
          </w:p>
        </w:tc>
        <w:tc>
          <w:tcPr>
            <w:tcW w:w="183" w:type="pct"/>
            <w:tcBorders>
              <w:top w:val="nil"/>
              <w:left w:val="nil"/>
              <w:bottom w:val="single" w:sz="4" w:space="0" w:color="auto"/>
              <w:right w:val="single" w:sz="4" w:space="0" w:color="auto"/>
            </w:tcBorders>
            <w:shd w:val="clear" w:color="auto" w:fill="auto"/>
            <w:vAlign w:val="center"/>
            <w:hideMark/>
          </w:tcPr>
          <w:p w14:paraId="2BA8E68F"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ΕΚΤ</w:t>
            </w:r>
          </w:p>
        </w:tc>
        <w:tc>
          <w:tcPr>
            <w:tcW w:w="351" w:type="pct"/>
            <w:tcBorders>
              <w:top w:val="nil"/>
              <w:left w:val="nil"/>
              <w:bottom w:val="single" w:sz="4" w:space="0" w:color="auto"/>
              <w:right w:val="single" w:sz="4" w:space="0" w:color="auto"/>
            </w:tcBorders>
            <w:shd w:val="clear" w:color="auto" w:fill="auto"/>
            <w:vAlign w:val="center"/>
            <w:hideMark/>
          </w:tcPr>
          <w:p w14:paraId="09A1B9EB"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Περισσότερο αναπτυγμένες</w:t>
            </w:r>
          </w:p>
        </w:tc>
        <w:tc>
          <w:tcPr>
            <w:tcW w:w="348" w:type="pct"/>
            <w:tcBorders>
              <w:top w:val="nil"/>
              <w:left w:val="nil"/>
              <w:bottom w:val="single" w:sz="4" w:space="0" w:color="auto"/>
              <w:right w:val="single" w:sz="4" w:space="0" w:color="auto"/>
            </w:tcBorders>
            <w:shd w:val="clear" w:color="auto" w:fill="auto"/>
            <w:vAlign w:val="center"/>
            <w:hideMark/>
          </w:tcPr>
          <w:p w14:paraId="1C66282B"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23.171.943,00</w:t>
            </w:r>
          </w:p>
        </w:tc>
        <w:tc>
          <w:tcPr>
            <w:tcW w:w="348" w:type="pct"/>
            <w:tcBorders>
              <w:top w:val="nil"/>
              <w:left w:val="nil"/>
              <w:bottom w:val="single" w:sz="4" w:space="0" w:color="auto"/>
              <w:right w:val="single" w:sz="4" w:space="0" w:color="auto"/>
            </w:tcBorders>
            <w:shd w:val="clear" w:color="000000" w:fill="F2F2F2"/>
            <w:vAlign w:val="center"/>
            <w:hideMark/>
          </w:tcPr>
          <w:p w14:paraId="161FAB27"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7.138.855,00</w:t>
            </w:r>
          </w:p>
        </w:tc>
        <w:tc>
          <w:tcPr>
            <w:tcW w:w="325" w:type="pct"/>
            <w:tcBorders>
              <w:top w:val="nil"/>
              <w:left w:val="nil"/>
              <w:bottom w:val="single" w:sz="4" w:space="0" w:color="auto"/>
              <w:right w:val="single" w:sz="4" w:space="0" w:color="auto"/>
            </w:tcBorders>
            <w:shd w:val="clear" w:color="000000" w:fill="F2F2F2"/>
            <w:vAlign w:val="center"/>
            <w:hideMark/>
          </w:tcPr>
          <w:p w14:paraId="57F5AD1D"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7.138.855,00</w:t>
            </w:r>
          </w:p>
        </w:tc>
        <w:tc>
          <w:tcPr>
            <w:tcW w:w="256" w:type="pct"/>
            <w:tcBorders>
              <w:top w:val="nil"/>
              <w:left w:val="nil"/>
              <w:bottom w:val="single" w:sz="4" w:space="0" w:color="auto"/>
              <w:right w:val="single" w:sz="4" w:space="0" w:color="auto"/>
            </w:tcBorders>
            <w:shd w:val="clear" w:color="000000" w:fill="F2F2F2"/>
            <w:vAlign w:val="center"/>
            <w:hideMark/>
          </w:tcPr>
          <w:p w14:paraId="06FF2959"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w:t>
            </w:r>
          </w:p>
        </w:tc>
        <w:tc>
          <w:tcPr>
            <w:tcW w:w="374" w:type="pct"/>
            <w:tcBorders>
              <w:top w:val="nil"/>
              <w:left w:val="nil"/>
              <w:bottom w:val="single" w:sz="4" w:space="0" w:color="auto"/>
              <w:right w:val="single" w:sz="4" w:space="0" w:color="auto"/>
            </w:tcBorders>
            <w:shd w:val="clear" w:color="auto" w:fill="auto"/>
            <w:vAlign w:val="center"/>
            <w:hideMark/>
          </w:tcPr>
          <w:p w14:paraId="05E1FFD2"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30.310.798,00</w:t>
            </w:r>
          </w:p>
        </w:tc>
        <w:tc>
          <w:tcPr>
            <w:tcW w:w="292" w:type="pct"/>
            <w:tcBorders>
              <w:top w:val="nil"/>
              <w:left w:val="nil"/>
              <w:bottom w:val="single" w:sz="4" w:space="0" w:color="auto"/>
              <w:right w:val="single" w:sz="4" w:space="0" w:color="auto"/>
            </w:tcBorders>
            <w:shd w:val="clear" w:color="000000" w:fill="F2F2F2"/>
            <w:vAlign w:val="center"/>
            <w:hideMark/>
          </w:tcPr>
          <w:p w14:paraId="4A1FCF84"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76%</w:t>
            </w:r>
          </w:p>
        </w:tc>
        <w:tc>
          <w:tcPr>
            <w:tcW w:w="340" w:type="pct"/>
            <w:tcBorders>
              <w:top w:val="nil"/>
              <w:left w:val="nil"/>
              <w:bottom w:val="single" w:sz="4" w:space="0" w:color="auto"/>
              <w:right w:val="single" w:sz="4" w:space="0" w:color="auto"/>
            </w:tcBorders>
            <w:shd w:val="clear" w:color="auto" w:fill="auto"/>
            <w:vAlign w:val="center"/>
            <w:hideMark/>
          </w:tcPr>
          <w:p w14:paraId="4168C595"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6B70BBAB"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21.742.458,00</w:t>
            </w:r>
          </w:p>
        </w:tc>
        <w:tc>
          <w:tcPr>
            <w:tcW w:w="389" w:type="pct"/>
            <w:tcBorders>
              <w:top w:val="nil"/>
              <w:left w:val="nil"/>
              <w:bottom w:val="single" w:sz="4" w:space="0" w:color="auto"/>
              <w:right w:val="single" w:sz="4" w:space="0" w:color="auto"/>
            </w:tcBorders>
            <w:shd w:val="clear" w:color="000000" w:fill="F2F2F2"/>
            <w:vAlign w:val="center"/>
            <w:hideMark/>
          </w:tcPr>
          <w:p w14:paraId="5EDC8774"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6.698.855,00</w:t>
            </w:r>
          </w:p>
        </w:tc>
        <w:tc>
          <w:tcPr>
            <w:tcW w:w="340" w:type="pct"/>
            <w:tcBorders>
              <w:top w:val="nil"/>
              <w:left w:val="nil"/>
              <w:bottom w:val="single" w:sz="4" w:space="0" w:color="auto"/>
              <w:right w:val="single" w:sz="4" w:space="0" w:color="auto"/>
            </w:tcBorders>
            <w:shd w:val="clear" w:color="000000" w:fill="FFFFFF"/>
            <w:vAlign w:val="center"/>
            <w:hideMark/>
          </w:tcPr>
          <w:p w14:paraId="4D45628E"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1.429.485,00</w:t>
            </w:r>
          </w:p>
        </w:tc>
        <w:tc>
          <w:tcPr>
            <w:tcW w:w="388" w:type="pct"/>
            <w:tcBorders>
              <w:top w:val="nil"/>
              <w:left w:val="nil"/>
              <w:bottom w:val="single" w:sz="4" w:space="0" w:color="auto"/>
              <w:right w:val="single" w:sz="4" w:space="0" w:color="auto"/>
            </w:tcBorders>
            <w:shd w:val="clear" w:color="000000" w:fill="F2F2F2"/>
            <w:vAlign w:val="center"/>
            <w:hideMark/>
          </w:tcPr>
          <w:p w14:paraId="79E2AD43"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440.000,00</w:t>
            </w:r>
          </w:p>
        </w:tc>
        <w:tc>
          <w:tcPr>
            <w:tcW w:w="483" w:type="pct"/>
            <w:tcBorders>
              <w:top w:val="nil"/>
              <w:left w:val="nil"/>
              <w:bottom w:val="single" w:sz="4" w:space="0" w:color="auto"/>
              <w:right w:val="single" w:sz="4" w:space="0" w:color="auto"/>
            </w:tcBorders>
            <w:shd w:val="clear" w:color="000000" w:fill="F2F2F2"/>
            <w:vAlign w:val="center"/>
            <w:hideMark/>
          </w:tcPr>
          <w:p w14:paraId="081DCEB7"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6,17%</w:t>
            </w:r>
          </w:p>
        </w:tc>
      </w:tr>
      <w:tr w:rsidR="008B6659" w:rsidRPr="0029055C" w14:paraId="2FD23056" w14:textId="77777777" w:rsidTr="008B6659">
        <w:trPr>
          <w:jc w:val="center"/>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018AB648"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Σύνολο</w:t>
            </w:r>
          </w:p>
        </w:tc>
        <w:tc>
          <w:tcPr>
            <w:tcW w:w="183" w:type="pct"/>
            <w:tcBorders>
              <w:top w:val="nil"/>
              <w:left w:val="nil"/>
              <w:bottom w:val="single" w:sz="4" w:space="0" w:color="auto"/>
              <w:right w:val="single" w:sz="4" w:space="0" w:color="auto"/>
            </w:tcBorders>
            <w:shd w:val="clear" w:color="auto" w:fill="auto"/>
            <w:vAlign w:val="center"/>
            <w:hideMark/>
          </w:tcPr>
          <w:p w14:paraId="417F96D6"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ΤΣ</w:t>
            </w:r>
          </w:p>
        </w:tc>
        <w:tc>
          <w:tcPr>
            <w:tcW w:w="351" w:type="pct"/>
            <w:tcBorders>
              <w:top w:val="nil"/>
              <w:left w:val="nil"/>
              <w:bottom w:val="single" w:sz="4" w:space="0" w:color="auto"/>
              <w:right w:val="single" w:sz="4" w:space="0" w:color="auto"/>
            </w:tcBorders>
            <w:shd w:val="clear" w:color="auto" w:fill="auto"/>
            <w:vAlign w:val="center"/>
            <w:hideMark/>
          </w:tcPr>
          <w:p w14:paraId="56CA6FCD" w14:textId="77777777" w:rsidR="008B6659" w:rsidRPr="0029055C" w:rsidRDefault="008B6659" w:rsidP="008B6659">
            <w:pPr>
              <w:spacing w:before="40" w:after="40" w:line="240" w:lineRule="auto"/>
              <w:jc w:val="center"/>
              <w:rPr>
                <w:rFonts w:asciiTheme="minorHAnsi" w:hAnsiTheme="minorHAnsi" w:cstheme="minorHAnsi"/>
                <w:bCs/>
                <w:color w:val="000000"/>
                <w:sz w:val="14"/>
                <w:szCs w:val="14"/>
              </w:rPr>
            </w:pPr>
            <w:r w:rsidRPr="0029055C">
              <w:rPr>
                <w:rFonts w:asciiTheme="minorHAnsi" w:hAnsiTheme="minorHAnsi" w:cstheme="minorHAnsi"/>
                <w:bCs/>
                <w:color w:val="000000"/>
                <w:sz w:val="14"/>
                <w:szCs w:val="14"/>
              </w:rPr>
              <w:t xml:space="preserve">Δεν εφαρμόζεται </w:t>
            </w:r>
          </w:p>
        </w:tc>
        <w:tc>
          <w:tcPr>
            <w:tcW w:w="348" w:type="pct"/>
            <w:tcBorders>
              <w:top w:val="nil"/>
              <w:left w:val="nil"/>
              <w:bottom w:val="single" w:sz="4" w:space="0" w:color="auto"/>
              <w:right w:val="single" w:sz="4" w:space="0" w:color="auto"/>
            </w:tcBorders>
            <w:shd w:val="clear" w:color="auto" w:fill="auto"/>
            <w:vAlign w:val="center"/>
            <w:hideMark/>
          </w:tcPr>
          <w:p w14:paraId="2F2FEB88"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348" w:type="pct"/>
            <w:tcBorders>
              <w:top w:val="nil"/>
              <w:left w:val="nil"/>
              <w:bottom w:val="single" w:sz="4" w:space="0" w:color="auto"/>
              <w:right w:val="single" w:sz="4" w:space="0" w:color="auto"/>
            </w:tcBorders>
            <w:shd w:val="clear" w:color="000000" w:fill="F2F2F2"/>
            <w:vAlign w:val="center"/>
            <w:hideMark/>
          </w:tcPr>
          <w:p w14:paraId="5C6B9500"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325" w:type="pct"/>
            <w:tcBorders>
              <w:top w:val="nil"/>
              <w:left w:val="nil"/>
              <w:bottom w:val="single" w:sz="4" w:space="0" w:color="auto"/>
              <w:right w:val="single" w:sz="4" w:space="0" w:color="auto"/>
            </w:tcBorders>
            <w:shd w:val="clear" w:color="000000" w:fill="F2F2F2"/>
            <w:vAlign w:val="center"/>
            <w:hideMark/>
          </w:tcPr>
          <w:p w14:paraId="263FFD9D"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256" w:type="pct"/>
            <w:tcBorders>
              <w:top w:val="nil"/>
              <w:left w:val="nil"/>
              <w:bottom w:val="single" w:sz="4" w:space="0" w:color="auto"/>
              <w:right w:val="single" w:sz="4" w:space="0" w:color="auto"/>
            </w:tcBorders>
            <w:shd w:val="clear" w:color="000000" w:fill="F2F2F2"/>
            <w:vAlign w:val="center"/>
            <w:hideMark/>
          </w:tcPr>
          <w:p w14:paraId="7FF136FD"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w:t>
            </w:r>
          </w:p>
        </w:tc>
        <w:tc>
          <w:tcPr>
            <w:tcW w:w="374" w:type="pct"/>
            <w:tcBorders>
              <w:top w:val="nil"/>
              <w:left w:val="nil"/>
              <w:bottom w:val="single" w:sz="4" w:space="0" w:color="auto"/>
              <w:right w:val="single" w:sz="4" w:space="0" w:color="auto"/>
            </w:tcBorders>
            <w:shd w:val="clear" w:color="auto" w:fill="auto"/>
            <w:vAlign w:val="center"/>
            <w:hideMark/>
          </w:tcPr>
          <w:p w14:paraId="63D788A3"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292" w:type="pct"/>
            <w:tcBorders>
              <w:top w:val="nil"/>
              <w:left w:val="nil"/>
              <w:bottom w:val="single" w:sz="4" w:space="0" w:color="auto"/>
              <w:right w:val="single" w:sz="4" w:space="0" w:color="auto"/>
            </w:tcBorders>
            <w:shd w:val="clear" w:color="000000" w:fill="F2F2F2"/>
            <w:vAlign w:val="center"/>
            <w:hideMark/>
          </w:tcPr>
          <w:p w14:paraId="5EA1B173"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p>
        </w:tc>
        <w:tc>
          <w:tcPr>
            <w:tcW w:w="340" w:type="pct"/>
            <w:tcBorders>
              <w:top w:val="nil"/>
              <w:left w:val="nil"/>
              <w:bottom w:val="single" w:sz="4" w:space="0" w:color="auto"/>
              <w:right w:val="single" w:sz="4" w:space="0" w:color="auto"/>
            </w:tcBorders>
            <w:shd w:val="clear" w:color="auto" w:fill="auto"/>
            <w:vAlign w:val="center"/>
            <w:hideMark/>
          </w:tcPr>
          <w:p w14:paraId="7C21799E"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2B43915E"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389" w:type="pct"/>
            <w:tcBorders>
              <w:top w:val="nil"/>
              <w:left w:val="nil"/>
              <w:bottom w:val="single" w:sz="4" w:space="0" w:color="auto"/>
              <w:right w:val="single" w:sz="4" w:space="0" w:color="auto"/>
            </w:tcBorders>
            <w:shd w:val="clear" w:color="000000" w:fill="F2F2F2"/>
            <w:vAlign w:val="center"/>
            <w:hideMark/>
          </w:tcPr>
          <w:p w14:paraId="5A2C9D70"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340" w:type="pct"/>
            <w:tcBorders>
              <w:top w:val="nil"/>
              <w:left w:val="nil"/>
              <w:bottom w:val="single" w:sz="4" w:space="0" w:color="auto"/>
              <w:right w:val="single" w:sz="4" w:space="0" w:color="auto"/>
            </w:tcBorders>
            <w:shd w:val="clear" w:color="auto" w:fill="auto"/>
            <w:vAlign w:val="center"/>
            <w:hideMark/>
          </w:tcPr>
          <w:p w14:paraId="7CA0A6CD"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3A2C13DD"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483" w:type="pct"/>
            <w:tcBorders>
              <w:top w:val="nil"/>
              <w:left w:val="nil"/>
              <w:bottom w:val="single" w:sz="4" w:space="0" w:color="auto"/>
              <w:right w:val="single" w:sz="4" w:space="0" w:color="auto"/>
            </w:tcBorders>
            <w:shd w:val="clear" w:color="000000" w:fill="F2F2F2"/>
            <w:vAlign w:val="center"/>
            <w:hideMark/>
          </w:tcPr>
          <w:p w14:paraId="4802D5D5"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w:t>
            </w:r>
          </w:p>
        </w:tc>
      </w:tr>
      <w:tr w:rsidR="008B6659" w:rsidRPr="0029055C" w14:paraId="443BA097" w14:textId="77777777" w:rsidTr="008B6659">
        <w:trPr>
          <w:jc w:val="center"/>
        </w:trPr>
        <w:tc>
          <w:tcPr>
            <w:tcW w:w="729" w:type="pct"/>
            <w:gridSpan w:val="3"/>
            <w:tcBorders>
              <w:top w:val="nil"/>
              <w:left w:val="single" w:sz="4" w:space="0" w:color="auto"/>
              <w:bottom w:val="single" w:sz="4" w:space="0" w:color="auto"/>
              <w:right w:val="single" w:sz="4" w:space="0" w:color="auto"/>
            </w:tcBorders>
            <w:shd w:val="clear" w:color="auto" w:fill="auto"/>
            <w:vAlign w:val="center"/>
            <w:hideMark/>
          </w:tcPr>
          <w:p w14:paraId="2D95128F"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Γενικό Σύνολο</w:t>
            </w:r>
          </w:p>
        </w:tc>
        <w:tc>
          <w:tcPr>
            <w:tcW w:w="348" w:type="pct"/>
            <w:tcBorders>
              <w:top w:val="nil"/>
              <w:left w:val="nil"/>
              <w:bottom w:val="single" w:sz="4" w:space="0" w:color="auto"/>
              <w:right w:val="single" w:sz="4" w:space="0" w:color="auto"/>
            </w:tcBorders>
            <w:shd w:val="clear" w:color="auto" w:fill="auto"/>
            <w:vAlign w:val="center"/>
            <w:hideMark/>
          </w:tcPr>
          <w:p w14:paraId="4AF5BE15"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462.343.637,00</w:t>
            </w:r>
          </w:p>
        </w:tc>
        <w:tc>
          <w:tcPr>
            <w:tcW w:w="348" w:type="pct"/>
            <w:tcBorders>
              <w:top w:val="nil"/>
              <w:left w:val="nil"/>
              <w:bottom w:val="single" w:sz="4" w:space="0" w:color="auto"/>
              <w:right w:val="single" w:sz="4" w:space="0" w:color="auto"/>
            </w:tcBorders>
            <w:shd w:val="clear" w:color="000000" w:fill="F2F2F2"/>
            <w:vAlign w:val="center"/>
            <w:hideMark/>
          </w:tcPr>
          <w:p w14:paraId="508A0611"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133.956.197,00</w:t>
            </w:r>
          </w:p>
        </w:tc>
        <w:tc>
          <w:tcPr>
            <w:tcW w:w="325" w:type="pct"/>
            <w:tcBorders>
              <w:top w:val="nil"/>
              <w:left w:val="nil"/>
              <w:bottom w:val="single" w:sz="4" w:space="0" w:color="auto"/>
              <w:right w:val="single" w:sz="4" w:space="0" w:color="auto"/>
            </w:tcBorders>
            <w:shd w:val="clear" w:color="000000" w:fill="F2F2F2"/>
            <w:vAlign w:val="center"/>
            <w:hideMark/>
          </w:tcPr>
          <w:p w14:paraId="5A179D3B"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133.956.197,00</w:t>
            </w:r>
          </w:p>
        </w:tc>
        <w:tc>
          <w:tcPr>
            <w:tcW w:w="256" w:type="pct"/>
            <w:tcBorders>
              <w:top w:val="nil"/>
              <w:left w:val="nil"/>
              <w:bottom w:val="single" w:sz="4" w:space="0" w:color="auto"/>
              <w:right w:val="single" w:sz="4" w:space="0" w:color="auto"/>
            </w:tcBorders>
            <w:shd w:val="clear" w:color="000000" w:fill="F2F2F2"/>
            <w:vAlign w:val="center"/>
            <w:hideMark/>
          </w:tcPr>
          <w:p w14:paraId="56F7BF38"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 </w:t>
            </w:r>
          </w:p>
        </w:tc>
        <w:tc>
          <w:tcPr>
            <w:tcW w:w="374" w:type="pct"/>
            <w:tcBorders>
              <w:top w:val="nil"/>
              <w:left w:val="nil"/>
              <w:bottom w:val="single" w:sz="4" w:space="0" w:color="auto"/>
              <w:right w:val="single" w:sz="4" w:space="0" w:color="auto"/>
            </w:tcBorders>
            <w:shd w:val="clear" w:color="auto" w:fill="auto"/>
            <w:vAlign w:val="center"/>
            <w:hideMark/>
          </w:tcPr>
          <w:p w14:paraId="796F9890"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596.299.834,00</w:t>
            </w:r>
          </w:p>
        </w:tc>
        <w:tc>
          <w:tcPr>
            <w:tcW w:w="292" w:type="pct"/>
            <w:tcBorders>
              <w:top w:val="nil"/>
              <w:left w:val="nil"/>
              <w:bottom w:val="single" w:sz="4" w:space="0" w:color="auto"/>
              <w:right w:val="single" w:sz="4" w:space="0" w:color="auto"/>
            </w:tcBorders>
            <w:shd w:val="clear" w:color="000000" w:fill="F2F2F2"/>
            <w:vAlign w:val="center"/>
            <w:hideMark/>
          </w:tcPr>
          <w:p w14:paraId="493CC89E"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78%</w:t>
            </w:r>
          </w:p>
        </w:tc>
        <w:tc>
          <w:tcPr>
            <w:tcW w:w="340" w:type="pct"/>
            <w:tcBorders>
              <w:top w:val="nil"/>
              <w:left w:val="nil"/>
              <w:bottom w:val="single" w:sz="4" w:space="0" w:color="auto"/>
              <w:right w:val="single" w:sz="4" w:space="0" w:color="auto"/>
            </w:tcBorders>
            <w:shd w:val="clear" w:color="auto" w:fill="auto"/>
            <w:vAlign w:val="center"/>
            <w:hideMark/>
          </w:tcPr>
          <w:p w14:paraId="3BE93C6D"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0</w:t>
            </w:r>
          </w:p>
        </w:tc>
        <w:tc>
          <w:tcPr>
            <w:tcW w:w="388" w:type="pct"/>
            <w:tcBorders>
              <w:top w:val="nil"/>
              <w:left w:val="nil"/>
              <w:bottom w:val="single" w:sz="4" w:space="0" w:color="auto"/>
              <w:right w:val="single" w:sz="4" w:space="0" w:color="auto"/>
            </w:tcBorders>
            <w:shd w:val="clear" w:color="000000" w:fill="F2F2F2"/>
            <w:vAlign w:val="center"/>
            <w:hideMark/>
          </w:tcPr>
          <w:p w14:paraId="7DBFF211"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434.080.394,00</w:t>
            </w:r>
          </w:p>
        </w:tc>
        <w:tc>
          <w:tcPr>
            <w:tcW w:w="389" w:type="pct"/>
            <w:tcBorders>
              <w:top w:val="nil"/>
              <w:left w:val="nil"/>
              <w:bottom w:val="single" w:sz="4" w:space="0" w:color="auto"/>
              <w:right w:val="single" w:sz="4" w:space="0" w:color="auto"/>
            </w:tcBorders>
            <w:shd w:val="clear" w:color="000000" w:fill="F2F2F2"/>
            <w:vAlign w:val="center"/>
            <w:hideMark/>
          </w:tcPr>
          <w:p w14:paraId="47B67986"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125.767.734,00</w:t>
            </w:r>
          </w:p>
        </w:tc>
        <w:tc>
          <w:tcPr>
            <w:tcW w:w="340" w:type="pct"/>
            <w:tcBorders>
              <w:top w:val="nil"/>
              <w:left w:val="nil"/>
              <w:bottom w:val="single" w:sz="4" w:space="0" w:color="auto"/>
              <w:right w:val="single" w:sz="4" w:space="0" w:color="auto"/>
            </w:tcBorders>
            <w:shd w:val="clear" w:color="auto" w:fill="auto"/>
            <w:vAlign w:val="center"/>
            <w:hideMark/>
          </w:tcPr>
          <w:p w14:paraId="3E60F38E"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28.263.243,00</w:t>
            </w:r>
          </w:p>
        </w:tc>
        <w:tc>
          <w:tcPr>
            <w:tcW w:w="388" w:type="pct"/>
            <w:tcBorders>
              <w:top w:val="nil"/>
              <w:left w:val="nil"/>
              <w:bottom w:val="single" w:sz="4" w:space="0" w:color="auto"/>
              <w:right w:val="single" w:sz="4" w:space="0" w:color="auto"/>
            </w:tcBorders>
            <w:shd w:val="clear" w:color="000000" w:fill="F2F2F2"/>
            <w:vAlign w:val="center"/>
            <w:hideMark/>
          </w:tcPr>
          <w:p w14:paraId="286C5B50" w14:textId="77777777" w:rsidR="008B6659" w:rsidRPr="0029055C" w:rsidRDefault="008B6659" w:rsidP="008B6659">
            <w:pPr>
              <w:spacing w:before="40" w:after="40" w:line="240" w:lineRule="auto"/>
              <w:jc w:val="right"/>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8.188.463,00</w:t>
            </w:r>
          </w:p>
        </w:tc>
        <w:tc>
          <w:tcPr>
            <w:tcW w:w="483" w:type="pct"/>
            <w:tcBorders>
              <w:top w:val="nil"/>
              <w:left w:val="nil"/>
              <w:bottom w:val="single" w:sz="4" w:space="0" w:color="auto"/>
              <w:right w:val="single" w:sz="4" w:space="0" w:color="auto"/>
            </w:tcBorders>
            <w:shd w:val="clear" w:color="000000" w:fill="F2F2F2"/>
            <w:vAlign w:val="center"/>
            <w:hideMark/>
          </w:tcPr>
          <w:p w14:paraId="5FF7E5E6" w14:textId="77777777" w:rsidR="008B6659" w:rsidRPr="0029055C" w:rsidRDefault="008B6659" w:rsidP="008B6659">
            <w:pPr>
              <w:spacing w:before="40" w:after="40" w:line="240" w:lineRule="auto"/>
              <w:jc w:val="center"/>
              <w:rPr>
                <w:rFonts w:asciiTheme="minorHAnsi" w:hAnsiTheme="minorHAnsi" w:cstheme="minorHAnsi"/>
                <w:b/>
                <w:bCs/>
                <w:color w:val="000000"/>
                <w:sz w:val="14"/>
                <w:szCs w:val="14"/>
              </w:rPr>
            </w:pPr>
            <w:r w:rsidRPr="0029055C">
              <w:rPr>
                <w:rFonts w:asciiTheme="minorHAnsi" w:hAnsiTheme="minorHAnsi" w:cstheme="minorHAnsi"/>
                <w:b/>
                <w:bCs/>
                <w:color w:val="000000"/>
                <w:sz w:val="14"/>
                <w:szCs w:val="14"/>
              </w:rPr>
              <w:t>6,11%</w:t>
            </w:r>
          </w:p>
        </w:tc>
      </w:tr>
    </w:tbl>
    <w:p w14:paraId="3E8C9A3F" w14:textId="77777777" w:rsidR="008B6659" w:rsidRPr="0029055C" w:rsidRDefault="008B6659" w:rsidP="004323CE">
      <w:pPr>
        <w:rPr>
          <w:lang w:eastAsia="en-US"/>
        </w:rPr>
      </w:pPr>
    </w:p>
    <w:p w14:paraId="3306311D" w14:textId="77777777" w:rsidR="008B6659" w:rsidRPr="0029055C" w:rsidRDefault="008B6659" w:rsidP="004323CE">
      <w:pPr>
        <w:rPr>
          <w:lang w:eastAsia="en-US"/>
        </w:rPr>
      </w:pPr>
    </w:p>
    <w:p w14:paraId="0F96F14A" w14:textId="2DC5AD0D" w:rsidR="008B6659" w:rsidRPr="0029055C" w:rsidRDefault="00A8078E" w:rsidP="004323CE">
      <w:pPr>
        <w:rPr>
          <w:lang w:eastAsia="en-US"/>
        </w:rPr>
      </w:pPr>
      <w:r w:rsidRPr="00A8078E">
        <w:rPr>
          <w:b/>
          <w:sz w:val="22"/>
          <w:szCs w:val="22"/>
        </w:rPr>
        <w:t xml:space="preserve">Πίνακας </w:t>
      </w:r>
      <w:r w:rsidRPr="00A8078E">
        <w:rPr>
          <w:b/>
          <w:sz w:val="22"/>
          <w:szCs w:val="22"/>
        </w:rPr>
        <w:fldChar w:fldCharType="begin"/>
      </w:r>
      <w:r w:rsidRPr="00A8078E">
        <w:rPr>
          <w:b/>
          <w:sz w:val="22"/>
          <w:szCs w:val="22"/>
        </w:rPr>
        <w:instrText xml:space="preserve"> SEQ Πίνακας \* ARABIC </w:instrText>
      </w:r>
      <w:r w:rsidRPr="00A8078E">
        <w:rPr>
          <w:b/>
          <w:sz w:val="22"/>
          <w:szCs w:val="22"/>
        </w:rPr>
        <w:fldChar w:fldCharType="separate"/>
      </w:r>
      <w:r w:rsidR="00292BCA">
        <w:rPr>
          <w:b/>
          <w:noProof/>
          <w:sz w:val="22"/>
          <w:szCs w:val="22"/>
        </w:rPr>
        <w:t>12</w:t>
      </w:r>
      <w:r w:rsidRPr="00A8078E">
        <w:rPr>
          <w:b/>
          <w:sz w:val="22"/>
          <w:szCs w:val="22"/>
        </w:rPr>
        <w:fldChar w:fldCharType="end"/>
      </w:r>
      <w:r w:rsidRPr="00A8078E">
        <w:rPr>
          <w:b/>
          <w:sz w:val="22"/>
          <w:szCs w:val="22"/>
        </w:rPr>
        <w:t>.</w:t>
      </w:r>
      <w:r>
        <w:rPr>
          <w:b/>
          <w:sz w:val="22"/>
          <w:szCs w:val="22"/>
        </w:rPr>
        <w:t xml:space="preserve"> </w:t>
      </w:r>
      <w:r w:rsidRPr="00A8078E">
        <w:rPr>
          <w:sz w:val="22"/>
          <w:szCs w:val="22"/>
        </w:rPr>
        <w:t>Ανάλυση του σχεδίου χρηματοδότησης ανά άξονα προτεραιότητας, ταμείο, κατηγορία περιφέρειας και θεματικό στόχο, με την προτεινόμενη 2η Αναθεώρηση του ΕΠ ΜΔΤ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41"/>
        <w:gridCol w:w="681"/>
        <w:gridCol w:w="1226"/>
        <w:gridCol w:w="4296"/>
        <w:gridCol w:w="1416"/>
        <w:gridCol w:w="1416"/>
        <w:gridCol w:w="1416"/>
      </w:tblGrid>
      <w:tr w:rsidR="008B6659" w:rsidRPr="0029055C" w14:paraId="6C764710" w14:textId="77777777" w:rsidTr="00A8078E">
        <w:trPr>
          <w:tblHeader/>
        </w:trPr>
        <w:tc>
          <w:tcPr>
            <w:tcW w:w="1265" w:type="pct"/>
            <w:shd w:val="clear" w:color="auto" w:fill="DAEEF3" w:themeFill="accent5" w:themeFillTint="33"/>
            <w:vAlign w:val="center"/>
            <w:hideMark/>
          </w:tcPr>
          <w:p w14:paraId="7AD72BCD" w14:textId="77777777" w:rsidR="008B6659" w:rsidRPr="0029055C" w:rsidRDefault="008B6659" w:rsidP="00615092">
            <w:pPr>
              <w:spacing w:before="0" w:line="240" w:lineRule="auto"/>
              <w:jc w:val="center"/>
              <w:rPr>
                <w:rFonts w:asciiTheme="minorHAnsi" w:hAnsiTheme="minorHAnsi" w:cstheme="minorHAnsi"/>
                <w:b/>
                <w:bCs/>
                <w:color w:val="000000"/>
                <w:sz w:val="16"/>
                <w:szCs w:val="16"/>
              </w:rPr>
            </w:pPr>
            <w:r w:rsidRPr="0029055C">
              <w:rPr>
                <w:rFonts w:asciiTheme="minorHAnsi" w:hAnsiTheme="minorHAnsi" w:cstheme="minorHAnsi"/>
                <w:b/>
                <w:bCs/>
                <w:color w:val="000000"/>
                <w:sz w:val="16"/>
                <w:szCs w:val="16"/>
              </w:rPr>
              <w:t>Άξονας προτεραιότητας</w:t>
            </w:r>
          </w:p>
        </w:tc>
        <w:tc>
          <w:tcPr>
            <w:tcW w:w="243" w:type="pct"/>
            <w:shd w:val="clear" w:color="auto" w:fill="DAEEF3" w:themeFill="accent5" w:themeFillTint="33"/>
            <w:vAlign w:val="center"/>
            <w:hideMark/>
          </w:tcPr>
          <w:p w14:paraId="2BB8525B" w14:textId="77777777" w:rsidR="008B6659" w:rsidRPr="0029055C" w:rsidRDefault="008B6659" w:rsidP="00615092">
            <w:pPr>
              <w:spacing w:before="0" w:line="240" w:lineRule="auto"/>
              <w:jc w:val="center"/>
              <w:rPr>
                <w:rFonts w:asciiTheme="minorHAnsi" w:hAnsiTheme="minorHAnsi" w:cstheme="minorHAnsi"/>
                <w:b/>
                <w:bCs/>
                <w:color w:val="000000"/>
                <w:sz w:val="16"/>
                <w:szCs w:val="16"/>
              </w:rPr>
            </w:pPr>
            <w:r w:rsidRPr="0029055C">
              <w:rPr>
                <w:rFonts w:asciiTheme="minorHAnsi" w:hAnsiTheme="minorHAnsi" w:cstheme="minorHAnsi"/>
                <w:b/>
                <w:bCs/>
                <w:color w:val="000000"/>
                <w:sz w:val="16"/>
                <w:szCs w:val="16"/>
              </w:rPr>
              <w:t>Ταμείο</w:t>
            </w:r>
          </w:p>
        </w:tc>
        <w:tc>
          <w:tcPr>
            <w:tcW w:w="438" w:type="pct"/>
            <w:shd w:val="clear" w:color="auto" w:fill="DAEEF3" w:themeFill="accent5" w:themeFillTint="33"/>
            <w:vAlign w:val="center"/>
            <w:hideMark/>
          </w:tcPr>
          <w:p w14:paraId="593C42B3" w14:textId="77777777" w:rsidR="008B6659" w:rsidRPr="0029055C" w:rsidRDefault="008B6659" w:rsidP="00615092">
            <w:pPr>
              <w:spacing w:before="0" w:line="240" w:lineRule="auto"/>
              <w:jc w:val="center"/>
              <w:rPr>
                <w:rFonts w:asciiTheme="minorHAnsi" w:hAnsiTheme="minorHAnsi" w:cstheme="minorHAnsi"/>
                <w:b/>
                <w:bCs/>
                <w:color w:val="000000"/>
                <w:sz w:val="16"/>
                <w:szCs w:val="16"/>
              </w:rPr>
            </w:pPr>
            <w:r w:rsidRPr="0029055C">
              <w:rPr>
                <w:rFonts w:asciiTheme="minorHAnsi" w:hAnsiTheme="minorHAnsi" w:cstheme="minorHAnsi"/>
                <w:b/>
                <w:bCs/>
                <w:color w:val="000000"/>
                <w:sz w:val="16"/>
                <w:szCs w:val="16"/>
              </w:rPr>
              <w:t>Κατηγορία περιφερειών</w:t>
            </w:r>
          </w:p>
        </w:tc>
        <w:tc>
          <w:tcPr>
            <w:tcW w:w="1535" w:type="pct"/>
            <w:shd w:val="clear" w:color="auto" w:fill="DAEEF3" w:themeFill="accent5" w:themeFillTint="33"/>
            <w:vAlign w:val="center"/>
            <w:hideMark/>
          </w:tcPr>
          <w:p w14:paraId="77D7BE77" w14:textId="77777777" w:rsidR="008B6659" w:rsidRPr="0029055C" w:rsidRDefault="008B6659" w:rsidP="00615092">
            <w:pPr>
              <w:spacing w:before="0" w:line="240" w:lineRule="auto"/>
              <w:jc w:val="center"/>
              <w:rPr>
                <w:rFonts w:asciiTheme="minorHAnsi" w:hAnsiTheme="minorHAnsi" w:cstheme="minorHAnsi"/>
                <w:b/>
                <w:bCs/>
                <w:color w:val="000000"/>
                <w:sz w:val="16"/>
                <w:szCs w:val="16"/>
              </w:rPr>
            </w:pPr>
            <w:r w:rsidRPr="0029055C">
              <w:rPr>
                <w:rFonts w:asciiTheme="minorHAnsi" w:hAnsiTheme="minorHAnsi" w:cstheme="minorHAnsi"/>
                <w:b/>
                <w:bCs/>
                <w:color w:val="000000"/>
                <w:sz w:val="16"/>
                <w:szCs w:val="16"/>
              </w:rPr>
              <w:t>Θεματικός Στόχος</w:t>
            </w:r>
          </w:p>
        </w:tc>
        <w:tc>
          <w:tcPr>
            <w:tcW w:w="506" w:type="pct"/>
            <w:shd w:val="clear" w:color="auto" w:fill="DAEEF3" w:themeFill="accent5" w:themeFillTint="33"/>
            <w:vAlign w:val="center"/>
            <w:hideMark/>
          </w:tcPr>
          <w:p w14:paraId="2AB2DB96" w14:textId="77777777" w:rsidR="008B6659" w:rsidRPr="0029055C" w:rsidRDefault="008B6659" w:rsidP="00615092">
            <w:pPr>
              <w:spacing w:before="0" w:line="240" w:lineRule="auto"/>
              <w:jc w:val="center"/>
              <w:rPr>
                <w:rFonts w:asciiTheme="minorHAnsi" w:hAnsiTheme="minorHAnsi" w:cstheme="minorHAnsi"/>
                <w:b/>
                <w:bCs/>
                <w:color w:val="000000"/>
                <w:sz w:val="16"/>
                <w:szCs w:val="16"/>
              </w:rPr>
            </w:pPr>
            <w:r w:rsidRPr="0029055C">
              <w:rPr>
                <w:rFonts w:asciiTheme="minorHAnsi" w:hAnsiTheme="minorHAnsi" w:cstheme="minorHAnsi"/>
                <w:b/>
                <w:bCs/>
                <w:color w:val="000000"/>
                <w:sz w:val="16"/>
                <w:szCs w:val="16"/>
              </w:rPr>
              <w:t xml:space="preserve">Κοινοτική </w:t>
            </w:r>
            <w:r w:rsidRPr="0029055C">
              <w:rPr>
                <w:rFonts w:asciiTheme="minorHAnsi" w:hAnsiTheme="minorHAnsi" w:cstheme="minorHAnsi"/>
                <w:b/>
                <w:bCs/>
                <w:color w:val="000000"/>
                <w:sz w:val="16"/>
                <w:szCs w:val="16"/>
              </w:rPr>
              <w:br/>
              <w:t>συνδρομή</w:t>
            </w:r>
          </w:p>
        </w:tc>
        <w:tc>
          <w:tcPr>
            <w:tcW w:w="506" w:type="pct"/>
            <w:shd w:val="clear" w:color="auto" w:fill="DAEEF3" w:themeFill="accent5" w:themeFillTint="33"/>
            <w:vAlign w:val="center"/>
            <w:hideMark/>
          </w:tcPr>
          <w:p w14:paraId="2A9EC2D0" w14:textId="77777777" w:rsidR="008B6659" w:rsidRPr="0029055C" w:rsidRDefault="008B6659" w:rsidP="00615092">
            <w:pPr>
              <w:spacing w:before="0" w:line="240" w:lineRule="auto"/>
              <w:jc w:val="center"/>
              <w:rPr>
                <w:rFonts w:asciiTheme="minorHAnsi" w:hAnsiTheme="minorHAnsi" w:cstheme="minorHAnsi"/>
                <w:b/>
                <w:bCs/>
                <w:color w:val="000000"/>
                <w:sz w:val="16"/>
                <w:szCs w:val="16"/>
              </w:rPr>
            </w:pPr>
            <w:r w:rsidRPr="0029055C">
              <w:rPr>
                <w:rFonts w:asciiTheme="minorHAnsi" w:hAnsiTheme="minorHAnsi" w:cstheme="minorHAnsi"/>
                <w:b/>
                <w:bCs/>
                <w:color w:val="000000"/>
                <w:sz w:val="16"/>
                <w:szCs w:val="16"/>
              </w:rPr>
              <w:t xml:space="preserve">Εθνική </w:t>
            </w:r>
            <w:r w:rsidRPr="0029055C">
              <w:rPr>
                <w:rFonts w:asciiTheme="minorHAnsi" w:hAnsiTheme="minorHAnsi" w:cstheme="minorHAnsi"/>
                <w:b/>
                <w:bCs/>
                <w:color w:val="000000"/>
                <w:sz w:val="16"/>
                <w:szCs w:val="16"/>
              </w:rPr>
              <w:br/>
              <w:t>συμμετοχή</w:t>
            </w:r>
          </w:p>
        </w:tc>
        <w:tc>
          <w:tcPr>
            <w:tcW w:w="506" w:type="pct"/>
            <w:shd w:val="clear" w:color="auto" w:fill="DAEEF3" w:themeFill="accent5" w:themeFillTint="33"/>
            <w:vAlign w:val="center"/>
            <w:hideMark/>
          </w:tcPr>
          <w:p w14:paraId="27A47DAE" w14:textId="77777777" w:rsidR="008B6659" w:rsidRPr="0029055C" w:rsidRDefault="008B6659" w:rsidP="00615092">
            <w:pPr>
              <w:spacing w:before="0" w:line="240" w:lineRule="auto"/>
              <w:jc w:val="center"/>
              <w:rPr>
                <w:rFonts w:asciiTheme="minorHAnsi" w:hAnsiTheme="minorHAnsi" w:cstheme="minorHAnsi"/>
                <w:b/>
                <w:bCs/>
                <w:color w:val="000000"/>
                <w:sz w:val="16"/>
                <w:szCs w:val="16"/>
              </w:rPr>
            </w:pPr>
            <w:r w:rsidRPr="0029055C">
              <w:rPr>
                <w:rFonts w:asciiTheme="minorHAnsi" w:hAnsiTheme="minorHAnsi" w:cstheme="minorHAnsi"/>
                <w:b/>
                <w:bCs/>
                <w:color w:val="000000"/>
                <w:sz w:val="16"/>
                <w:szCs w:val="16"/>
              </w:rPr>
              <w:t xml:space="preserve">Συνολική </w:t>
            </w:r>
            <w:r w:rsidRPr="0029055C">
              <w:rPr>
                <w:rFonts w:asciiTheme="minorHAnsi" w:hAnsiTheme="minorHAnsi" w:cstheme="minorHAnsi"/>
                <w:b/>
                <w:bCs/>
                <w:color w:val="000000"/>
                <w:sz w:val="16"/>
                <w:szCs w:val="16"/>
              </w:rPr>
              <w:br/>
              <w:t>χρηματοδότηση</w:t>
            </w:r>
          </w:p>
        </w:tc>
      </w:tr>
      <w:tr w:rsidR="008B6659" w:rsidRPr="0029055C" w14:paraId="682FB336" w14:textId="77777777" w:rsidTr="00A8078E">
        <w:tc>
          <w:tcPr>
            <w:tcW w:w="1265" w:type="pct"/>
            <w:shd w:val="clear" w:color="auto" w:fill="auto"/>
            <w:vAlign w:val="center"/>
            <w:hideMark/>
          </w:tcPr>
          <w:p w14:paraId="10911C43"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1. Διοικητική και οργανωτική  μεταρρύθμιση για την αύξηση της αποδοτικότητας και αποτελεσματικότητας του Δημοσίου Τομέα στις 11 περιφέρειες</w:t>
            </w:r>
          </w:p>
        </w:tc>
        <w:tc>
          <w:tcPr>
            <w:tcW w:w="243" w:type="pct"/>
            <w:shd w:val="clear" w:color="auto" w:fill="auto"/>
            <w:vAlign w:val="center"/>
            <w:hideMark/>
          </w:tcPr>
          <w:p w14:paraId="29F5FC1A"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ΕΚΤ</w:t>
            </w:r>
          </w:p>
        </w:tc>
        <w:tc>
          <w:tcPr>
            <w:tcW w:w="438" w:type="pct"/>
            <w:shd w:val="clear" w:color="auto" w:fill="auto"/>
            <w:vAlign w:val="center"/>
            <w:hideMark/>
          </w:tcPr>
          <w:p w14:paraId="5CD5290A"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Λιγότερο Αναπτυγμένες</w:t>
            </w:r>
          </w:p>
        </w:tc>
        <w:tc>
          <w:tcPr>
            <w:tcW w:w="1535" w:type="pct"/>
            <w:shd w:val="clear" w:color="auto" w:fill="auto"/>
            <w:vAlign w:val="center"/>
            <w:hideMark/>
          </w:tcPr>
          <w:p w14:paraId="78945C4A"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11. Ενίσχυση της θεσμικής ικανότητας των δημόσιων αρχών και των ενδιαφερομένων φορέων και της αποτελεσματικής δημόσιας διοίκησης</w:t>
            </w:r>
          </w:p>
        </w:tc>
        <w:tc>
          <w:tcPr>
            <w:tcW w:w="506" w:type="pct"/>
            <w:shd w:val="clear" w:color="auto" w:fill="auto"/>
            <w:vAlign w:val="center"/>
          </w:tcPr>
          <w:p w14:paraId="6EA58628"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82.761.376,00</w:t>
            </w:r>
          </w:p>
        </w:tc>
        <w:tc>
          <w:tcPr>
            <w:tcW w:w="506" w:type="pct"/>
            <w:shd w:val="clear" w:color="auto" w:fill="auto"/>
            <w:vAlign w:val="center"/>
            <w:hideMark/>
          </w:tcPr>
          <w:p w14:paraId="5F188F5C"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20.690.344,00</w:t>
            </w:r>
          </w:p>
        </w:tc>
        <w:tc>
          <w:tcPr>
            <w:tcW w:w="506" w:type="pct"/>
            <w:shd w:val="clear" w:color="auto" w:fill="auto"/>
            <w:vAlign w:val="center"/>
            <w:hideMark/>
          </w:tcPr>
          <w:p w14:paraId="4C40ACBD"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103.451.720,00</w:t>
            </w:r>
          </w:p>
        </w:tc>
      </w:tr>
      <w:tr w:rsidR="008B6659" w:rsidRPr="0029055C" w14:paraId="5A941A03" w14:textId="77777777" w:rsidTr="00A8078E">
        <w:tc>
          <w:tcPr>
            <w:tcW w:w="1265" w:type="pct"/>
            <w:shd w:val="clear" w:color="auto" w:fill="auto"/>
            <w:vAlign w:val="center"/>
            <w:hideMark/>
          </w:tcPr>
          <w:p w14:paraId="08FB15AF"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1. Διοικητική και οργανωτική  μεταρρύθμιση για την αύξηση της αποδοτικότητας και αποτελεσματικότητας του Δημοσίου Τομέα στις 11 περιφέρειες</w:t>
            </w:r>
          </w:p>
        </w:tc>
        <w:tc>
          <w:tcPr>
            <w:tcW w:w="243" w:type="pct"/>
            <w:shd w:val="clear" w:color="auto" w:fill="auto"/>
            <w:vAlign w:val="center"/>
            <w:hideMark/>
          </w:tcPr>
          <w:p w14:paraId="237B7FBE"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ΕΚΤ</w:t>
            </w:r>
          </w:p>
        </w:tc>
        <w:tc>
          <w:tcPr>
            <w:tcW w:w="438" w:type="pct"/>
            <w:shd w:val="clear" w:color="auto" w:fill="auto"/>
            <w:vAlign w:val="center"/>
            <w:hideMark/>
          </w:tcPr>
          <w:p w14:paraId="53E05318"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Περιφέρειες σε Μετάβαση</w:t>
            </w:r>
          </w:p>
        </w:tc>
        <w:tc>
          <w:tcPr>
            <w:tcW w:w="1535" w:type="pct"/>
            <w:shd w:val="clear" w:color="auto" w:fill="auto"/>
            <w:vAlign w:val="center"/>
            <w:hideMark/>
          </w:tcPr>
          <w:p w14:paraId="5FE0ACF6"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11. Ενίσχυση της θεσμικής ικανότητας των δημόσιων αρχών και των ενδιαφερομένων φορέων και της αποτελεσματικής δημόσιας διοίκησης</w:t>
            </w:r>
          </w:p>
        </w:tc>
        <w:tc>
          <w:tcPr>
            <w:tcW w:w="506" w:type="pct"/>
            <w:shd w:val="clear" w:color="auto" w:fill="auto"/>
            <w:vAlign w:val="center"/>
          </w:tcPr>
          <w:p w14:paraId="49585320"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22.217.420,00</w:t>
            </w:r>
          </w:p>
        </w:tc>
        <w:tc>
          <w:tcPr>
            <w:tcW w:w="506" w:type="pct"/>
            <w:shd w:val="clear" w:color="auto" w:fill="auto"/>
            <w:vAlign w:val="center"/>
            <w:hideMark/>
          </w:tcPr>
          <w:p w14:paraId="5C79D2D5"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5.554.356,00</w:t>
            </w:r>
          </w:p>
        </w:tc>
        <w:tc>
          <w:tcPr>
            <w:tcW w:w="506" w:type="pct"/>
            <w:shd w:val="clear" w:color="auto" w:fill="auto"/>
            <w:vAlign w:val="center"/>
            <w:hideMark/>
          </w:tcPr>
          <w:p w14:paraId="489A17E9"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27.771.776,00</w:t>
            </w:r>
          </w:p>
        </w:tc>
      </w:tr>
      <w:tr w:rsidR="008B6659" w:rsidRPr="0029055C" w14:paraId="6361AA3E" w14:textId="77777777" w:rsidTr="00A8078E">
        <w:tc>
          <w:tcPr>
            <w:tcW w:w="1265" w:type="pct"/>
            <w:shd w:val="clear" w:color="auto" w:fill="auto"/>
            <w:vAlign w:val="center"/>
            <w:hideMark/>
          </w:tcPr>
          <w:p w14:paraId="7EB6D328"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1. Διοικητική και οργανωτική  μεταρρύθμιση για την αύξηση της αποδοτικότητας και αποτελεσματικότητας του Δημοσίου Τομέα στις 11 περιφέρειες</w:t>
            </w:r>
          </w:p>
        </w:tc>
        <w:tc>
          <w:tcPr>
            <w:tcW w:w="243" w:type="pct"/>
            <w:shd w:val="clear" w:color="auto" w:fill="auto"/>
            <w:vAlign w:val="center"/>
            <w:hideMark/>
          </w:tcPr>
          <w:p w14:paraId="46CF9F37"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ΕΚΤ</w:t>
            </w:r>
          </w:p>
        </w:tc>
        <w:tc>
          <w:tcPr>
            <w:tcW w:w="438" w:type="pct"/>
            <w:shd w:val="clear" w:color="auto" w:fill="auto"/>
            <w:vAlign w:val="center"/>
            <w:hideMark/>
          </w:tcPr>
          <w:p w14:paraId="261BDA39"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Περισσότερο αναπτυγμένες</w:t>
            </w:r>
          </w:p>
        </w:tc>
        <w:tc>
          <w:tcPr>
            <w:tcW w:w="1535" w:type="pct"/>
            <w:shd w:val="clear" w:color="auto" w:fill="auto"/>
            <w:vAlign w:val="center"/>
            <w:hideMark/>
          </w:tcPr>
          <w:p w14:paraId="158F7D00"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11. Ενίσχυση της θεσμικής ικανότητας των δημόσιων αρχών και των ενδιαφερομένων φορέων και της αποτελεσματικής δημόσιας διοίκησης</w:t>
            </w:r>
          </w:p>
        </w:tc>
        <w:tc>
          <w:tcPr>
            <w:tcW w:w="506" w:type="pct"/>
            <w:shd w:val="clear" w:color="auto" w:fill="auto"/>
            <w:vAlign w:val="center"/>
          </w:tcPr>
          <w:p w14:paraId="3CBB16A2"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11.371.999,00</w:t>
            </w:r>
          </w:p>
        </w:tc>
        <w:tc>
          <w:tcPr>
            <w:tcW w:w="506" w:type="pct"/>
            <w:shd w:val="clear" w:color="auto" w:fill="auto"/>
            <w:vAlign w:val="center"/>
            <w:hideMark/>
          </w:tcPr>
          <w:p w14:paraId="70601014"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2.843.000,00</w:t>
            </w:r>
          </w:p>
        </w:tc>
        <w:tc>
          <w:tcPr>
            <w:tcW w:w="506" w:type="pct"/>
            <w:shd w:val="clear" w:color="auto" w:fill="auto"/>
            <w:vAlign w:val="center"/>
            <w:hideMark/>
          </w:tcPr>
          <w:p w14:paraId="3055B731"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14.214.999,00</w:t>
            </w:r>
          </w:p>
        </w:tc>
      </w:tr>
      <w:tr w:rsidR="008B6659" w:rsidRPr="0029055C" w14:paraId="30FC1A52" w14:textId="77777777" w:rsidTr="00A8078E">
        <w:tc>
          <w:tcPr>
            <w:tcW w:w="1265" w:type="pct"/>
            <w:shd w:val="clear" w:color="auto" w:fill="auto"/>
            <w:vAlign w:val="center"/>
            <w:hideMark/>
          </w:tcPr>
          <w:p w14:paraId="34CCE564"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2. Διοικητική και οργανωτική  μεταρρύθμιση για την αύξηση της αποδοτικότητας και αποτελεσματικότητας του Δημοσίου Τομέα στη ΣΤΕΡΕΑ ΕΛΛΑΔΑ</w:t>
            </w:r>
          </w:p>
        </w:tc>
        <w:tc>
          <w:tcPr>
            <w:tcW w:w="243" w:type="pct"/>
            <w:shd w:val="clear" w:color="auto" w:fill="auto"/>
            <w:vAlign w:val="center"/>
            <w:hideMark/>
          </w:tcPr>
          <w:p w14:paraId="3388F124"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ΕΚΤ</w:t>
            </w:r>
          </w:p>
        </w:tc>
        <w:tc>
          <w:tcPr>
            <w:tcW w:w="438" w:type="pct"/>
            <w:shd w:val="clear" w:color="auto" w:fill="auto"/>
            <w:vAlign w:val="center"/>
            <w:hideMark/>
          </w:tcPr>
          <w:p w14:paraId="2797B451"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Περιφέρειες σε Μετάβαση</w:t>
            </w:r>
          </w:p>
        </w:tc>
        <w:tc>
          <w:tcPr>
            <w:tcW w:w="1535" w:type="pct"/>
            <w:shd w:val="clear" w:color="auto" w:fill="auto"/>
            <w:vAlign w:val="center"/>
            <w:hideMark/>
          </w:tcPr>
          <w:p w14:paraId="01ED50C9"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11. Ενίσχυση της θεσμικής ικανότητας των δημόσιων αρχών και των ενδιαφερομένων φορέων και της αποτελεσματικής δημόσιας διοίκησης</w:t>
            </w:r>
          </w:p>
        </w:tc>
        <w:tc>
          <w:tcPr>
            <w:tcW w:w="506" w:type="pct"/>
            <w:shd w:val="clear" w:color="auto" w:fill="auto"/>
            <w:vAlign w:val="center"/>
          </w:tcPr>
          <w:p w14:paraId="0840DBD5"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6.451.186,00</w:t>
            </w:r>
          </w:p>
        </w:tc>
        <w:tc>
          <w:tcPr>
            <w:tcW w:w="506" w:type="pct"/>
            <w:shd w:val="clear" w:color="auto" w:fill="auto"/>
            <w:vAlign w:val="center"/>
            <w:hideMark/>
          </w:tcPr>
          <w:p w14:paraId="3B3E1F52"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6.451.186,00</w:t>
            </w:r>
          </w:p>
        </w:tc>
        <w:tc>
          <w:tcPr>
            <w:tcW w:w="506" w:type="pct"/>
            <w:shd w:val="clear" w:color="auto" w:fill="auto"/>
            <w:vAlign w:val="center"/>
            <w:hideMark/>
          </w:tcPr>
          <w:p w14:paraId="59446C50"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12.902.372,00</w:t>
            </w:r>
          </w:p>
        </w:tc>
      </w:tr>
      <w:tr w:rsidR="008B6659" w:rsidRPr="0029055C" w14:paraId="63C16DAF" w14:textId="77777777" w:rsidTr="00A8078E">
        <w:tc>
          <w:tcPr>
            <w:tcW w:w="1265" w:type="pct"/>
            <w:shd w:val="clear" w:color="auto" w:fill="auto"/>
            <w:vAlign w:val="center"/>
            <w:hideMark/>
          </w:tcPr>
          <w:p w14:paraId="528A8CC9"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3. Διοικητική και οργανωτική  μεταρρύθμιση για την αύξηση της αποδοτικότητας και αποτελεσματικότητας του Δημοσίου Τομέα στο ΝΟΤΙΟ ΑΙΓΑΙΟ</w:t>
            </w:r>
          </w:p>
        </w:tc>
        <w:tc>
          <w:tcPr>
            <w:tcW w:w="243" w:type="pct"/>
            <w:shd w:val="clear" w:color="auto" w:fill="auto"/>
            <w:vAlign w:val="center"/>
            <w:hideMark/>
          </w:tcPr>
          <w:p w14:paraId="2847E26C"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ΕΚΤ</w:t>
            </w:r>
          </w:p>
        </w:tc>
        <w:tc>
          <w:tcPr>
            <w:tcW w:w="438" w:type="pct"/>
            <w:shd w:val="clear" w:color="auto" w:fill="auto"/>
            <w:vAlign w:val="center"/>
            <w:hideMark/>
          </w:tcPr>
          <w:p w14:paraId="68C6162F"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Περισσότερο αναπτυγμένες</w:t>
            </w:r>
          </w:p>
        </w:tc>
        <w:tc>
          <w:tcPr>
            <w:tcW w:w="1535" w:type="pct"/>
            <w:shd w:val="clear" w:color="auto" w:fill="auto"/>
            <w:vAlign w:val="center"/>
            <w:hideMark/>
          </w:tcPr>
          <w:p w14:paraId="124DF7D2"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11. Ενίσχυση της θεσμικής ικανότητας των δημόσιων αρχών και των ενδιαφερομένων φορέων και της αποτελεσματικής δημόσιας διοίκησης</w:t>
            </w:r>
          </w:p>
        </w:tc>
        <w:tc>
          <w:tcPr>
            <w:tcW w:w="506" w:type="pct"/>
            <w:shd w:val="clear" w:color="auto" w:fill="auto"/>
            <w:vAlign w:val="center"/>
          </w:tcPr>
          <w:p w14:paraId="5428F899"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976.534,00</w:t>
            </w:r>
          </w:p>
        </w:tc>
        <w:tc>
          <w:tcPr>
            <w:tcW w:w="506" w:type="pct"/>
            <w:shd w:val="clear" w:color="auto" w:fill="auto"/>
            <w:vAlign w:val="center"/>
            <w:hideMark/>
          </w:tcPr>
          <w:p w14:paraId="42D5E018"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976.534,00</w:t>
            </w:r>
          </w:p>
        </w:tc>
        <w:tc>
          <w:tcPr>
            <w:tcW w:w="506" w:type="pct"/>
            <w:shd w:val="clear" w:color="auto" w:fill="auto"/>
            <w:vAlign w:val="center"/>
            <w:hideMark/>
          </w:tcPr>
          <w:p w14:paraId="2202E2BF"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1.953.068,00</w:t>
            </w:r>
          </w:p>
        </w:tc>
      </w:tr>
      <w:tr w:rsidR="008B6659" w:rsidRPr="0029055C" w14:paraId="74A6DCF2" w14:textId="77777777" w:rsidTr="00A8078E">
        <w:tc>
          <w:tcPr>
            <w:tcW w:w="1265" w:type="pct"/>
            <w:shd w:val="clear" w:color="auto" w:fill="auto"/>
            <w:vAlign w:val="center"/>
            <w:hideMark/>
          </w:tcPr>
          <w:p w14:paraId="0E99CA8A" w14:textId="77777777" w:rsidR="008B6659" w:rsidRPr="0029055C" w:rsidRDefault="008B6659" w:rsidP="00615092">
            <w:pPr>
              <w:pStyle w:val="2"/>
              <w:shd w:val="clear" w:color="auto" w:fill="auto"/>
              <w:spacing w:after="0" w:line="240" w:lineRule="auto"/>
              <w:ind w:firstLine="0"/>
              <w:jc w:val="both"/>
              <w:rPr>
                <w:rFonts w:asciiTheme="minorHAnsi" w:hAnsiTheme="minorHAnsi" w:cstheme="minorHAnsi"/>
                <w:sz w:val="16"/>
                <w:szCs w:val="16"/>
              </w:rPr>
            </w:pPr>
            <w:r w:rsidRPr="0029055C">
              <w:rPr>
                <w:rStyle w:val="Bodytext75pt"/>
                <w:rFonts w:asciiTheme="minorHAnsi" w:hAnsiTheme="minorHAnsi" w:cstheme="minorHAnsi"/>
                <w:sz w:val="16"/>
                <w:szCs w:val="16"/>
              </w:rPr>
              <w:t>4. Ενίσχυση της Ηλεκτρονικής Διακυβέρνησης στις 11 περιφέρειες</w:t>
            </w:r>
          </w:p>
        </w:tc>
        <w:tc>
          <w:tcPr>
            <w:tcW w:w="243" w:type="pct"/>
            <w:shd w:val="clear" w:color="auto" w:fill="auto"/>
            <w:vAlign w:val="center"/>
            <w:hideMark/>
          </w:tcPr>
          <w:p w14:paraId="3CFBBC31"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ΕΤΠΑ</w:t>
            </w:r>
          </w:p>
        </w:tc>
        <w:tc>
          <w:tcPr>
            <w:tcW w:w="438" w:type="pct"/>
            <w:shd w:val="clear" w:color="auto" w:fill="auto"/>
            <w:vAlign w:val="center"/>
            <w:hideMark/>
          </w:tcPr>
          <w:p w14:paraId="206F7626"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Λιγότερο Αναπτυγμένες</w:t>
            </w:r>
          </w:p>
        </w:tc>
        <w:tc>
          <w:tcPr>
            <w:tcW w:w="1535" w:type="pct"/>
            <w:shd w:val="clear" w:color="auto" w:fill="auto"/>
            <w:vAlign w:val="center"/>
            <w:hideMark/>
          </w:tcPr>
          <w:p w14:paraId="6F145B2E"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2. Βελτίωση της πρόσβασης, της χρήσης και της ποιότητας των τεχνολογιών των πληροφοριών και των επικοινωνιών</w:t>
            </w:r>
          </w:p>
        </w:tc>
        <w:tc>
          <w:tcPr>
            <w:tcW w:w="506" w:type="pct"/>
            <w:shd w:val="clear" w:color="auto" w:fill="auto"/>
            <w:vAlign w:val="center"/>
            <w:hideMark/>
          </w:tcPr>
          <w:p w14:paraId="7AFAE992"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151.911.654,00</w:t>
            </w:r>
          </w:p>
        </w:tc>
        <w:tc>
          <w:tcPr>
            <w:tcW w:w="506" w:type="pct"/>
            <w:shd w:val="clear" w:color="auto" w:fill="auto"/>
            <w:vAlign w:val="center"/>
            <w:hideMark/>
          </w:tcPr>
          <w:p w14:paraId="06DF7B9B"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37.977.914,00</w:t>
            </w:r>
          </w:p>
        </w:tc>
        <w:tc>
          <w:tcPr>
            <w:tcW w:w="506" w:type="pct"/>
            <w:shd w:val="clear" w:color="auto" w:fill="auto"/>
            <w:vAlign w:val="center"/>
            <w:hideMark/>
          </w:tcPr>
          <w:p w14:paraId="46959CA2"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189.889.568,00</w:t>
            </w:r>
          </w:p>
        </w:tc>
      </w:tr>
      <w:tr w:rsidR="008B6659" w:rsidRPr="0029055C" w14:paraId="42036206" w14:textId="77777777" w:rsidTr="00A8078E">
        <w:tc>
          <w:tcPr>
            <w:tcW w:w="1265" w:type="pct"/>
            <w:shd w:val="clear" w:color="auto" w:fill="auto"/>
            <w:vAlign w:val="center"/>
            <w:hideMark/>
          </w:tcPr>
          <w:p w14:paraId="407737E9" w14:textId="77777777" w:rsidR="008B6659" w:rsidRPr="0029055C" w:rsidRDefault="008B6659" w:rsidP="00615092">
            <w:pPr>
              <w:pStyle w:val="2"/>
              <w:shd w:val="clear" w:color="auto" w:fill="auto"/>
              <w:spacing w:after="0" w:line="240" w:lineRule="auto"/>
              <w:ind w:firstLine="0"/>
              <w:jc w:val="both"/>
              <w:rPr>
                <w:rFonts w:asciiTheme="minorHAnsi" w:hAnsiTheme="minorHAnsi" w:cstheme="minorHAnsi"/>
                <w:sz w:val="16"/>
                <w:szCs w:val="16"/>
              </w:rPr>
            </w:pPr>
            <w:r w:rsidRPr="0029055C">
              <w:rPr>
                <w:rStyle w:val="Bodytext75pt"/>
                <w:rFonts w:asciiTheme="minorHAnsi" w:hAnsiTheme="minorHAnsi" w:cstheme="minorHAnsi"/>
                <w:sz w:val="16"/>
                <w:szCs w:val="16"/>
              </w:rPr>
              <w:t>4. Ενίσχυση της Ηλεκτρονικής Διακυβέρνησης στις 11 περιφέρειες</w:t>
            </w:r>
          </w:p>
        </w:tc>
        <w:tc>
          <w:tcPr>
            <w:tcW w:w="243" w:type="pct"/>
            <w:shd w:val="clear" w:color="auto" w:fill="auto"/>
            <w:vAlign w:val="center"/>
            <w:hideMark/>
          </w:tcPr>
          <w:p w14:paraId="38A8B332"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ΕΤΠΑ</w:t>
            </w:r>
          </w:p>
        </w:tc>
        <w:tc>
          <w:tcPr>
            <w:tcW w:w="438" w:type="pct"/>
            <w:shd w:val="clear" w:color="auto" w:fill="auto"/>
            <w:vAlign w:val="center"/>
            <w:hideMark/>
          </w:tcPr>
          <w:p w14:paraId="3AEF5EEE"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Περιφέρειες σε Μετάβαση</w:t>
            </w:r>
          </w:p>
        </w:tc>
        <w:tc>
          <w:tcPr>
            <w:tcW w:w="1535" w:type="pct"/>
            <w:shd w:val="clear" w:color="auto" w:fill="auto"/>
            <w:vAlign w:val="center"/>
            <w:hideMark/>
          </w:tcPr>
          <w:p w14:paraId="0C199B2B"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2. Βελτίωση της πρόσβασης, της χρήσης και της ποιότητας των τεχνολογιών των πληροφοριών και των επικοινωνιών</w:t>
            </w:r>
          </w:p>
        </w:tc>
        <w:tc>
          <w:tcPr>
            <w:tcW w:w="506" w:type="pct"/>
            <w:shd w:val="clear" w:color="auto" w:fill="auto"/>
            <w:vAlign w:val="center"/>
            <w:hideMark/>
          </w:tcPr>
          <w:p w14:paraId="4D6277C5"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26.312.573,00</w:t>
            </w:r>
          </w:p>
        </w:tc>
        <w:tc>
          <w:tcPr>
            <w:tcW w:w="506" w:type="pct"/>
            <w:shd w:val="clear" w:color="auto" w:fill="auto"/>
            <w:vAlign w:val="center"/>
            <w:hideMark/>
          </w:tcPr>
          <w:p w14:paraId="55998E6A"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6.578.144,00</w:t>
            </w:r>
          </w:p>
        </w:tc>
        <w:tc>
          <w:tcPr>
            <w:tcW w:w="506" w:type="pct"/>
            <w:shd w:val="clear" w:color="auto" w:fill="auto"/>
            <w:vAlign w:val="center"/>
            <w:hideMark/>
          </w:tcPr>
          <w:p w14:paraId="7EF96E24"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32.890.717,00</w:t>
            </w:r>
          </w:p>
        </w:tc>
      </w:tr>
      <w:tr w:rsidR="008B6659" w:rsidRPr="0029055C" w14:paraId="20D98B02" w14:textId="77777777" w:rsidTr="00A8078E">
        <w:tc>
          <w:tcPr>
            <w:tcW w:w="1265" w:type="pct"/>
            <w:shd w:val="clear" w:color="auto" w:fill="auto"/>
            <w:vAlign w:val="center"/>
            <w:hideMark/>
          </w:tcPr>
          <w:p w14:paraId="16D45F44" w14:textId="77777777" w:rsidR="008B6659" w:rsidRPr="0029055C" w:rsidRDefault="008B6659" w:rsidP="00615092">
            <w:pPr>
              <w:pStyle w:val="2"/>
              <w:shd w:val="clear" w:color="auto" w:fill="auto"/>
              <w:spacing w:after="0" w:line="240" w:lineRule="auto"/>
              <w:ind w:firstLine="0"/>
              <w:jc w:val="both"/>
              <w:rPr>
                <w:rFonts w:asciiTheme="minorHAnsi" w:hAnsiTheme="minorHAnsi" w:cstheme="minorHAnsi"/>
                <w:sz w:val="16"/>
                <w:szCs w:val="16"/>
              </w:rPr>
            </w:pPr>
            <w:r w:rsidRPr="0029055C">
              <w:rPr>
                <w:rStyle w:val="Bodytext75pt"/>
                <w:rFonts w:asciiTheme="minorHAnsi" w:hAnsiTheme="minorHAnsi" w:cstheme="minorHAnsi"/>
                <w:sz w:val="16"/>
                <w:szCs w:val="16"/>
              </w:rPr>
              <w:t>4. Ενίσχυση της Ηλεκτρονικής Διακυβέρνησης στις 11 περιφέρειες</w:t>
            </w:r>
          </w:p>
        </w:tc>
        <w:tc>
          <w:tcPr>
            <w:tcW w:w="243" w:type="pct"/>
            <w:shd w:val="clear" w:color="auto" w:fill="auto"/>
            <w:vAlign w:val="center"/>
            <w:hideMark/>
          </w:tcPr>
          <w:p w14:paraId="6C577A6F"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ΕΤΠΑ</w:t>
            </w:r>
          </w:p>
        </w:tc>
        <w:tc>
          <w:tcPr>
            <w:tcW w:w="438" w:type="pct"/>
            <w:shd w:val="clear" w:color="auto" w:fill="auto"/>
            <w:vAlign w:val="center"/>
            <w:hideMark/>
          </w:tcPr>
          <w:p w14:paraId="7300E025"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Περισσότερο αναπτυγμένες</w:t>
            </w:r>
          </w:p>
        </w:tc>
        <w:tc>
          <w:tcPr>
            <w:tcW w:w="1535" w:type="pct"/>
            <w:shd w:val="clear" w:color="auto" w:fill="auto"/>
            <w:vAlign w:val="center"/>
            <w:hideMark/>
          </w:tcPr>
          <w:p w14:paraId="03A3D3F8"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2. Βελτίωση της πρόσβασης, της χρήσης και της ποιότητας των τεχνολογιών των πληροφοριών και των επικοινωνιών</w:t>
            </w:r>
          </w:p>
        </w:tc>
        <w:tc>
          <w:tcPr>
            <w:tcW w:w="506" w:type="pct"/>
            <w:shd w:val="clear" w:color="auto" w:fill="auto"/>
            <w:vAlign w:val="center"/>
            <w:hideMark/>
          </w:tcPr>
          <w:p w14:paraId="3F07938E"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46.131.778,00</w:t>
            </w:r>
          </w:p>
        </w:tc>
        <w:tc>
          <w:tcPr>
            <w:tcW w:w="506" w:type="pct"/>
            <w:shd w:val="clear" w:color="auto" w:fill="auto"/>
            <w:vAlign w:val="center"/>
            <w:hideMark/>
          </w:tcPr>
          <w:p w14:paraId="20B48CD9"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11.532.945,00</w:t>
            </w:r>
          </w:p>
        </w:tc>
        <w:tc>
          <w:tcPr>
            <w:tcW w:w="506" w:type="pct"/>
            <w:shd w:val="clear" w:color="auto" w:fill="auto"/>
            <w:vAlign w:val="center"/>
            <w:hideMark/>
          </w:tcPr>
          <w:p w14:paraId="498C27A4"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57.664.723,00</w:t>
            </w:r>
          </w:p>
        </w:tc>
      </w:tr>
      <w:tr w:rsidR="008B6659" w:rsidRPr="0029055C" w14:paraId="1F5D116D" w14:textId="77777777" w:rsidTr="00A8078E">
        <w:tc>
          <w:tcPr>
            <w:tcW w:w="1265" w:type="pct"/>
            <w:shd w:val="clear" w:color="auto" w:fill="auto"/>
            <w:vAlign w:val="center"/>
            <w:hideMark/>
          </w:tcPr>
          <w:p w14:paraId="54B689B1" w14:textId="77777777" w:rsidR="008B6659" w:rsidRPr="0029055C" w:rsidRDefault="008B6659" w:rsidP="00615092">
            <w:pPr>
              <w:pStyle w:val="2"/>
              <w:shd w:val="clear" w:color="auto" w:fill="auto"/>
              <w:spacing w:after="0" w:line="240" w:lineRule="auto"/>
              <w:ind w:firstLine="0"/>
              <w:jc w:val="both"/>
              <w:rPr>
                <w:rFonts w:asciiTheme="minorHAnsi" w:hAnsiTheme="minorHAnsi" w:cstheme="minorHAnsi"/>
                <w:sz w:val="16"/>
                <w:szCs w:val="16"/>
              </w:rPr>
            </w:pPr>
            <w:r w:rsidRPr="0029055C">
              <w:rPr>
                <w:rStyle w:val="Bodytext75pt"/>
                <w:rFonts w:asciiTheme="minorHAnsi" w:hAnsiTheme="minorHAnsi" w:cstheme="minorHAnsi"/>
                <w:sz w:val="16"/>
                <w:szCs w:val="16"/>
              </w:rPr>
              <w:t>5. Ενίσχυση της Ηλεκτρονικής Διακυβέρνησης στη ΣΤΕΡΕΑ ΕΛΛΑΔΑ 11</w:t>
            </w:r>
          </w:p>
        </w:tc>
        <w:tc>
          <w:tcPr>
            <w:tcW w:w="243" w:type="pct"/>
            <w:shd w:val="clear" w:color="auto" w:fill="auto"/>
            <w:vAlign w:val="center"/>
            <w:hideMark/>
          </w:tcPr>
          <w:p w14:paraId="79CD2D74"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ΕΤΠΑ</w:t>
            </w:r>
          </w:p>
        </w:tc>
        <w:tc>
          <w:tcPr>
            <w:tcW w:w="438" w:type="pct"/>
            <w:shd w:val="clear" w:color="auto" w:fill="auto"/>
            <w:vAlign w:val="center"/>
            <w:hideMark/>
          </w:tcPr>
          <w:p w14:paraId="4F55B965"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Περιφέρειες σε Μετάβαση</w:t>
            </w:r>
          </w:p>
        </w:tc>
        <w:tc>
          <w:tcPr>
            <w:tcW w:w="1535" w:type="pct"/>
            <w:shd w:val="clear" w:color="auto" w:fill="auto"/>
            <w:vAlign w:val="center"/>
            <w:hideMark/>
          </w:tcPr>
          <w:p w14:paraId="26B63414"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2. Βελτίωση της πρόσβασης, της χρήσης και της ποιότητας των τεχνολογιών των πληροφοριών και των επικοινωνιών</w:t>
            </w:r>
          </w:p>
        </w:tc>
        <w:tc>
          <w:tcPr>
            <w:tcW w:w="506" w:type="pct"/>
            <w:shd w:val="clear" w:color="auto" w:fill="auto"/>
            <w:vAlign w:val="center"/>
            <w:hideMark/>
          </w:tcPr>
          <w:p w14:paraId="36F8BBAF"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7.613.111,00</w:t>
            </w:r>
          </w:p>
        </w:tc>
        <w:tc>
          <w:tcPr>
            <w:tcW w:w="506" w:type="pct"/>
            <w:shd w:val="clear" w:color="auto" w:fill="auto"/>
            <w:vAlign w:val="center"/>
            <w:hideMark/>
          </w:tcPr>
          <w:p w14:paraId="7F44E8EF"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7.613.111,00</w:t>
            </w:r>
          </w:p>
        </w:tc>
        <w:tc>
          <w:tcPr>
            <w:tcW w:w="506" w:type="pct"/>
            <w:shd w:val="clear" w:color="auto" w:fill="auto"/>
            <w:vAlign w:val="center"/>
            <w:hideMark/>
          </w:tcPr>
          <w:p w14:paraId="11A91A27"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15.226.222,00</w:t>
            </w:r>
          </w:p>
        </w:tc>
      </w:tr>
      <w:tr w:rsidR="008B6659" w:rsidRPr="0029055C" w14:paraId="43404FC0" w14:textId="77777777" w:rsidTr="00A8078E">
        <w:tc>
          <w:tcPr>
            <w:tcW w:w="1265" w:type="pct"/>
            <w:shd w:val="clear" w:color="auto" w:fill="auto"/>
            <w:vAlign w:val="center"/>
            <w:hideMark/>
          </w:tcPr>
          <w:p w14:paraId="50725278" w14:textId="77777777" w:rsidR="008B6659" w:rsidRPr="0029055C" w:rsidRDefault="008B6659" w:rsidP="00615092">
            <w:pPr>
              <w:pStyle w:val="2"/>
              <w:shd w:val="clear" w:color="auto" w:fill="auto"/>
              <w:spacing w:after="0" w:line="240" w:lineRule="auto"/>
              <w:ind w:firstLine="0"/>
              <w:jc w:val="both"/>
              <w:rPr>
                <w:rFonts w:asciiTheme="minorHAnsi" w:hAnsiTheme="minorHAnsi" w:cstheme="minorHAnsi"/>
                <w:sz w:val="16"/>
                <w:szCs w:val="16"/>
              </w:rPr>
            </w:pPr>
            <w:r w:rsidRPr="0029055C">
              <w:rPr>
                <w:rStyle w:val="Bodytext75pt"/>
                <w:rFonts w:asciiTheme="minorHAnsi" w:hAnsiTheme="minorHAnsi" w:cstheme="minorHAnsi"/>
                <w:sz w:val="16"/>
                <w:szCs w:val="16"/>
              </w:rPr>
              <w:t>6. Ενίσχυση της Ηλεκτρονικής Διακυβέρνησης στο ΝΟΤΙΟ ΑΙΓΑΙΟ</w:t>
            </w:r>
          </w:p>
        </w:tc>
        <w:tc>
          <w:tcPr>
            <w:tcW w:w="243" w:type="pct"/>
            <w:shd w:val="clear" w:color="auto" w:fill="auto"/>
            <w:vAlign w:val="center"/>
            <w:hideMark/>
          </w:tcPr>
          <w:p w14:paraId="4CD2B78F"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ΕΤΠΑ</w:t>
            </w:r>
          </w:p>
        </w:tc>
        <w:tc>
          <w:tcPr>
            <w:tcW w:w="438" w:type="pct"/>
            <w:shd w:val="clear" w:color="auto" w:fill="auto"/>
            <w:vAlign w:val="center"/>
            <w:hideMark/>
          </w:tcPr>
          <w:p w14:paraId="4AD8CD5A"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Περισσότερο αναπτυγμένες</w:t>
            </w:r>
          </w:p>
        </w:tc>
        <w:tc>
          <w:tcPr>
            <w:tcW w:w="1535" w:type="pct"/>
            <w:shd w:val="clear" w:color="auto" w:fill="auto"/>
            <w:vAlign w:val="center"/>
            <w:hideMark/>
          </w:tcPr>
          <w:p w14:paraId="7A4ADED1"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2. Βελτίωση της πρόσβασης, της χρήσης και της ποιότητας των τεχνολογιών των πληροφοριών και των επικοινωνιών</w:t>
            </w:r>
          </w:p>
        </w:tc>
        <w:tc>
          <w:tcPr>
            <w:tcW w:w="506" w:type="pct"/>
            <w:shd w:val="clear" w:color="auto" w:fill="auto"/>
            <w:vAlign w:val="center"/>
            <w:hideMark/>
          </w:tcPr>
          <w:p w14:paraId="2552F210"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3.732.996,00</w:t>
            </w:r>
          </w:p>
        </w:tc>
        <w:tc>
          <w:tcPr>
            <w:tcW w:w="506" w:type="pct"/>
            <w:shd w:val="clear" w:color="auto" w:fill="auto"/>
            <w:vAlign w:val="center"/>
            <w:hideMark/>
          </w:tcPr>
          <w:p w14:paraId="7A1D0648"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3.732.996,00</w:t>
            </w:r>
          </w:p>
        </w:tc>
        <w:tc>
          <w:tcPr>
            <w:tcW w:w="506" w:type="pct"/>
            <w:shd w:val="clear" w:color="auto" w:fill="auto"/>
            <w:vAlign w:val="center"/>
            <w:hideMark/>
          </w:tcPr>
          <w:p w14:paraId="4686FA62"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7.465.992,00</w:t>
            </w:r>
          </w:p>
        </w:tc>
      </w:tr>
      <w:tr w:rsidR="008B6659" w:rsidRPr="0029055C" w14:paraId="27589608" w14:textId="77777777" w:rsidTr="00A8078E">
        <w:tc>
          <w:tcPr>
            <w:tcW w:w="1265" w:type="pct"/>
            <w:shd w:val="clear" w:color="auto" w:fill="auto"/>
            <w:vAlign w:val="center"/>
            <w:hideMark/>
          </w:tcPr>
          <w:p w14:paraId="154063E6" w14:textId="77777777" w:rsidR="008B6659" w:rsidRPr="0029055C" w:rsidRDefault="008B6659" w:rsidP="00615092">
            <w:pPr>
              <w:pStyle w:val="2"/>
              <w:shd w:val="clear" w:color="auto" w:fill="auto"/>
              <w:spacing w:after="0" w:line="240" w:lineRule="auto"/>
              <w:ind w:firstLine="0"/>
              <w:jc w:val="both"/>
              <w:rPr>
                <w:rFonts w:asciiTheme="minorHAnsi" w:hAnsiTheme="minorHAnsi" w:cstheme="minorHAnsi"/>
                <w:sz w:val="16"/>
                <w:szCs w:val="16"/>
              </w:rPr>
            </w:pPr>
            <w:r w:rsidRPr="0029055C">
              <w:rPr>
                <w:rStyle w:val="Bodytext75pt"/>
                <w:rFonts w:asciiTheme="minorHAnsi" w:eastAsia="TimesNewRomanPSMT" w:hAnsiTheme="minorHAnsi" w:cstheme="minorHAnsi"/>
                <w:sz w:val="16"/>
                <w:szCs w:val="16"/>
              </w:rPr>
              <w:t>7. Βελτίωση της διαχείρισης και ανάπτυξη του ανθρώπινου δυναμικού του Δημοσίου Τομέα στις 11 περιφέρειες</w:t>
            </w:r>
          </w:p>
        </w:tc>
        <w:tc>
          <w:tcPr>
            <w:tcW w:w="243" w:type="pct"/>
            <w:shd w:val="clear" w:color="auto" w:fill="auto"/>
            <w:vAlign w:val="center"/>
            <w:hideMark/>
          </w:tcPr>
          <w:p w14:paraId="62453EA7"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ΕΚΤ</w:t>
            </w:r>
          </w:p>
        </w:tc>
        <w:tc>
          <w:tcPr>
            <w:tcW w:w="438" w:type="pct"/>
            <w:shd w:val="clear" w:color="auto" w:fill="auto"/>
            <w:vAlign w:val="center"/>
            <w:hideMark/>
          </w:tcPr>
          <w:p w14:paraId="15816D2E"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Λιγότερο Αναπτυγμένες</w:t>
            </w:r>
          </w:p>
        </w:tc>
        <w:tc>
          <w:tcPr>
            <w:tcW w:w="1535" w:type="pct"/>
            <w:shd w:val="clear" w:color="auto" w:fill="auto"/>
            <w:vAlign w:val="center"/>
            <w:hideMark/>
          </w:tcPr>
          <w:p w14:paraId="21462F64"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11. Ενίσχυση της θεσμικής ικανότητας των δημόσιων αρχών και των ενδιαφερομένων φορέων και της αποτελεσματικής δημόσιας διοίκησης</w:t>
            </w:r>
          </w:p>
        </w:tc>
        <w:tc>
          <w:tcPr>
            <w:tcW w:w="506" w:type="pct"/>
            <w:shd w:val="clear" w:color="auto" w:fill="auto"/>
            <w:vAlign w:val="center"/>
            <w:hideMark/>
          </w:tcPr>
          <w:p w14:paraId="1C94D337"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63.935.841,00</w:t>
            </w:r>
          </w:p>
        </w:tc>
        <w:tc>
          <w:tcPr>
            <w:tcW w:w="506" w:type="pct"/>
            <w:shd w:val="clear" w:color="auto" w:fill="auto"/>
            <w:vAlign w:val="center"/>
            <w:hideMark/>
          </w:tcPr>
          <w:p w14:paraId="1477AE30"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15.983.961,00</w:t>
            </w:r>
          </w:p>
        </w:tc>
        <w:tc>
          <w:tcPr>
            <w:tcW w:w="506" w:type="pct"/>
            <w:shd w:val="clear" w:color="auto" w:fill="auto"/>
            <w:vAlign w:val="center"/>
            <w:hideMark/>
          </w:tcPr>
          <w:p w14:paraId="4E622CAC"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79.919.802,00</w:t>
            </w:r>
          </w:p>
        </w:tc>
      </w:tr>
      <w:tr w:rsidR="008B6659" w:rsidRPr="0029055C" w14:paraId="5B5CC5A0" w14:textId="77777777" w:rsidTr="00A8078E">
        <w:tc>
          <w:tcPr>
            <w:tcW w:w="1265" w:type="pct"/>
            <w:shd w:val="clear" w:color="auto" w:fill="auto"/>
            <w:vAlign w:val="center"/>
            <w:hideMark/>
          </w:tcPr>
          <w:p w14:paraId="0C8078B1" w14:textId="77777777" w:rsidR="008B6659" w:rsidRPr="0029055C" w:rsidRDefault="008B6659" w:rsidP="00615092">
            <w:pPr>
              <w:pStyle w:val="2"/>
              <w:shd w:val="clear" w:color="auto" w:fill="auto"/>
              <w:spacing w:after="0" w:line="240" w:lineRule="auto"/>
              <w:ind w:firstLine="0"/>
              <w:jc w:val="both"/>
              <w:rPr>
                <w:rFonts w:asciiTheme="minorHAnsi" w:hAnsiTheme="minorHAnsi" w:cstheme="minorHAnsi"/>
                <w:sz w:val="16"/>
                <w:szCs w:val="16"/>
              </w:rPr>
            </w:pPr>
            <w:r w:rsidRPr="0029055C">
              <w:rPr>
                <w:rStyle w:val="Bodytext75pt"/>
                <w:rFonts w:asciiTheme="minorHAnsi" w:eastAsia="TimesNewRomanPSMT" w:hAnsiTheme="minorHAnsi" w:cstheme="minorHAnsi"/>
                <w:sz w:val="16"/>
                <w:szCs w:val="16"/>
              </w:rPr>
              <w:lastRenderedPageBreak/>
              <w:t>7. Βελτίωση της διαχείρισης και ανάπτυξη του ανθρώπινoυ δυναμικού του Δημοσίου Τομέα στις 11 περιφέρειες</w:t>
            </w:r>
          </w:p>
        </w:tc>
        <w:tc>
          <w:tcPr>
            <w:tcW w:w="243" w:type="pct"/>
            <w:shd w:val="clear" w:color="auto" w:fill="auto"/>
            <w:vAlign w:val="center"/>
            <w:hideMark/>
          </w:tcPr>
          <w:p w14:paraId="37A2D23A"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ΕΚΤ</w:t>
            </w:r>
          </w:p>
        </w:tc>
        <w:tc>
          <w:tcPr>
            <w:tcW w:w="438" w:type="pct"/>
            <w:shd w:val="clear" w:color="auto" w:fill="auto"/>
            <w:vAlign w:val="center"/>
            <w:hideMark/>
          </w:tcPr>
          <w:p w14:paraId="7C67D02F"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Περιφέρειες σε Μετάβαση</w:t>
            </w:r>
          </w:p>
        </w:tc>
        <w:tc>
          <w:tcPr>
            <w:tcW w:w="1535" w:type="pct"/>
            <w:shd w:val="clear" w:color="auto" w:fill="auto"/>
            <w:vAlign w:val="center"/>
            <w:hideMark/>
          </w:tcPr>
          <w:p w14:paraId="35AAA877"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11. Ενίσχυση της θεσμικής ικανότητας των δημόσιων αρχών και των ενδιαφερομένων φορέων και της αποτελεσματικής δημόσιας διοίκησης</w:t>
            </w:r>
          </w:p>
        </w:tc>
        <w:tc>
          <w:tcPr>
            <w:tcW w:w="506" w:type="pct"/>
            <w:shd w:val="clear" w:color="auto" w:fill="auto"/>
            <w:vAlign w:val="center"/>
            <w:hideMark/>
          </w:tcPr>
          <w:p w14:paraId="6F0DADC7"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15.244.016,00</w:t>
            </w:r>
          </w:p>
        </w:tc>
        <w:tc>
          <w:tcPr>
            <w:tcW w:w="506" w:type="pct"/>
            <w:shd w:val="clear" w:color="auto" w:fill="auto"/>
            <w:vAlign w:val="center"/>
            <w:hideMark/>
          </w:tcPr>
          <w:p w14:paraId="7AD08F3E"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3.811.004,00</w:t>
            </w:r>
          </w:p>
        </w:tc>
        <w:tc>
          <w:tcPr>
            <w:tcW w:w="506" w:type="pct"/>
            <w:shd w:val="clear" w:color="auto" w:fill="auto"/>
            <w:vAlign w:val="center"/>
            <w:hideMark/>
          </w:tcPr>
          <w:p w14:paraId="2E1449B7"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19.055.020,00</w:t>
            </w:r>
          </w:p>
        </w:tc>
      </w:tr>
      <w:tr w:rsidR="008B6659" w:rsidRPr="0029055C" w14:paraId="10E19A5D" w14:textId="77777777" w:rsidTr="00A8078E">
        <w:tc>
          <w:tcPr>
            <w:tcW w:w="1265" w:type="pct"/>
            <w:shd w:val="clear" w:color="auto" w:fill="auto"/>
            <w:vAlign w:val="center"/>
            <w:hideMark/>
          </w:tcPr>
          <w:p w14:paraId="1116644B" w14:textId="77777777" w:rsidR="008B6659" w:rsidRPr="0029055C" w:rsidRDefault="008B6659" w:rsidP="00615092">
            <w:pPr>
              <w:pStyle w:val="2"/>
              <w:shd w:val="clear" w:color="auto" w:fill="auto"/>
              <w:spacing w:after="0" w:line="240" w:lineRule="auto"/>
              <w:ind w:firstLine="0"/>
              <w:jc w:val="both"/>
              <w:rPr>
                <w:rFonts w:asciiTheme="minorHAnsi" w:hAnsiTheme="minorHAnsi" w:cstheme="minorHAnsi"/>
                <w:sz w:val="16"/>
                <w:szCs w:val="16"/>
              </w:rPr>
            </w:pPr>
            <w:r w:rsidRPr="0029055C">
              <w:rPr>
                <w:rStyle w:val="Bodytext75pt"/>
                <w:rFonts w:asciiTheme="minorHAnsi" w:eastAsia="TimesNewRomanPSMT" w:hAnsiTheme="minorHAnsi" w:cstheme="minorHAnsi"/>
                <w:sz w:val="16"/>
                <w:szCs w:val="16"/>
              </w:rPr>
              <w:t>7. Βελτίωση της διαχείρισης και ανάπτυξη του ανθρώπινoυ δυναμικού του Δημοσίου Τομέα στις 11 περιφέρειες</w:t>
            </w:r>
          </w:p>
        </w:tc>
        <w:tc>
          <w:tcPr>
            <w:tcW w:w="243" w:type="pct"/>
            <w:shd w:val="clear" w:color="auto" w:fill="auto"/>
            <w:vAlign w:val="center"/>
            <w:hideMark/>
          </w:tcPr>
          <w:p w14:paraId="23124A91"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ΕΚΤ</w:t>
            </w:r>
          </w:p>
        </w:tc>
        <w:tc>
          <w:tcPr>
            <w:tcW w:w="438" w:type="pct"/>
            <w:shd w:val="clear" w:color="auto" w:fill="auto"/>
            <w:vAlign w:val="center"/>
            <w:hideMark/>
          </w:tcPr>
          <w:p w14:paraId="0FC374CB"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Περισσότερο αναπτυγμένες</w:t>
            </w:r>
          </w:p>
        </w:tc>
        <w:tc>
          <w:tcPr>
            <w:tcW w:w="1535" w:type="pct"/>
            <w:shd w:val="clear" w:color="auto" w:fill="auto"/>
            <w:vAlign w:val="center"/>
            <w:hideMark/>
          </w:tcPr>
          <w:p w14:paraId="58645A99"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11. Ενίσχυση της θεσμικής ικανότητας των δημόσιων αρχών και των ενδιαφερομένων φορέων και της αποτελεσματικής δημόσιας διοίκησης</w:t>
            </w:r>
          </w:p>
        </w:tc>
        <w:tc>
          <w:tcPr>
            <w:tcW w:w="506" w:type="pct"/>
            <w:shd w:val="clear" w:color="auto" w:fill="auto"/>
            <w:vAlign w:val="center"/>
            <w:hideMark/>
          </w:tcPr>
          <w:p w14:paraId="1CF48B08"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9.552.181,00</w:t>
            </w:r>
          </w:p>
        </w:tc>
        <w:tc>
          <w:tcPr>
            <w:tcW w:w="506" w:type="pct"/>
            <w:shd w:val="clear" w:color="auto" w:fill="auto"/>
            <w:vAlign w:val="center"/>
            <w:hideMark/>
          </w:tcPr>
          <w:p w14:paraId="6C867783"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2.388.046,00</w:t>
            </w:r>
          </w:p>
        </w:tc>
        <w:tc>
          <w:tcPr>
            <w:tcW w:w="506" w:type="pct"/>
            <w:shd w:val="clear" w:color="auto" w:fill="auto"/>
            <w:vAlign w:val="center"/>
            <w:hideMark/>
          </w:tcPr>
          <w:p w14:paraId="7DA3D2F9"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11.940.227,00</w:t>
            </w:r>
          </w:p>
        </w:tc>
      </w:tr>
      <w:tr w:rsidR="008B6659" w:rsidRPr="0029055C" w14:paraId="0BC8B672" w14:textId="77777777" w:rsidTr="00A8078E">
        <w:tc>
          <w:tcPr>
            <w:tcW w:w="1265" w:type="pct"/>
            <w:shd w:val="clear" w:color="auto" w:fill="auto"/>
            <w:vAlign w:val="center"/>
            <w:hideMark/>
          </w:tcPr>
          <w:p w14:paraId="39EB97A9" w14:textId="77777777" w:rsidR="008B6659" w:rsidRPr="0029055C" w:rsidRDefault="008B6659" w:rsidP="00615092">
            <w:pPr>
              <w:pStyle w:val="2"/>
              <w:shd w:val="clear" w:color="auto" w:fill="auto"/>
              <w:spacing w:after="0" w:line="240" w:lineRule="auto"/>
              <w:ind w:firstLine="0"/>
              <w:jc w:val="both"/>
              <w:rPr>
                <w:rFonts w:asciiTheme="minorHAnsi" w:hAnsiTheme="minorHAnsi" w:cstheme="minorHAnsi"/>
                <w:sz w:val="16"/>
                <w:szCs w:val="16"/>
              </w:rPr>
            </w:pPr>
            <w:r w:rsidRPr="0029055C">
              <w:rPr>
                <w:rStyle w:val="Bodytext75pt"/>
                <w:rFonts w:asciiTheme="minorHAnsi" w:eastAsia="TimesNewRomanPSMT" w:hAnsiTheme="minorHAnsi" w:cstheme="minorHAnsi"/>
                <w:sz w:val="16"/>
                <w:szCs w:val="16"/>
              </w:rPr>
              <w:t>8. Βελτίωση της διαχείρισης και ανάπτυξη του ανθρώπινoυ δυναμικού του Δημοσίου Τομέα στη ΣΤΕΡΕΑ ΕΛΛΑΔΑ</w:t>
            </w:r>
          </w:p>
        </w:tc>
        <w:tc>
          <w:tcPr>
            <w:tcW w:w="243" w:type="pct"/>
            <w:shd w:val="clear" w:color="auto" w:fill="auto"/>
            <w:vAlign w:val="center"/>
            <w:hideMark/>
          </w:tcPr>
          <w:p w14:paraId="1E25F8E0"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ΕΚΤ</w:t>
            </w:r>
          </w:p>
        </w:tc>
        <w:tc>
          <w:tcPr>
            <w:tcW w:w="438" w:type="pct"/>
            <w:shd w:val="clear" w:color="auto" w:fill="auto"/>
            <w:vAlign w:val="center"/>
            <w:hideMark/>
          </w:tcPr>
          <w:p w14:paraId="31C971FB"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Περιφέρειες σε Μετάβαση</w:t>
            </w:r>
          </w:p>
        </w:tc>
        <w:tc>
          <w:tcPr>
            <w:tcW w:w="1535" w:type="pct"/>
            <w:shd w:val="clear" w:color="auto" w:fill="auto"/>
            <w:vAlign w:val="center"/>
            <w:hideMark/>
          </w:tcPr>
          <w:p w14:paraId="18268466"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11. Ενίσχυση της θεσμικής ικανότητας των δημόσιων αρχών και των ενδιαφερομένων φορέων και της αποτελεσματικής δημόσιας διοίκησης</w:t>
            </w:r>
          </w:p>
        </w:tc>
        <w:tc>
          <w:tcPr>
            <w:tcW w:w="506" w:type="pct"/>
            <w:shd w:val="clear" w:color="auto" w:fill="auto"/>
            <w:vAlign w:val="center"/>
            <w:hideMark/>
          </w:tcPr>
          <w:p w14:paraId="18B20B35"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4.412.435,00</w:t>
            </w:r>
          </w:p>
        </w:tc>
        <w:tc>
          <w:tcPr>
            <w:tcW w:w="506" w:type="pct"/>
            <w:shd w:val="clear" w:color="auto" w:fill="auto"/>
            <w:vAlign w:val="center"/>
            <w:hideMark/>
          </w:tcPr>
          <w:p w14:paraId="0164B50B"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4.412.435,00</w:t>
            </w:r>
          </w:p>
        </w:tc>
        <w:tc>
          <w:tcPr>
            <w:tcW w:w="506" w:type="pct"/>
            <w:shd w:val="clear" w:color="auto" w:fill="auto"/>
            <w:vAlign w:val="center"/>
            <w:hideMark/>
          </w:tcPr>
          <w:p w14:paraId="0F8210BC"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8.824.870,00</w:t>
            </w:r>
          </w:p>
        </w:tc>
      </w:tr>
      <w:tr w:rsidR="008B6659" w:rsidRPr="0029055C" w14:paraId="39F24B8D" w14:textId="77777777" w:rsidTr="00A8078E">
        <w:tc>
          <w:tcPr>
            <w:tcW w:w="1265" w:type="pct"/>
            <w:shd w:val="clear" w:color="auto" w:fill="auto"/>
            <w:vAlign w:val="center"/>
            <w:hideMark/>
          </w:tcPr>
          <w:p w14:paraId="2E0BF098" w14:textId="77777777" w:rsidR="008B6659" w:rsidRPr="0029055C" w:rsidRDefault="008B6659" w:rsidP="00615092">
            <w:pPr>
              <w:pStyle w:val="2"/>
              <w:shd w:val="clear" w:color="auto" w:fill="auto"/>
              <w:spacing w:after="0" w:line="240" w:lineRule="auto"/>
              <w:ind w:firstLine="0"/>
              <w:jc w:val="both"/>
              <w:rPr>
                <w:rFonts w:asciiTheme="minorHAnsi" w:hAnsiTheme="minorHAnsi" w:cstheme="minorHAnsi"/>
                <w:sz w:val="16"/>
                <w:szCs w:val="16"/>
              </w:rPr>
            </w:pPr>
            <w:r w:rsidRPr="0029055C">
              <w:rPr>
                <w:rStyle w:val="Bodytext75pt"/>
                <w:rFonts w:asciiTheme="minorHAnsi" w:eastAsia="TimesNewRomanPSMT" w:hAnsiTheme="minorHAnsi" w:cstheme="minorHAnsi"/>
                <w:sz w:val="16"/>
                <w:szCs w:val="16"/>
              </w:rPr>
              <w:t>9. Βελτίωση της διαχείρισης και ανάπτυξη του ανθρώπινoυ δυναμικού του Δημοσίου Τομέα στο ΝΟΤΙΟ ΑΙΓΑΙΟ</w:t>
            </w:r>
          </w:p>
        </w:tc>
        <w:tc>
          <w:tcPr>
            <w:tcW w:w="243" w:type="pct"/>
            <w:shd w:val="clear" w:color="auto" w:fill="auto"/>
            <w:vAlign w:val="center"/>
            <w:hideMark/>
          </w:tcPr>
          <w:p w14:paraId="1B19C9C1"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ΕΚΤ</w:t>
            </w:r>
          </w:p>
        </w:tc>
        <w:tc>
          <w:tcPr>
            <w:tcW w:w="438" w:type="pct"/>
            <w:shd w:val="clear" w:color="auto" w:fill="auto"/>
            <w:vAlign w:val="center"/>
            <w:hideMark/>
          </w:tcPr>
          <w:p w14:paraId="475DBABB" w14:textId="77777777" w:rsidR="008B6659" w:rsidRPr="0029055C" w:rsidRDefault="008B6659" w:rsidP="00615092">
            <w:pPr>
              <w:spacing w:before="0" w:line="240" w:lineRule="auto"/>
              <w:jc w:val="center"/>
              <w:rPr>
                <w:rFonts w:asciiTheme="minorHAnsi" w:hAnsiTheme="minorHAnsi" w:cstheme="minorHAnsi"/>
                <w:color w:val="000000"/>
                <w:sz w:val="16"/>
                <w:szCs w:val="16"/>
              </w:rPr>
            </w:pPr>
            <w:r w:rsidRPr="0029055C">
              <w:rPr>
                <w:rFonts w:asciiTheme="minorHAnsi" w:hAnsiTheme="minorHAnsi" w:cstheme="minorHAnsi"/>
                <w:color w:val="000000"/>
                <w:sz w:val="16"/>
                <w:szCs w:val="16"/>
              </w:rPr>
              <w:t>Περισσότερο αναπτυγμένες</w:t>
            </w:r>
          </w:p>
        </w:tc>
        <w:tc>
          <w:tcPr>
            <w:tcW w:w="1535" w:type="pct"/>
            <w:shd w:val="clear" w:color="auto" w:fill="auto"/>
            <w:vAlign w:val="center"/>
            <w:hideMark/>
          </w:tcPr>
          <w:p w14:paraId="71D1704F" w14:textId="77777777" w:rsidR="008B6659" w:rsidRPr="0029055C" w:rsidRDefault="008B6659" w:rsidP="00615092">
            <w:pPr>
              <w:pStyle w:val="2"/>
              <w:shd w:val="clear" w:color="auto" w:fill="auto"/>
              <w:spacing w:after="0" w:line="240" w:lineRule="auto"/>
              <w:ind w:firstLine="0"/>
              <w:rPr>
                <w:rFonts w:asciiTheme="minorHAnsi" w:hAnsiTheme="minorHAnsi" w:cstheme="minorHAnsi"/>
                <w:sz w:val="16"/>
                <w:szCs w:val="16"/>
              </w:rPr>
            </w:pPr>
            <w:r w:rsidRPr="0029055C">
              <w:rPr>
                <w:rStyle w:val="Bodytext75pt"/>
                <w:rFonts w:asciiTheme="minorHAnsi" w:hAnsiTheme="minorHAnsi" w:cstheme="minorHAnsi"/>
                <w:sz w:val="16"/>
                <w:szCs w:val="16"/>
              </w:rPr>
              <w:t>ΘΣ 11. Ενίσχυση της θεσμικής ικανότητας των δημόσιων αρχών και των ενδιαφερομένων φορέων και της αποτελεσματικής δημόσιας διοίκησης</w:t>
            </w:r>
          </w:p>
        </w:tc>
        <w:tc>
          <w:tcPr>
            <w:tcW w:w="506" w:type="pct"/>
            <w:shd w:val="clear" w:color="auto" w:fill="auto"/>
            <w:vAlign w:val="center"/>
            <w:hideMark/>
          </w:tcPr>
          <w:p w14:paraId="0ACE7D17"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775.680,00</w:t>
            </w:r>
          </w:p>
        </w:tc>
        <w:tc>
          <w:tcPr>
            <w:tcW w:w="506" w:type="pct"/>
            <w:shd w:val="clear" w:color="auto" w:fill="auto"/>
            <w:vAlign w:val="center"/>
            <w:hideMark/>
          </w:tcPr>
          <w:p w14:paraId="2EA18E88"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775.680,00</w:t>
            </w:r>
          </w:p>
        </w:tc>
        <w:tc>
          <w:tcPr>
            <w:tcW w:w="506" w:type="pct"/>
            <w:shd w:val="clear" w:color="auto" w:fill="auto"/>
            <w:vAlign w:val="center"/>
            <w:hideMark/>
          </w:tcPr>
          <w:p w14:paraId="06E5D392" w14:textId="77777777" w:rsidR="008B6659" w:rsidRPr="0029055C" w:rsidRDefault="008B6659" w:rsidP="00615092">
            <w:pPr>
              <w:spacing w:before="0" w:line="240" w:lineRule="auto"/>
              <w:jc w:val="right"/>
              <w:rPr>
                <w:rFonts w:asciiTheme="minorHAnsi" w:hAnsiTheme="minorHAnsi" w:cstheme="minorHAnsi"/>
                <w:color w:val="000000"/>
                <w:sz w:val="16"/>
                <w:szCs w:val="16"/>
              </w:rPr>
            </w:pPr>
            <w:r w:rsidRPr="0029055C">
              <w:rPr>
                <w:rFonts w:asciiTheme="minorHAnsi" w:hAnsiTheme="minorHAnsi" w:cstheme="minorHAnsi"/>
                <w:color w:val="000000"/>
                <w:sz w:val="16"/>
                <w:szCs w:val="16"/>
              </w:rPr>
              <w:t>1.551.360,00</w:t>
            </w:r>
          </w:p>
        </w:tc>
      </w:tr>
      <w:tr w:rsidR="008B6659" w:rsidRPr="0029055C" w14:paraId="4F982379" w14:textId="77777777" w:rsidTr="00A8078E">
        <w:tc>
          <w:tcPr>
            <w:tcW w:w="1265" w:type="pct"/>
            <w:shd w:val="clear" w:color="auto" w:fill="auto"/>
            <w:vAlign w:val="center"/>
          </w:tcPr>
          <w:p w14:paraId="1F492CF4" w14:textId="77777777" w:rsidR="008B6659" w:rsidRPr="0029055C" w:rsidRDefault="008B6659" w:rsidP="00A8078E">
            <w:pPr>
              <w:spacing w:line="240" w:lineRule="auto"/>
              <w:jc w:val="center"/>
              <w:rPr>
                <w:rFonts w:asciiTheme="minorHAnsi" w:hAnsiTheme="minorHAnsi" w:cstheme="minorHAnsi"/>
                <w:b/>
                <w:bCs/>
                <w:color w:val="000000"/>
                <w:sz w:val="16"/>
                <w:szCs w:val="16"/>
              </w:rPr>
            </w:pPr>
            <w:r w:rsidRPr="0029055C">
              <w:rPr>
                <w:rFonts w:asciiTheme="minorHAnsi" w:hAnsiTheme="minorHAnsi" w:cstheme="minorHAnsi"/>
                <w:b/>
                <w:bCs/>
                <w:color w:val="000000"/>
                <w:sz w:val="16"/>
                <w:szCs w:val="16"/>
              </w:rPr>
              <w:t>ΣΥΝΟΛΟ</w:t>
            </w:r>
          </w:p>
        </w:tc>
        <w:tc>
          <w:tcPr>
            <w:tcW w:w="243" w:type="pct"/>
            <w:shd w:val="clear" w:color="auto" w:fill="auto"/>
            <w:vAlign w:val="center"/>
          </w:tcPr>
          <w:p w14:paraId="554E401E" w14:textId="77777777" w:rsidR="008B6659" w:rsidRPr="0029055C" w:rsidRDefault="008B6659" w:rsidP="00A8078E">
            <w:pPr>
              <w:spacing w:line="240" w:lineRule="auto"/>
              <w:jc w:val="center"/>
              <w:rPr>
                <w:rFonts w:asciiTheme="minorHAnsi" w:hAnsiTheme="minorHAnsi" w:cstheme="minorHAnsi"/>
                <w:b/>
                <w:bCs/>
                <w:color w:val="000000"/>
                <w:sz w:val="16"/>
                <w:szCs w:val="16"/>
              </w:rPr>
            </w:pPr>
          </w:p>
        </w:tc>
        <w:tc>
          <w:tcPr>
            <w:tcW w:w="438" w:type="pct"/>
            <w:shd w:val="clear" w:color="auto" w:fill="auto"/>
            <w:vAlign w:val="center"/>
          </w:tcPr>
          <w:p w14:paraId="35FE9092" w14:textId="77777777" w:rsidR="008B6659" w:rsidRPr="0029055C" w:rsidRDefault="008B6659" w:rsidP="00A8078E">
            <w:pPr>
              <w:spacing w:line="240" w:lineRule="auto"/>
              <w:jc w:val="center"/>
              <w:rPr>
                <w:rFonts w:asciiTheme="minorHAnsi" w:hAnsiTheme="minorHAnsi" w:cstheme="minorHAnsi"/>
                <w:b/>
                <w:bCs/>
                <w:color w:val="000000"/>
                <w:sz w:val="16"/>
                <w:szCs w:val="16"/>
              </w:rPr>
            </w:pPr>
          </w:p>
        </w:tc>
        <w:tc>
          <w:tcPr>
            <w:tcW w:w="1535" w:type="pct"/>
            <w:shd w:val="clear" w:color="auto" w:fill="auto"/>
            <w:vAlign w:val="center"/>
          </w:tcPr>
          <w:p w14:paraId="01FD0A6F" w14:textId="77777777" w:rsidR="008B6659" w:rsidRPr="0029055C" w:rsidRDefault="008B6659" w:rsidP="00A8078E">
            <w:pPr>
              <w:spacing w:line="240" w:lineRule="auto"/>
              <w:jc w:val="center"/>
              <w:rPr>
                <w:rFonts w:asciiTheme="minorHAnsi" w:hAnsiTheme="minorHAnsi" w:cstheme="minorHAnsi"/>
                <w:b/>
                <w:bCs/>
                <w:color w:val="000000"/>
                <w:sz w:val="16"/>
                <w:szCs w:val="16"/>
              </w:rPr>
            </w:pPr>
          </w:p>
        </w:tc>
        <w:tc>
          <w:tcPr>
            <w:tcW w:w="506" w:type="pct"/>
            <w:shd w:val="clear" w:color="auto" w:fill="auto"/>
            <w:vAlign w:val="center"/>
          </w:tcPr>
          <w:p w14:paraId="6385EC2F" w14:textId="77777777" w:rsidR="008B6659" w:rsidRPr="0029055C" w:rsidRDefault="008B6659" w:rsidP="00A8078E">
            <w:pPr>
              <w:spacing w:line="240" w:lineRule="auto"/>
              <w:jc w:val="right"/>
              <w:rPr>
                <w:rFonts w:asciiTheme="minorHAnsi" w:hAnsiTheme="minorHAnsi" w:cstheme="minorHAnsi"/>
                <w:b/>
                <w:color w:val="000000"/>
                <w:sz w:val="16"/>
                <w:szCs w:val="16"/>
              </w:rPr>
            </w:pPr>
            <w:r w:rsidRPr="0029055C">
              <w:rPr>
                <w:rFonts w:asciiTheme="minorHAnsi" w:hAnsiTheme="minorHAnsi" w:cstheme="minorHAnsi"/>
                <w:b/>
                <w:color w:val="000000"/>
                <w:sz w:val="16"/>
                <w:szCs w:val="16"/>
              </w:rPr>
              <w:t>453.400.780,00</w:t>
            </w:r>
          </w:p>
        </w:tc>
        <w:tc>
          <w:tcPr>
            <w:tcW w:w="506" w:type="pct"/>
            <w:shd w:val="clear" w:color="auto" w:fill="auto"/>
            <w:vAlign w:val="center"/>
          </w:tcPr>
          <w:p w14:paraId="23C2B932" w14:textId="77777777" w:rsidR="008B6659" w:rsidRPr="0029055C" w:rsidRDefault="008B6659" w:rsidP="00A8078E">
            <w:pPr>
              <w:spacing w:line="240" w:lineRule="auto"/>
              <w:jc w:val="right"/>
              <w:rPr>
                <w:rFonts w:asciiTheme="minorHAnsi" w:hAnsiTheme="minorHAnsi" w:cstheme="minorHAnsi"/>
                <w:b/>
                <w:color w:val="000000"/>
                <w:sz w:val="16"/>
                <w:szCs w:val="16"/>
              </w:rPr>
            </w:pPr>
            <w:r w:rsidRPr="0029055C">
              <w:rPr>
                <w:rFonts w:asciiTheme="minorHAnsi" w:hAnsiTheme="minorHAnsi" w:cstheme="minorHAnsi"/>
                <w:b/>
                <w:color w:val="000000"/>
                <w:sz w:val="16"/>
                <w:szCs w:val="16"/>
              </w:rPr>
              <w:t>113.321.656,00</w:t>
            </w:r>
          </w:p>
        </w:tc>
        <w:tc>
          <w:tcPr>
            <w:tcW w:w="506" w:type="pct"/>
            <w:shd w:val="clear" w:color="auto" w:fill="auto"/>
            <w:vAlign w:val="center"/>
          </w:tcPr>
          <w:p w14:paraId="00476FC9" w14:textId="77777777" w:rsidR="008B6659" w:rsidRPr="0029055C" w:rsidRDefault="008B6659" w:rsidP="00A8078E">
            <w:pPr>
              <w:spacing w:line="240" w:lineRule="auto"/>
              <w:jc w:val="right"/>
              <w:rPr>
                <w:rFonts w:asciiTheme="minorHAnsi" w:hAnsiTheme="minorHAnsi" w:cstheme="minorHAnsi"/>
                <w:b/>
                <w:color w:val="000000"/>
                <w:sz w:val="16"/>
                <w:szCs w:val="16"/>
              </w:rPr>
            </w:pPr>
            <w:r w:rsidRPr="0029055C">
              <w:rPr>
                <w:rFonts w:asciiTheme="minorHAnsi" w:hAnsiTheme="minorHAnsi" w:cstheme="minorHAnsi"/>
                <w:b/>
                <w:color w:val="000000"/>
                <w:sz w:val="16"/>
                <w:szCs w:val="16"/>
              </w:rPr>
              <w:t>584.722.436,00</w:t>
            </w:r>
          </w:p>
        </w:tc>
      </w:tr>
    </w:tbl>
    <w:p w14:paraId="1A95AE4E" w14:textId="77777777" w:rsidR="008B6659" w:rsidRDefault="008B6659" w:rsidP="008B6659">
      <w:pPr>
        <w:spacing w:before="0" w:line="240" w:lineRule="auto"/>
        <w:jc w:val="center"/>
        <w:rPr>
          <w:b/>
          <w:bCs/>
        </w:rPr>
      </w:pPr>
    </w:p>
    <w:p w14:paraId="79647FD6" w14:textId="77777777" w:rsidR="00A8078E" w:rsidRPr="0029055C" w:rsidRDefault="00A8078E" w:rsidP="00A8078E">
      <w:pPr>
        <w:pStyle w:val="Heading3"/>
        <w:pageBreakBefore/>
      </w:pPr>
      <w:bookmarkStart w:id="9" w:name="_Toc519758758"/>
      <w:r w:rsidRPr="0029055C">
        <w:lastRenderedPageBreak/>
        <w:t>Πλαίσιο Επιδόσεων του ΕΠ ΜΔΤ</w:t>
      </w:r>
      <w:bookmarkEnd w:id="9"/>
    </w:p>
    <w:p w14:paraId="1F893DB7" w14:textId="77777777" w:rsidR="00A8078E" w:rsidRPr="00A8078E" w:rsidRDefault="00A8078E" w:rsidP="00A8078E">
      <w:pPr>
        <w:rPr>
          <w:sz w:val="22"/>
        </w:rPr>
      </w:pPr>
      <w:r w:rsidRPr="00A8078E">
        <w:rPr>
          <w:sz w:val="22"/>
        </w:rPr>
        <w:t>Με βάση τις προτεινόμενες τροποποιήσεις στο πλαίσιο της 2ης Αναθεώρησης του Προγράμματος, το Πλαίσιο Επιδόσεων διαμορφώνεται ως ακολούθως:</w:t>
      </w:r>
    </w:p>
    <w:p w14:paraId="12631942" w14:textId="3F87F29C" w:rsidR="00A8078E" w:rsidRPr="00A8078E" w:rsidRDefault="00A8078E" w:rsidP="007924B5">
      <w:pPr>
        <w:rPr>
          <w:bCs/>
        </w:rPr>
      </w:pPr>
      <w:r w:rsidRPr="00A8078E">
        <w:rPr>
          <w:b/>
          <w:sz w:val="22"/>
          <w:szCs w:val="22"/>
        </w:rPr>
        <w:t xml:space="preserve">Πίνακας </w:t>
      </w:r>
      <w:r w:rsidRPr="00A8078E">
        <w:rPr>
          <w:b/>
          <w:sz w:val="22"/>
          <w:szCs w:val="22"/>
        </w:rPr>
        <w:fldChar w:fldCharType="begin"/>
      </w:r>
      <w:r w:rsidRPr="00A8078E">
        <w:rPr>
          <w:b/>
          <w:sz w:val="22"/>
          <w:szCs w:val="22"/>
        </w:rPr>
        <w:instrText xml:space="preserve"> SEQ Πίνακας \* ARABIC </w:instrText>
      </w:r>
      <w:r w:rsidRPr="00A8078E">
        <w:rPr>
          <w:b/>
          <w:sz w:val="22"/>
          <w:szCs w:val="22"/>
        </w:rPr>
        <w:fldChar w:fldCharType="separate"/>
      </w:r>
      <w:r w:rsidR="00292BCA">
        <w:rPr>
          <w:b/>
          <w:noProof/>
          <w:sz w:val="22"/>
          <w:szCs w:val="22"/>
        </w:rPr>
        <w:t>13</w:t>
      </w:r>
      <w:r w:rsidRPr="00A8078E">
        <w:rPr>
          <w:b/>
          <w:sz w:val="22"/>
          <w:szCs w:val="22"/>
        </w:rPr>
        <w:fldChar w:fldCharType="end"/>
      </w:r>
      <w:r w:rsidRPr="00A8078E">
        <w:rPr>
          <w:b/>
          <w:sz w:val="22"/>
          <w:szCs w:val="22"/>
        </w:rPr>
        <w:t>.</w:t>
      </w:r>
      <w:r>
        <w:rPr>
          <w:b/>
          <w:sz w:val="22"/>
          <w:szCs w:val="22"/>
        </w:rPr>
        <w:t xml:space="preserve"> </w:t>
      </w:r>
      <w:r w:rsidRPr="00A8078E">
        <w:rPr>
          <w:sz w:val="22"/>
          <w:szCs w:val="22"/>
        </w:rPr>
        <w:t>Πλαίσιο Επιδόσεων ΕΠ ΜΔΤ – Αποτύπωση μεριδίου Π/Υ Άξονα Προτεραιότητας  (ποσά σε Δημόσια Δαπάνη)</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8" w:type="dxa"/>
          <w:right w:w="28" w:type="dxa"/>
        </w:tblCellMar>
        <w:tblLook w:val="04A0" w:firstRow="1" w:lastRow="0" w:firstColumn="1" w:lastColumn="0" w:noHBand="0" w:noVBand="1"/>
      </w:tblPr>
      <w:tblGrid>
        <w:gridCol w:w="2879"/>
        <w:gridCol w:w="1314"/>
        <w:gridCol w:w="2256"/>
        <w:gridCol w:w="1307"/>
        <w:gridCol w:w="3311"/>
        <w:gridCol w:w="784"/>
        <w:gridCol w:w="1321"/>
        <w:gridCol w:w="820"/>
      </w:tblGrid>
      <w:tr w:rsidR="007924B5" w:rsidRPr="0029055C" w14:paraId="76A79A1E" w14:textId="77777777" w:rsidTr="007924B5">
        <w:trPr>
          <w:trHeight w:val="480"/>
          <w:tblHeader/>
        </w:trPr>
        <w:tc>
          <w:tcPr>
            <w:tcW w:w="1029" w:type="pct"/>
            <w:shd w:val="clear" w:color="000000" w:fill="366092"/>
            <w:vAlign w:val="center"/>
            <w:hideMark/>
          </w:tcPr>
          <w:p w14:paraId="0AE939C8"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Άξονας Προτεραιότητας (Α.Π.)</w:t>
            </w:r>
          </w:p>
        </w:tc>
        <w:tc>
          <w:tcPr>
            <w:tcW w:w="470" w:type="pct"/>
            <w:shd w:val="clear" w:color="000000" w:fill="366092"/>
            <w:vAlign w:val="center"/>
            <w:hideMark/>
          </w:tcPr>
          <w:p w14:paraId="305A6EFF"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π/υ Α.Π.</w:t>
            </w:r>
          </w:p>
        </w:tc>
        <w:tc>
          <w:tcPr>
            <w:tcW w:w="806" w:type="pct"/>
            <w:shd w:val="clear" w:color="000000" w:fill="366092"/>
            <w:vAlign w:val="center"/>
            <w:hideMark/>
          </w:tcPr>
          <w:p w14:paraId="1860EF1A"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Κατηγορία Παρέμβασης (Κ.Π.)</w:t>
            </w:r>
          </w:p>
        </w:tc>
        <w:tc>
          <w:tcPr>
            <w:tcW w:w="467" w:type="pct"/>
            <w:shd w:val="clear" w:color="000000" w:fill="366092"/>
            <w:vAlign w:val="center"/>
            <w:hideMark/>
          </w:tcPr>
          <w:p w14:paraId="59C17057"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π/υ Κ.Π.</w:t>
            </w:r>
          </w:p>
        </w:tc>
        <w:tc>
          <w:tcPr>
            <w:tcW w:w="1183" w:type="pct"/>
            <w:shd w:val="clear" w:color="000000" w:fill="366092"/>
            <w:vAlign w:val="center"/>
            <w:hideMark/>
          </w:tcPr>
          <w:p w14:paraId="6CFFA6C6"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Δείκτης/ Βασικό Στάδιο Υλοποίησης</w:t>
            </w:r>
          </w:p>
        </w:tc>
        <w:tc>
          <w:tcPr>
            <w:tcW w:w="280" w:type="pct"/>
            <w:shd w:val="clear" w:color="000000" w:fill="366092"/>
            <w:vAlign w:val="center"/>
            <w:hideMark/>
          </w:tcPr>
          <w:p w14:paraId="26ADECB9"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 xml:space="preserve">Τιμή Στόχος </w:t>
            </w:r>
            <w:r w:rsidRPr="0029055C">
              <w:rPr>
                <w:b/>
                <w:bCs/>
                <w:color w:val="FFFFFF"/>
                <w:sz w:val="16"/>
                <w:szCs w:val="16"/>
                <w:vertAlign w:val="superscript"/>
              </w:rPr>
              <w:t>1</w:t>
            </w:r>
          </w:p>
        </w:tc>
        <w:tc>
          <w:tcPr>
            <w:tcW w:w="472" w:type="pct"/>
            <w:shd w:val="clear" w:color="000000" w:fill="366092"/>
            <w:vAlign w:val="center"/>
            <w:hideMark/>
          </w:tcPr>
          <w:p w14:paraId="795F332B"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π/υ ΚΠ που αντιστοιχεί στο δείκτη</w:t>
            </w:r>
          </w:p>
        </w:tc>
        <w:tc>
          <w:tcPr>
            <w:tcW w:w="293" w:type="pct"/>
            <w:shd w:val="clear" w:color="000000" w:fill="366092"/>
            <w:vAlign w:val="center"/>
            <w:hideMark/>
          </w:tcPr>
          <w:p w14:paraId="543B0124"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Μερίδιο στον ΑΠ (%)</w:t>
            </w:r>
          </w:p>
        </w:tc>
      </w:tr>
      <w:tr w:rsidR="007924B5" w:rsidRPr="0029055C" w14:paraId="52662CEF" w14:textId="77777777" w:rsidTr="007924B5">
        <w:trPr>
          <w:trHeight w:val="300"/>
          <w:tblHeader/>
        </w:trPr>
        <w:tc>
          <w:tcPr>
            <w:tcW w:w="1029" w:type="pct"/>
            <w:shd w:val="clear" w:color="000000" w:fill="366092"/>
            <w:vAlign w:val="center"/>
            <w:hideMark/>
          </w:tcPr>
          <w:p w14:paraId="16D05B26"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(α)</w:t>
            </w:r>
          </w:p>
        </w:tc>
        <w:tc>
          <w:tcPr>
            <w:tcW w:w="470" w:type="pct"/>
            <w:shd w:val="clear" w:color="000000" w:fill="366092"/>
            <w:vAlign w:val="center"/>
            <w:hideMark/>
          </w:tcPr>
          <w:p w14:paraId="52458A29"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(β)</w:t>
            </w:r>
          </w:p>
        </w:tc>
        <w:tc>
          <w:tcPr>
            <w:tcW w:w="806" w:type="pct"/>
            <w:shd w:val="clear" w:color="000000" w:fill="366092"/>
            <w:vAlign w:val="center"/>
            <w:hideMark/>
          </w:tcPr>
          <w:p w14:paraId="50D21A10"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(γ)</w:t>
            </w:r>
          </w:p>
        </w:tc>
        <w:tc>
          <w:tcPr>
            <w:tcW w:w="467" w:type="pct"/>
            <w:shd w:val="clear" w:color="000000" w:fill="366092"/>
            <w:vAlign w:val="center"/>
            <w:hideMark/>
          </w:tcPr>
          <w:p w14:paraId="273EC97B"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(δ)</w:t>
            </w:r>
          </w:p>
        </w:tc>
        <w:tc>
          <w:tcPr>
            <w:tcW w:w="1183" w:type="pct"/>
            <w:shd w:val="clear" w:color="000000" w:fill="366092"/>
            <w:vAlign w:val="center"/>
            <w:hideMark/>
          </w:tcPr>
          <w:p w14:paraId="2EC43C37"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(ε)</w:t>
            </w:r>
          </w:p>
        </w:tc>
        <w:tc>
          <w:tcPr>
            <w:tcW w:w="280" w:type="pct"/>
            <w:shd w:val="clear" w:color="000000" w:fill="366092"/>
            <w:vAlign w:val="center"/>
            <w:hideMark/>
          </w:tcPr>
          <w:p w14:paraId="3946DD3A"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(στ)</w:t>
            </w:r>
          </w:p>
        </w:tc>
        <w:tc>
          <w:tcPr>
            <w:tcW w:w="472" w:type="pct"/>
            <w:shd w:val="clear" w:color="000000" w:fill="366092"/>
            <w:vAlign w:val="center"/>
            <w:hideMark/>
          </w:tcPr>
          <w:p w14:paraId="6EA1CC57"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(ζ)</w:t>
            </w:r>
          </w:p>
        </w:tc>
        <w:tc>
          <w:tcPr>
            <w:tcW w:w="293" w:type="pct"/>
            <w:shd w:val="clear" w:color="000000" w:fill="366092"/>
            <w:vAlign w:val="center"/>
            <w:hideMark/>
          </w:tcPr>
          <w:p w14:paraId="50291061" w14:textId="77777777" w:rsidR="007924B5" w:rsidRPr="0029055C" w:rsidRDefault="007924B5" w:rsidP="007924B5">
            <w:pPr>
              <w:spacing w:before="0" w:after="0" w:line="240" w:lineRule="auto"/>
              <w:jc w:val="center"/>
              <w:rPr>
                <w:b/>
                <w:bCs/>
                <w:color w:val="FFFFFF"/>
                <w:sz w:val="16"/>
                <w:szCs w:val="16"/>
              </w:rPr>
            </w:pPr>
            <w:r w:rsidRPr="0029055C">
              <w:rPr>
                <w:b/>
                <w:bCs/>
                <w:color w:val="FFFFFF"/>
                <w:sz w:val="16"/>
                <w:szCs w:val="16"/>
              </w:rPr>
              <w:t>(η) = (ζ)/(β)</w:t>
            </w:r>
          </w:p>
        </w:tc>
      </w:tr>
      <w:tr w:rsidR="007924B5" w:rsidRPr="0029055C" w14:paraId="10CDA676" w14:textId="77777777" w:rsidTr="007924B5">
        <w:trPr>
          <w:trHeight w:val="450"/>
        </w:trPr>
        <w:tc>
          <w:tcPr>
            <w:tcW w:w="1029" w:type="pct"/>
            <w:shd w:val="clear" w:color="000000" w:fill="D9D9D9"/>
            <w:noWrap/>
            <w:vAlign w:val="bottom"/>
            <w:hideMark/>
          </w:tcPr>
          <w:p w14:paraId="34D6A28B"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2926808B"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restart"/>
            <w:shd w:val="clear" w:color="000000" w:fill="FFFFFF"/>
            <w:vAlign w:val="center"/>
            <w:hideMark/>
          </w:tcPr>
          <w:p w14:paraId="451E2A5D" w14:textId="77777777" w:rsidR="007924B5" w:rsidRPr="0029055C" w:rsidRDefault="007924B5" w:rsidP="007924B5">
            <w:pPr>
              <w:spacing w:before="0" w:after="0" w:line="240" w:lineRule="auto"/>
              <w:jc w:val="left"/>
              <w:rPr>
                <w:sz w:val="16"/>
                <w:szCs w:val="16"/>
              </w:rPr>
            </w:pPr>
            <w:r w:rsidRPr="0029055C">
              <w:rPr>
                <w:sz w:val="16"/>
                <w:szCs w:val="16"/>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467" w:type="pct"/>
            <w:vMerge w:val="restart"/>
            <w:shd w:val="clear" w:color="000000" w:fill="FFFFFF"/>
            <w:noWrap/>
            <w:vAlign w:val="center"/>
            <w:hideMark/>
          </w:tcPr>
          <w:p w14:paraId="314C11C5" w14:textId="77777777" w:rsidR="007924B5" w:rsidRPr="0029055C" w:rsidRDefault="007924B5" w:rsidP="007924B5">
            <w:pPr>
              <w:spacing w:before="0" w:after="0" w:line="240" w:lineRule="auto"/>
              <w:jc w:val="right"/>
              <w:rPr>
                <w:sz w:val="16"/>
                <w:szCs w:val="16"/>
              </w:rPr>
            </w:pPr>
            <w:r w:rsidRPr="0029055C">
              <w:rPr>
                <w:sz w:val="16"/>
                <w:szCs w:val="16"/>
              </w:rPr>
              <w:t>145.438.496,00</w:t>
            </w:r>
          </w:p>
        </w:tc>
        <w:tc>
          <w:tcPr>
            <w:tcW w:w="1183" w:type="pct"/>
            <w:shd w:val="clear" w:color="auto" w:fill="auto"/>
            <w:vAlign w:val="center"/>
            <w:hideMark/>
          </w:tcPr>
          <w:p w14:paraId="4E528031" w14:textId="77777777" w:rsidR="007924B5" w:rsidRPr="0029055C" w:rsidRDefault="007924B5" w:rsidP="007924B5">
            <w:pPr>
              <w:spacing w:before="0" w:after="0" w:line="240" w:lineRule="auto"/>
              <w:jc w:val="left"/>
              <w:rPr>
                <w:sz w:val="16"/>
                <w:szCs w:val="16"/>
              </w:rPr>
            </w:pPr>
            <w:r w:rsidRPr="0029055C">
              <w:rPr>
                <w:sz w:val="16"/>
                <w:szCs w:val="16"/>
              </w:rPr>
              <w:t>T4618. Αριθμός έργων κωδικοποίησης θεσμικού και νομοθετικού πλαισίου</w:t>
            </w:r>
          </w:p>
        </w:tc>
        <w:tc>
          <w:tcPr>
            <w:tcW w:w="280" w:type="pct"/>
            <w:shd w:val="clear" w:color="000000" w:fill="FFFFFF"/>
            <w:noWrap/>
            <w:vAlign w:val="center"/>
            <w:hideMark/>
          </w:tcPr>
          <w:p w14:paraId="4E0CB888" w14:textId="77777777" w:rsidR="007924B5" w:rsidRPr="0029055C" w:rsidRDefault="007924B5" w:rsidP="007924B5">
            <w:pPr>
              <w:spacing w:before="0" w:after="0" w:line="240" w:lineRule="auto"/>
              <w:jc w:val="center"/>
              <w:rPr>
                <w:sz w:val="16"/>
                <w:szCs w:val="16"/>
              </w:rPr>
            </w:pPr>
            <w:r w:rsidRPr="0029055C">
              <w:rPr>
                <w:sz w:val="16"/>
                <w:szCs w:val="16"/>
              </w:rPr>
              <w:t>10,88</w:t>
            </w:r>
          </w:p>
        </w:tc>
        <w:tc>
          <w:tcPr>
            <w:tcW w:w="472" w:type="pct"/>
            <w:shd w:val="clear" w:color="000000" w:fill="FFFFFF"/>
            <w:noWrap/>
            <w:vAlign w:val="center"/>
            <w:hideMark/>
          </w:tcPr>
          <w:p w14:paraId="5910265A" w14:textId="77777777" w:rsidR="007924B5" w:rsidRPr="0029055C" w:rsidRDefault="007924B5" w:rsidP="007924B5">
            <w:pPr>
              <w:spacing w:before="0" w:after="0" w:line="240" w:lineRule="auto"/>
              <w:jc w:val="right"/>
              <w:rPr>
                <w:sz w:val="16"/>
                <w:szCs w:val="16"/>
              </w:rPr>
            </w:pPr>
            <w:r w:rsidRPr="0029055C">
              <w:rPr>
                <w:sz w:val="16"/>
                <w:szCs w:val="16"/>
              </w:rPr>
              <w:t>7.258.590,00</w:t>
            </w:r>
          </w:p>
        </w:tc>
        <w:tc>
          <w:tcPr>
            <w:tcW w:w="293" w:type="pct"/>
            <w:shd w:val="clear" w:color="000000" w:fill="D9D9D9"/>
            <w:noWrap/>
            <w:vAlign w:val="center"/>
            <w:hideMark/>
          </w:tcPr>
          <w:p w14:paraId="5B9C2894" w14:textId="77777777" w:rsidR="007924B5" w:rsidRPr="0029055C" w:rsidRDefault="007924B5" w:rsidP="007924B5">
            <w:pPr>
              <w:spacing w:before="0" w:after="0" w:line="240" w:lineRule="auto"/>
              <w:jc w:val="right"/>
              <w:rPr>
                <w:sz w:val="16"/>
                <w:szCs w:val="16"/>
              </w:rPr>
            </w:pPr>
            <w:r w:rsidRPr="0029055C">
              <w:rPr>
                <w:sz w:val="16"/>
                <w:szCs w:val="16"/>
              </w:rPr>
              <w:t>4,99%</w:t>
            </w:r>
          </w:p>
        </w:tc>
      </w:tr>
      <w:tr w:rsidR="007924B5" w:rsidRPr="0029055C" w14:paraId="0B89185D" w14:textId="77777777" w:rsidTr="007924B5">
        <w:trPr>
          <w:trHeight w:val="450"/>
        </w:trPr>
        <w:tc>
          <w:tcPr>
            <w:tcW w:w="1029" w:type="pct"/>
            <w:shd w:val="clear" w:color="000000" w:fill="D9D9D9"/>
            <w:noWrap/>
            <w:vAlign w:val="bottom"/>
            <w:hideMark/>
          </w:tcPr>
          <w:p w14:paraId="3C77B789"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57C8E539"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510EAF78"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3B6E80C9"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194F71F8" w14:textId="77777777" w:rsidR="007924B5" w:rsidRPr="0029055C" w:rsidRDefault="007924B5" w:rsidP="007924B5">
            <w:pPr>
              <w:spacing w:before="0" w:after="0" w:line="240" w:lineRule="auto"/>
              <w:jc w:val="left"/>
              <w:rPr>
                <w:sz w:val="16"/>
                <w:szCs w:val="16"/>
              </w:rPr>
            </w:pPr>
            <w:r w:rsidRPr="0029055C">
              <w:rPr>
                <w:sz w:val="16"/>
                <w:szCs w:val="16"/>
              </w:rPr>
              <w:t>T4620. Αριθμός έργων απλοποίησης εσωτερικών διαδικασιών φορέων του δημοσίου τομέα</w:t>
            </w:r>
          </w:p>
        </w:tc>
        <w:tc>
          <w:tcPr>
            <w:tcW w:w="280" w:type="pct"/>
            <w:shd w:val="clear" w:color="000000" w:fill="FFFFFF"/>
            <w:noWrap/>
            <w:vAlign w:val="center"/>
            <w:hideMark/>
          </w:tcPr>
          <w:p w14:paraId="17D3ED7F" w14:textId="77777777" w:rsidR="007924B5" w:rsidRPr="0029055C" w:rsidRDefault="007924B5" w:rsidP="007924B5">
            <w:pPr>
              <w:spacing w:before="0" w:after="0" w:line="240" w:lineRule="auto"/>
              <w:jc w:val="center"/>
              <w:rPr>
                <w:sz w:val="16"/>
                <w:szCs w:val="16"/>
              </w:rPr>
            </w:pPr>
            <w:r w:rsidRPr="0029055C">
              <w:rPr>
                <w:sz w:val="16"/>
                <w:szCs w:val="16"/>
              </w:rPr>
              <w:t>27,22</w:t>
            </w:r>
          </w:p>
        </w:tc>
        <w:tc>
          <w:tcPr>
            <w:tcW w:w="472" w:type="pct"/>
            <w:shd w:val="clear" w:color="000000" w:fill="FFFFFF"/>
            <w:noWrap/>
            <w:vAlign w:val="center"/>
            <w:hideMark/>
          </w:tcPr>
          <w:p w14:paraId="384ACFAB" w14:textId="77777777" w:rsidR="007924B5" w:rsidRPr="0029055C" w:rsidRDefault="007924B5" w:rsidP="007924B5">
            <w:pPr>
              <w:spacing w:before="0" w:after="0" w:line="240" w:lineRule="auto"/>
              <w:jc w:val="right"/>
              <w:rPr>
                <w:sz w:val="16"/>
                <w:szCs w:val="16"/>
              </w:rPr>
            </w:pPr>
            <w:r w:rsidRPr="0029055C">
              <w:rPr>
                <w:sz w:val="16"/>
                <w:szCs w:val="16"/>
              </w:rPr>
              <w:t>36.292.951,00</w:t>
            </w:r>
          </w:p>
        </w:tc>
        <w:tc>
          <w:tcPr>
            <w:tcW w:w="293" w:type="pct"/>
            <w:shd w:val="clear" w:color="000000" w:fill="D9D9D9"/>
            <w:noWrap/>
            <w:vAlign w:val="center"/>
            <w:hideMark/>
          </w:tcPr>
          <w:p w14:paraId="290DA53F" w14:textId="77777777" w:rsidR="007924B5" w:rsidRPr="0029055C" w:rsidRDefault="007924B5" w:rsidP="007924B5">
            <w:pPr>
              <w:spacing w:before="0" w:after="0" w:line="240" w:lineRule="auto"/>
              <w:jc w:val="right"/>
              <w:rPr>
                <w:sz w:val="16"/>
                <w:szCs w:val="16"/>
              </w:rPr>
            </w:pPr>
            <w:r w:rsidRPr="0029055C">
              <w:rPr>
                <w:sz w:val="16"/>
                <w:szCs w:val="16"/>
              </w:rPr>
              <w:t>24,95%</w:t>
            </w:r>
          </w:p>
        </w:tc>
      </w:tr>
      <w:tr w:rsidR="007924B5" w:rsidRPr="0029055C" w14:paraId="74D3EE19" w14:textId="77777777" w:rsidTr="007924B5">
        <w:trPr>
          <w:trHeight w:val="450"/>
        </w:trPr>
        <w:tc>
          <w:tcPr>
            <w:tcW w:w="1029" w:type="pct"/>
            <w:shd w:val="clear" w:color="000000" w:fill="D9D9D9"/>
            <w:noWrap/>
            <w:vAlign w:val="bottom"/>
            <w:hideMark/>
          </w:tcPr>
          <w:p w14:paraId="25785D49"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159F8786"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241ED687"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4E18D162"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29257C5D" w14:textId="77777777" w:rsidR="007924B5" w:rsidRPr="0029055C" w:rsidRDefault="007924B5" w:rsidP="007924B5">
            <w:pPr>
              <w:spacing w:before="0" w:after="0" w:line="240" w:lineRule="auto"/>
              <w:jc w:val="left"/>
              <w:rPr>
                <w:sz w:val="16"/>
                <w:szCs w:val="16"/>
              </w:rPr>
            </w:pPr>
            <w:r w:rsidRPr="0029055C">
              <w:rPr>
                <w:sz w:val="16"/>
                <w:szCs w:val="16"/>
              </w:rPr>
              <w:t>T4621. Αριθμός έργων απλοποίησης διαδικασιών  και προτυποποίησης υπηρεσιών προς τους πολίτες</w:t>
            </w:r>
          </w:p>
        </w:tc>
        <w:tc>
          <w:tcPr>
            <w:tcW w:w="280" w:type="pct"/>
            <w:shd w:val="clear" w:color="000000" w:fill="FFFFFF"/>
            <w:noWrap/>
            <w:vAlign w:val="center"/>
            <w:hideMark/>
          </w:tcPr>
          <w:p w14:paraId="1E20B482" w14:textId="77777777" w:rsidR="007924B5" w:rsidRPr="0029055C" w:rsidRDefault="007924B5" w:rsidP="007924B5">
            <w:pPr>
              <w:spacing w:before="0" w:after="0" w:line="240" w:lineRule="auto"/>
              <w:jc w:val="center"/>
              <w:rPr>
                <w:sz w:val="16"/>
                <w:szCs w:val="16"/>
              </w:rPr>
            </w:pPr>
            <w:r w:rsidRPr="0029055C">
              <w:rPr>
                <w:sz w:val="16"/>
                <w:szCs w:val="16"/>
              </w:rPr>
              <w:t>13,61</w:t>
            </w:r>
          </w:p>
        </w:tc>
        <w:tc>
          <w:tcPr>
            <w:tcW w:w="472" w:type="pct"/>
            <w:shd w:val="clear" w:color="000000" w:fill="FFFFFF"/>
            <w:noWrap/>
            <w:vAlign w:val="center"/>
            <w:hideMark/>
          </w:tcPr>
          <w:p w14:paraId="67B9A5F5" w14:textId="77777777" w:rsidR="007924B5" w:rsidRPr="0029055C" w:rsidRDefault="007924B5" w:rsidP="007924B5">
            <w:pPr>
              <w:spacing w:before="0" w:after="0" w:line="240" w:lineRule="auto"/>
              <w:jc w:val="right"/>
              <w:rPr>
                <w:sz w:val="16"/>
                <w:szCs w:val="16"/>
              </w:rPr>
            </w:pPr>
            <w:r w:rsidRPr="0029055C">
              <w:rPr>
                <w:sz w:val="16"/>
                <w:szCs w:val="16"/>
              </w:rPr>
              <w:t>48.995.483,00</w:t>
            </w:r>
          </w:p>
        </w:tc>
        <w:tc>
          <w:tcPr>
            <w:tcW w:w="293" w:type="pct"/>
            <w:shd w:val="clear" w:color="000000" w:fill="D9D9D9"/>
            <w:noWrap/>
            <w:vAlign w:val="center"/>
            <w:hideMark/>
          </w:tcPr>
          <w:p w14:paraId="582093D3" w14:textId="77777777" w:rsidR="007924B5" w:rsidRPr="0029055C" w:rsidRDefault="007924B5" w:rsidP="007924B5">
            <w:pPr>
              <w:spacing w:before="0" w:after="0" w:line="240" w:lineRule="auto"/>
              <w:jc w:val="right"/>
              <w:rPr>
                <w:sz w:val="16"/>
                <w:szCs w:val="16"/>
              </w:rPr>
            </w:pPr>
            <w:r w:rsidRPr="0029055C">
              <w:rPr>
                <w:sz w:val="16"/>
                <w:szCs w:val="16"/>
              </w:rPr>
              <w:t>33,69%</w:t>
            </w:r>
          </w:p>
        </w:tc>
      </w:tr>
      <w:tr w:rsidR="007924B5" w:rsidRPr="0029055C" w14:paraId="554D3CA6" w14:textId="77777777" w:rsidTr="007924B5">
        <w:trPr>
          <w:trHeight w:val="690"/>
        </w:trPr>
        <w:tc>
          <w:tcPr>
            <w:tcW w:w="1029" w:type="pct"/>
            <w:shd w:val="clear" w:color="000000" w:fill="DCE6F1"/>
            <w:vAlign w:val="bottom"/>
            <w:hideMark/>
          </w:tcPr>
          <w:p w14:paraId="01623D3B" w14:textId="77777777" w:rsidR="007924B5" w:rsidRPr="0029055C" w:rsidRDefault="007924B5" w:rsidP="007924B5">
            <w:pPr>
              <w:spacing w:before="0" w:after="0" w:line="240" w:lineRule="auto"/>
              <w:jc w:val="left"/>
              <w:rPr>
                <w:b/>
                <w:bCs/>
                <w:sz w:val="16"/>
                <w:szCs w:val="16"/>
              </w:rPr>
            </w:pPr>
            <w:r w:rsidRPr="0029055C">
              <w:rPr>
                <w:b/>
                <w:bCs/>
                <w:sz w:val="16"/>
                <w:szCs w:val="16"/>
              </w:rPr>
              <w:t xml:space="preserve">Σύνολο Άξονα 1. </w:t>
            </w:r>
            <w:r w:rsidRPr="0029055C">
              <w:rPr>
                <w:sz w:val="16"/>
                <w:szCs w:val="16"/>
              </w:rPr>
              <w:t>Διοικητική και οργανωτική μεταρρύθμιση για την αύξηση της αποδοτικότητας και αποτελεσματικότητας του Δημοσίου Τομέα στις 11 περιφέρειες</w:t>
            </w:r>
          </w:p>
        </w:tc>
        <w:tc>
          <w:tcPr>
            <w:tcW w:w="470" w:type="pct"/>
            <w:shd w:val="clear" w:color="000000" w:fill="DCE6F1"/>
            <w:noWrap/>
            <w:vAlign w:val="center"/>
            <w:hideMark/>
          </w:tcPr>
          <w:p w14:paraId="30D3B58F" w14:textId="77777777" w:rsidR="007924B5" w:rsidRPr="0029055C" w:rsidRDefault="007924B5" w:rsidP="007924B5">
            <w:pPr>
              <w:spacing w:before="0" w:after="0" w:line="240" w:lineRule="auto"/>
              <w:jc w:val="right"/>
              <w:rPr>
                <w:b/>
                <w:bCs/>
                <w:sz w:val="16"/>
                <w:szCs w:val="16"/>
              </w:rPr>
            </w:pPr>
            <w:r w:rsidRPr="0029055C">
              <w:rPr>
                <w:b/>
                <w:bCs/>
                <w:sz w:val="16"/>
                <w:szCs w:val="16"/>
              </w:rPr>
              <w:t>145.438.496,00</w:t>
            </w:r>
          </w:p>
        </w:tc>
        <w:tc>
          <w:tcPr>
            <w:tcW w:w="806" w:type="pct"/>
            <w:shd w:val="clear" w:color="000000" w:fill="DCE6F1"/>
            <w:noWrap/>
            <w:vAlign w:val="center"/>
            <w:hideMark/>
          </w:tcPr>
          <w:p w14:paraId="44E90079"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67" w:type="pct"/>
            <w:shd w:val="clear" w:color="000000" w:fill="DCE6F1"/>
            <w:noWrap/>
            <w:vAlign w:val="bottom"/>
            <w:hideMark/>
          </w:tcPr>
          <w:p w14:paraId="39C3F8E9" w14:textId="77777777" w:rsidR="007924B5" w:rsidRPr="0029055C" w:rsidRDefault="007924B5" w:rsidP="007924B5">
            <w:pPr>
              <w:spacing w:before="0" w:after="0" w:line="240" w:lineRule="auto"/>
              <w:jc w:val="right"/>
              <w:rPr>
                <w:sz w:val="16"/>
                <w:szCs w:val="16"/>
              </w:rPr>
            </w:pPr>
            <w:r w:rsidRPr="0029055C">
              <w:rPr>
                <w:sz w:val="16"/>
                <w:szCs w:val="16"/>
              </w:rPr>
              <w:t> </w:t>
            </w:r>
          </w:p>
        </w:tc>
        <w:tc>
          <w:tcPr>
            <w:tcW w:w="1183" w:type="pct"/>
            <w:shd w:val="clear" w:color="000000" w:fill="DCE6F1"/>
            <w:noWrap/>
            <w:vAlign w:val="bottom"/>
            <w:hideMark/>
          </w:tcPr>
          <w:p w14:paraId="2E30E7CD"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280" w:type="pct"/>
            <w:shd w:val="clear" w:color="000000" w:fill="DCE6F1"/>
            <w:noWrap/>
            <w:vAlign w:val="bottom"/>
            <w:hideMark/>
          </w:tcPr>
          <w:p w14:paraId="25395F31"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2" w:type="pct"/>
            <w:shd w:val="clear" w:color="000000" w:fill="DCE6F1"/>
            <w:noWrap/>
            <w:vAlign w:val="center"/>
            <w:hideMark/>
          </w:tcPr>
          <w:p w14:paraId="2505ABBA" w14:textId="77777777" w:rsidR="007924B5" w:rsidRPr="0029055C" w:rsidRDefault="007924B5" w:rsidP="007924B5">
            <w:pPr>
              <w:spacing w:before="0" w:after="0" w:line="240" w:lineRule="auto"/>
              <w:jc w:val="right"/>
              <w:rPr>
                <w:b/>
                <w:bCs/>
                <w:sz w:val="16"/>
                <w:szCs w:val="16"/>
              </w:rPr>
            </w:pPr>
            <w:r w:rsidRPr="0029055C">
              <w:rPr>
                <w:b/>
                <w:bCs/>
                <w:sz w:val="16"/>
                <w:szCs w:val="16"/>
              </w:rPr>
              <w:t>92.547.024,00</w:t>
            </w:r>
          </w:p>
        </w:tc>
        <w:tc>
          <w:tcPr>
            <w:tcW w:w="293" w:type="pct"/>
            <w:shd w:val="clear" w:color="000000" w:fill="DCE6F1"/>
            <w:noWrap/>
            <w:vAlign w:val="center"/>
            <w:hideMark/>
          </w:tcPr>
          <w:p w14:paraId="6599B8A3" w14:textId="77777777" w:rsidR="007924B5" w:rsidRPr="0029055C" w:rsidRDefault="007924B5" w:rsidP="007924B5">
            <w:pPr>
              <w:spacing w:before="0" w:after="0" w:line="240" w:lineRule="auto"/>
              <w:jc w:val="right"/>
              <w:rPr>
                <w:b/>
                <w:bCs/>
                <w:sz w:val="16"/>
                <w:szCs w:val="16"/>
              </w:rPr>
            </w:pPr>
            <w:r w:rsidRPr="0029055C">
              <w:rPr>
                <w:b/>
                <w:bCs/>
                <w:sz w:val="16"/>
                <w:szCs w:val="16"/>
              </w:rPr>
              <w:t>63,63%</w:t>
            </w:r>
          </w:p>
        </w:tc>
      </w:tr>
      <w:tr w:rsidR="007924B5" w:rsidRPr="0029055C" w14:paraId="31754E4D" w14:textId="77777777" w:rsidTr="007924B5">
        <w:trPr>
          <w:trHeight w:val="450"/>
        </w:trPr>
        <w:tc>
          <w:tcPr>
            <w:tcW w:w="1029" w:type="pct"/>
            <w:shd w:val="clear" w:color="000000" w:fill="D9D9D9"/>
            <w:noWrap/>
            <w:vAlign w:val="bottom"/>
            <w:hideMark/>
          </w:tcPr>
          <w:p w14:paraId="0F1C9AAD"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5766A7AD"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restart"/>
            <w:shd w:val="clear" w:color="000000" w:fill="FFFFFF"/>
            <w:vAlign w:val="center"/>
            <w:hideMark/>
          </w:tcPr>
          <w:p w14:paraId="183B86F8" w14:textId="77777777" w:rsidR="007924B5" w:rsidRPr="0029055C" w:rsidRDefault="007924B5" w:rsidP="007924B5">
            <w:pPr>
              <w:spacing w:before="0" w:after="0" w:line="240" w:lineRule="auto"/>
              <w:jc w:val="left"/>
              <w:rPr>
                <w:sz w:val="16"/>
                <w:szCs w:val="16"/>
              </w:rPr>
            </w:pPr>
            <w:r w:rsidRPr="0029055C">
              <w:rPr>
                <w:sz w:val="16"/>
                <w:szCs w:val="16"/>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467" w:type="pct"/>
            <w:vMerge w:val="restart"/>
            <w:shd w:val="clear" w:color="000000" w:fill="FFFFFF"/>
            <w:noWrap/>
            <w:vAlign w:val="center"/>
            <w:hideMark/>
          </w:tcPr>
          <w:p w14:paraId="3EB599E2" w14:textId="77777777" w:rsidR="007924B5" w:rsidRPr="0029055C" w:rsidRDefault="007924B5" w:rsidP="007924B5">
            <w:pPr>
              <w:spacing w:before="0" w:after="0" w:line="240" w:lineRule="auto"/>
              <w:jc w:val="right"/>
              <w:rPr>
                <w:sz w:val="16"/>
                <w:szCs w:val="16"/>
              </w:rPr>
            </w:pPr>
            <w:r w:rsidRPr="0029055C">
              <w:rPr>
                <w:sz w:val="16"/>
                <w:szCs w:val="16"/>
              </w:rPr>
              <w:t>12.902.372,00</w:t>
            </w:r>
          </w:p>
        </w:tc>
        <w:tc>
          <w:tcPr>
            <w:tcW w:w="1183" w:type="pct"/>
            <w:shd w:val="clear" w:color="auto" w:fill="auto"/>
            <w:vAlign w:val="center"/>
            <w:hideMark/>
          </w:tcPr>
          <w:p w14:paraId="57DD3902" w14:textId="77777777" w:rsidR="007924B5" w:rsidRPr="0029055C" w:rsidRDefault="007924B5" w:rsidP="007924B5">
            <w:pPr>
              <w:spacing w:before="0" w:after="0" w:line="240" w:lineRule="auto"/>
              <w:jc w:val="left"/>
              <w:rPr>
                <w:sz w:val="16"/>
                <w:szCs w:val="16"/>
              </w:rPr>
            </w:pPr>
            <w:r w:rsidRPr="0029055C">
              <w:rPr>
                <w:sz w:val="16"/>
                <w:szCs w:val="16"/>
              </w:rPr>
              <w:t>T4618. Αριθμός έργων κωδικοποίησης θεσμικού και νομοθετικού πλαισίου</w:t>
            </w:r>
          </w:p>
        </w:tc>
        <w:tc>
          <w:tcPr>
            <w:tcW w:w="280" w:type="pct"/>
            <w:shd w:val="clear" w:color="000000" w:fill="FFFFFF"/>
            <w:noWrap/>
            <w:vAlign w:val="center"/>
            <w:hideMark/>
          </w:tcPr>
          <w:p w14:paraId="5CE0ED9F" w14:textId="77777777" w:rsidR="007924B5" w:rsidRPr="0029055C" w:rsidRDefault="007924B5" w:rsidP="007924B5">
            <w:pPr>
              <w:spacing w:before="0" w:after="0" w:line="240" w:lineRule="auto"/>
              <w:jc w:val="center"/>
              <w:rPr>
                <w:sz w:val="16"/>
                <w:szCs w:val="16"/>
              </w:rPr>
            </w:pPr>
            <w:r w:rsidRPr="0029055C">
              <w:rPr>
                <w:sz w:val="16"/>
                <w:szCs w:val="16"/>
              </w:rPr>
              <w:t>0,97</w:t>
            </w:r>
          </w:p>
        </w:tc>
        <w:tc>
          <w:tcPr>
            <w:tcW w:w="472" w:type="pct"/>
            <w:shd w:val="clear" w:color="000000" w:fill="FFFFFF"/>
            <w:noWrap/>
            <w:vAlign w:val="center"/>
            <w:hideMark/>
          </w:tcPr>
          <w:p w14:paraId="3C08DC2E" w14:textId="77777777" w:rsidR="007924B5" w:rsidRPr="0029055C" w:rsidRDefault="007924B5" w:rsidP="007924B5">
            <w:pPr>
              <w:spacing w:before="0" w:after="0" w:line="240" w:lineRule="auto"/>
              <w:jc w:val="right"/>
              <w:rPr>
                <w:sz w:val="16"/>
                <w:szCs w:val="16"/>
              </w:rPr>
            </w:pPr>
            <w:r w:rsidRPr="0029055C">
              <w:rPr>
                <w:sz w:val="16"/>
                <w:szCs w:val="16"/>
              </w:rPr>
              <w:t>643.936,00</w:t>
            </w:r>
          </w:p>
        </w:tc>
        <w:tc>
          <w:tcPr>
            <w:tcW w:w="293" w:type="pct"/>
            <w:shd w:val="clear" w:color="000000" w:fill="D9D9D9"/>
            <w:noWrap/>
            <w:vAlign w:val="center"/>
            <w:hideMark/>
          </w:tcPr>
          <w:p w14:paraId="3AF3AE5F" w14:textId="77777777" w:rsidR="007924B5" w:rsidRPr="0029055C" w:rsidRDefault="007924B5" w:rsidP="007924B5">
            <w:pPr>
              <w:spacing w:before="0" w:after="0" w:line="240" w:lineRule="auto"/>
              <w:jc w:val="right"/>
              <w:rPr>
                <w:sz w:val="16"/>
                <w:szCs w:val="16"/>
              </w:rPr>
            </w:pPr>
            <w:r w:rsidRPr="0029055C">
              <w:rPr>
                <w:sz w:val="16"/>
                <w:szCs w:val="16"/>
              </w:rPr>
              <w:t>4,99%</w:t>
            </w:r>
          </w:p>
        </w:tc>
      </w:tr>
      <w:tr w:rsidR="007924B5" w:rsidRPr="0029055C" w14:paraId="3BC13FE0" w14:textId="77777777" w:rsidTr="007924B5">
        <w:trPr>
          <w:trHeight w:val="450"/>
        </w:trPr>
        <w:tc>
          <w:tcPr>
            <w:tcW w:w="1029" w:type="pct"/>
            <w:shd w:val="clear" w:color="000000" w:fill="D9D9D9"/>
            <w:noWrap/>
            <w:vAlign w:val="bottom"/>
            <w:hideMark/>
          </w:tcPr>
          <w:p w14:paraId="7C49A700"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3098B2B2"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6D0C2EB4"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076899A5"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52DAF1EF" w14:textId="77777777" w:rsidR="007924B5" w:rsidRPr="0029055C" w:rsidRDefault="007924B5" w:rsidP="007924B5">
            <w:pPr>
              <w:spacing w:before="0" w:after="0" w:line="240" w:lineRule="auto"/>
              <w:jc w:val="left"/>
              <w:rPr>
                <w:sz w:val="16"/>
                <w:szCs w:val="16"/>
              </w:rPr>
            </w:pPr>
            <w:r w:rsidRPr="0029055C">
              <w:rPr>
                <w:sz w:val="16"/>
                <w:szCs w:val="16"/>
              </w:rPr>
              <w:t>T4620. Αριθμός έργων απλοποίησης εσωτερικών διαδικασιών φορέων του δημοσίου τομέα</w:t>
            </w:r>
          </w:p>
        </w:tc>
        <w:tc>
          <w:tcPr>
            <w:tcW w:w="280" w:type="pct"/>
            <w:shd w:val="clear" w:color="000000" w:fill="FFFFFF"/>
            <w:noWrap/>
            <w:vAlign w:val="center"/>
            <w:hideMark/>
          </w:tcPr>
          <w:p w14:paraId="348030FF" w14:textId="77777777" w:rsidR="007924B5" w:rsidRPr="0029055C" w:rsidRDefault="007924B5" w:rsidP="007924B5">
            <w:pPr>
              <w:spacing w:before="0" w:after="0" w:line="240" w:lineRule="auto"/>
              <w:jc w:val="center"/>
              <w:rPr>
                <w:sz w:val="16"/>
                <w:szCs w:val="16"/>
              </w:rPr>
            </w:pPr>
            <w:r w:rsidRPr="0029055C">
              <w:rPr>
                <w:sz w:val="16"/>
                <w:szCs w:val="16"/>
              </w:rPr>
              <w:t>2,41</w:t>
            </w:r>
          </w:p>
        </w:tc>
        <w:tc>
          <w:tcPr>
            <w:tcW w:w="472" w:type="pct"/>
            <w:shd w:val="clear" w:color="000000" w:fill="FFFFFF"/>
            <w:noWrap/>
            <w:vAlign w:val="center"/>
            <w:hideMark/>
          </w:tcPr>
          <w:p w14:paraId="34E471F1" w14:textId="77777777" w:rsidR="007924B5" w:rsidRPr="0029055C" w:rsidRDefault="007924B5" w:rsidP="007924B5">
            <w:pPr>
              <w:spacing w:before="0" w:after="0" w:line="240" w:lineRule="auto"/>
              <w:jc w:val="right"/>
              <w:rPr>
                <w:sz w:val="16"/>
                <w:szCs w:val="16"/>
              </w:rPr>
            </w:pPr>
            <w:r w:rsidRPr="0029055C">
              <w:rPr>
                <w:sz w:val="16"/>
                <w:szCs w:val="16"/>
              </w:rPr>
              <w:t>3.219.678,00</w:t>
            </w:r>
          </w:p>
        </w:tc>
        <w:tc>
          <w:tcPr>
            <w:tcW w:w="293" w:type="pct"/>
            <w:shd w:val="clear" w:color="000000" w:fill="D9D9D9"/>
            <w:noWrap/>
            <w:vAlign w:val="center"/>
            <w:hideMark/>
          </w:tcPr>
          <w:p w14:paraId="3AF3F315" w14:textId="77777777" w:rsidR="007924B5" w:rsidRPr="0029055C" w:rsidRDefault="007924B5" w:rsidP="007924B5">
            <w:pPr>
              <w:spacing w:before="0" w:after="0" w:line="240" w:lineRule="auto"/>
              <w:jc w:val="right"/>
              <w:rPr>
                <w:sz w:val="16"/>
                <w:szCs w:val="16"/>
              </w:rPr>
            </w:pPr>
            <w:r w:rsidRPr="0029055C">
              <w:rPr>
                <w:sz w:val="16"/>
                <w:szCs w:val="16"/>
              </w:rPr>
              <w:t>24,95%</w:t>
            </w:r>
          </w:p>
        </w:tc>
      </w:tr>
      <w:tr w:rsidR="007924B5" w:rsidRPr="0029055C" w14:paraId="2669B67F" w14:textId="77777777" w:rsidTr="007924B5">
        <w:trPr>
          <w:trHeight w:val="450"/>
        </w:trPr>
        <w:tc>
          <w:tcPr>
            <w:tcW w:w="1029" w:type="pct"/>
            <w:shd w:val="clear" w:color="000000" w:fill="D9D9D9"/>
            <w:noWrap/>
            <w:vAlign w:val="bottom"/>
            <w:hideMark/>
          </w:tcPr>
          <w:p w14:paraId="7FBC46A5"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74EF12B6"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12ADCA2E"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3031F624"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07BC9C19" w14:textId="77777777" w:rsidR="007924B5" w:rsidRPr="0029055C" w:rsidRDefault="007924B5" w:rsidP="007924B5">
            <w:pPr>
              <w:spacing w:before="0" w:after="0" w:line="240" w:lineRule="auto"/>
              <w:jc w:val="left"/>
              <w:rPr>
                <w:sz w:val="16"/>
                <w:szCs w:val="16"/>
              </w:rPr>
            </w:pPr>
            <w:r w:rsidRPr="0029055C">
              <w:rPr>
                <w:sz w:val="16"/>
                <w:szCs w:val="16"/>
              </w:rPr>
              <w:t>T4621. Αριθμός έργων απλοποίησης διαδικασιών  και προτυποποίησης υπηρεσιών προς τους πολίτες</w:t>
            </w:r>
          </w:p>
        </w:tc>
        <w:tc>
          <w:tcPr>
            <w:tcW w:w="280" w:type="pct"/>
            <w:shd w:val="clear" w:color="000000" w:fill="FFFFFF"/>
            <w:noWrap/>
            <w:vAlign w:val="center"/>
            <w:hideMark/>
          </w:tcPr>
          <w:p w14:paraId="69BD1677" w14:textId="77777777" w:rsidR="007924B5" w:rsidRPr="0029055C" w:rsidRDefault="007924B5" w:rsidP="007924B5">
            <w:pPr>
              <w:spacing w:before="0" w:after="0" w:line="240" w:lineRule="auto"/>
              <w:jc w:val="center"/>
              <w:rPr>
                <w:sz w:val="16"/>
                <w:szCs w:val="16"/>
              </w:rPr>
            </w:pPr>
            <w:r w:rsidRPr="0029055C">
              <w:rPr>
                <w:sz w:val="16"/>
                <w:szCs w:val="16"/>
              </w:rPr>
              <w:t>1,21</w:t>
            </w:r>
          </w:p>
        </w:tc>
        <w:tc>
          <w:tcPr>
            <w:tcW w:w="472" w:type="pct"/>
            <w:shd w:val="clear" w:color="000000" w:fill="FFFFFF"/>
            <w:noWrap/>
            <w:vAlign w:val="center"/>
            <w:hideMark/>
          </w:tcPr>
          <w:p w14:paraId="1613B397" w14:textId="77777777" w:rsidR="007924B5" w:rsidRPr="0029055C" w:rsidRDefault="007924B5" w:rsidP="007924B5">
            <w:pPr>
              <w:spacing w:before="0" w:after="0" w:line="240" w:lineRule="auto"/>
              <w:jc w:val="right"/>
              <w:rPr>
                <w:sz w:val="16"/>
                <w:szCs w:val="16"/>
              </w:rPr>
            </w:pPr>
            <w:r w:rsidRPr="0029055C">
              <w:rPr>
                <w:sz w:val="16"/>
                <w:szCs w:val="16"/>
              </w:rPr>
              <w:t>4.346.566,00</w:t>
            </w:r>
          </w:p>
        </w:tc>
        <w:tc>
          <w:tcPr>
            <w:tcW w:w="293" w:type="pct"/>
            <w:shd w:val="clear" w:color="000000" w:fill="D9D9D9"/>
            <w:noWrap/>
            <w:vAlign w:val="center"/>
            <w:hideMark/>
          </w:tcPr>
          <w:p w14:paraId="0CDD71F7" w14:textId="77777777" w:rsidR="007924B5" w:rsidRPr="0029055C" w:rsidRDefault="007924B5" w:rsidP="007924B5">
            <w:pPr>
              <w:spacing w:before="0" w:after="0" w:line="240" w:lineRule="auto"/>
              <w:jc w:val="right"/>
              <w:rPr>
                <w:sz w:val="16"/>
                <w:szCs w:val="16"/>
              </w:rPr>
            </w:pPr>
            <w:r w:rsidRPr="0029055C">
              <w:rPr>
                <w:sz w:val="16"/>
                <w:szCs w:val="16"/>
              </w:rPr>
              <w:t>33,69%</w:t>
            </w:r>
          </w:p>
        </w:tc>
      </w:tr>
      <w:tr w:rsidR="007924B5" w:rsidRPr="0029055C" w14:paraId="7D2A6F8D" w14:textId="77777777" w:rsidTr="007924B5">
        <w:trPr>
          <w:trHeight w:val="690"/>
        </w:trPr>
        <w:tc>
          <w:tcPr>
            <w:tcW w:w="1029" w:type="pct"/>
            <w:shd w:val="clear" w:color="000000" w:fill="DCE6F1"/>
            <w:vAlign w:val="bottom"/>
            <w:hideMark/>
          </w:tcPr>
          <w:p w14:paraId="408AEE98" w14:textId="77777777" w:rsidR="007924B5" w:rsidRPr="0029055C" w:rsidRDefault="007924B5" w:rsidP="007924B5">
            <w:pPr>
              <w:spacing w:before="0" w:after="0" w:line="240" w:lineRule="auto"/>
              <w:jc w:val="left"/>
              <w:rPr>
                <w:b/>
                <w:bCs/>
                <w:sz w:val="16"/>
                <w:szCs w:val="16"/>
              </w:rPr>
            </w:pPr>
            <w:r w:rsidRPr="0029055C">
              <w:rPr>
                <w:b/>
                <w:bCs/>
                <w:sz w:val="16"/>
                <w:szCs w:val="16"/>
              </w:rPr>
              <w:t xml:space="preserve">Σύνολο Άξονα 2. </w:t>
            </w:r>
            <w:r w:rsidRPr="0029055C">
              <w:rPr>
                <w:sz w:val="16"/>
                <w:szCs w:val="16"/>
              </w:rPr>
              <w:t>Διοικητική και οργανωτική μεταρρύθμιση για την αύξηση της αποδοτικότητας και αποτελεσματικότητας του Δημοσίου Τομέα στην ΣΤΕΡΕΑ ΕΛΛΑΔΑ</w:t>
            </w:r>
          </w:p>
        </w:tc>
        <w:tc>
          <w:tcPr>
            <w:tcW w:w="470" w:type="pct"/>
            <w:shd w:val="clear" w:color="000000" w:fill="DCE6F1"/>
            <w:noWrap/>
            <w:vAlign w:val="center"/>
            <w:hideMark/>
          </w:tcPr>
          <w:p w14:paraId="2CF0097F" w14:textId="77777777" w:rsidR="007924B5" w:rsidRPr="0029055C" w:rsidRDefault="007924B5" w:rsidP="007924B5">
            <w:pPr>
              <w:spacing w:before="0" w:after="0" w:line="240" w:lineRule="auto"/>
              <w:jc w:val="right"/>
              <w:rPr>
                <w:b/>
                <w:bCs/>
                <w:sz w:val="16"/>
                <w:szCs w:val="16"/>
              </w:rPr>
            </w:pPr>
            <w:r w:rsidRPr="0029055C">
              <w:rPr>
                <w:b/>
                <w:bCs/>
                <w:sz w:val="16"/>
                <w:szCs w:val="16"/>
              </w:rPr>
              <w:t>12.902.372,00</w:t>
            </w:r>
          </w:p>
        </w:tc>
        <w:tc>
          <w:tcPr>
            <w:tcW w:w="806" w:type="pct"/>
            <w:shd w:val="clear" w:color="000000" w:fill="DCE6F1"/>
            <w:noWrap/>
            <w:vAlign w:val="center"/>
            <w:hideMark/>
          </w:tcPr>
          <w:p w14:paraId="0FA92388"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67" w:type="pct"/>
            <w:shd w:val="clear" w:color="000000" w:fill="DCE6F1"/>
            <w:noWrap/>
            <w:vAlign w:val="bottom"/>
            <w:hideMark/>
          </w:tcPr>
          <w:p w14:paraId="66C4DC70" w14:textId="77777777" w:rsidR="007924B5" w:rsidRPr="0029055C" w:rsidRDefault="007924B5" w:rsidP="007924B5">
            <w:pPr>
              <w:spacing w:before="0" w:after="0" w:line="240" w:lineRule="auto"/>
              <w:jc w:val="right"/>
              <w:rPr>
                <w:sz w:val="16"/>
                <w:szCs w:val="16"/>
              </w:rPr>
            </w:pPr>
            <w:r w:rsidRPr="0029055C">
              <w:rPr>
                <w:sz w:val="16"/>
                <w:szCs w:val="16"/>
              </w:rPr>
              <w:t> </w:t>
            </w:r>
          </w:p>
        </w:tc>
        <w:tc>
          <w:tcPr>
            <w:tcW w:w="1183" w:type="pct"/>
            <w:shd w:val="clear" w:color="000000" w:fill="DCE6F1"/>
            <w:noWrap/>
            <w:vAlign w:val="bottom"/>
            <w:hideMark/>
          </w:tcPr>
          <w:p w14:paraId="2949B232"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280" w:type="pct"/>
            <w:shd w:val="clear" w:color="000000" w:fill="DCE6F1"/>
            <w:noWrap/>
            <w:vAlign w:val="bottom"/>
            <w:hideMark/>
          </w:tcPr>
          <w:p w14:paraId="0B45E529"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2" w:type="pct"/>
            <w:shd w:val="clear" w:color="000000" w:fill="DCE6F1"/>
            <w:noWrap/>
            <w:vAlign w:val="center"/>
            <w:hideMark/>
          </w:tcPr>
          <w:p w14:paraId="137503D4" w14:textId="77777777" w:rsidR="007924B5" w:rsidRPr="0029055C" w:rsidRDefault="007924B5" w:rsidP="007924B5">
            <w:pPr>
              <w:spacing w:before="0" w:after="0" w:line="240" w:lineRule="auto"/>
              <w:jc w:val="right"/>
              <w:rPr>
                <w:b/>
                <w:bCs/>
                <w:sz w:val="16"/>
                <w:szCs w:val="16"/>
              </w:rPr>
            </w:pPr>
            <w:r w:rsidRPr="0029055C">
              <w:rPr>
                <w:b/>
                <w:bCs/>
                <w:sz w:val="16"/>
                <w:szCs w:val="16"/>
              </w:rPr>
              <w:t>8.210.180,00</w:t>
            </w:r>
          </w:p>
        </w:tc>
        <w:tc>
          <w:tcPr>
            <w:tcW w:w="293" w:type="pct"/>
            <w:shd w:val="clear" w:color="000000" w:fill="DCE6F1"/>
            <w:noWrap/>
            <w:vAlign w:val="center"/>
            <w:hideMark/>
          </w:tcPr>
          <w:p w14:paraId="0B209CC2" w14:textId="77777777" w:rsidR="007924B5" w:rsidRPr="0029055C" w:rsidRDefault="007924B5" w:rsidP="007924B5">
            <w:pPr>
              <w:spacing w:before="0" w:after="0" w:line="240" w:lineRule="auto"/>
              <w:jc w:val="right"/>
              <w:rPr>
                <w:b/>
                <w:bCs/>
                <w:sz w:val="16"/>
                <w:szCs w:val="16"/>
              </w:rPr>
            </w:pPr>
            <w:r w:rsidRPr="0029055C">
              <w:rPr>
                <w:b/>
                <w:bCs/>
                <w:sz w:val="16"/>
                <w:szCs w:val="16"/>
              </w:rPr>
              <w:t>63,63%</w:t>
            </w:r>
          </w:p>
        </w:tc>
      </w:tr>
      <w:tr w:rsidR="007924B5" w:rsidRPr="0029055C" w14:paraId="5B6F2956" w14:textId="77777777" w:rsidTr="007924B5">
        <w:trPr>
          <w:trHeight w:val="450"/>
        </w:trPr>
        <w:tc>
          <w:tcPr>
            <w:tcW w:w="1029" w:type="pct"/>
            <w:shd w:val="clear" w:color="000000" w:fill="D9D9D9"/>
            <w:noWrap/>
            <w:vAlign w:val="bottom"/>
            <w:hideMark/>
          </w:tcPr>
          <w:p w14:paraId="60067373"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7287ED19"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restart"/>
            <w:shd w:val="clear" w:color="000000" w:fill="FFFFFF"/>
            <w:vAlign w:val="center"/>
            <w:hideMark/>
          </w:tcPr>
          <w:p w14:paraId="639FCE9E" w14:textId="77777777" w:rsidR="007924B5" w:rsidRPr="0029055C" w:rsidRDefault="007924B5" w:rsidP="007924B5">
            <w:pPr>
              <w:spacing w:before="0" w:after="0" w:line="240" w:lineRule="auto"/>
              <w:jc w:val="left"/>
              <w:rPr>
                <w:sz w:val="16"/>
                <w:szCs w:val="16"/>
              </w:rPr>
            </w:pPr>
            <w:r w:rsidRPr="0029055C">
              <w:rPr>
                <w:sz w:val="16"/>
                <w:szCs w:val="16"/>
              </w:rPr>
              <w:t xml:space="preserve">119 Επένδυση στη θεσμική ικανότητα και στην αποτελεσματικότητα των δημόσιων διοικήσεων και </w:t>
            </w:r>
            <w:r w:rsidRPr="0029055C">
              <w:rPr>
                <w:sz w:val="16"/>
                <w:szCs w:val="16"/>
              </w:rPr>
              <w:lastRenderedPageBreak/>
              <w:t xml:space="preserve">υπηρεσιών σε εθνικό, περιφερειακό και τοπικό επίπεδο ενόψει των μεταρρυθμίσεων, καλύτερη κανονιστική ρύθμιση και χρηστή διακυβέρνηση </w:t>
            </w:r>
          </w:p>
        </w:tc>
        <w:tc>
          <w:tcPr>
            <w:tcW w:w="467" w:type="pct"/>
            <w:vMerge w:val="restart"/>
            <w:shd w:val="clear" w:color="000000" w:fill="FFFFFF"/>
            <w:noWrap/>
            <w:vAlign w:val="center"/>
            <w:hideMark/>
          </w:tcPr>
          <w:p w14:paraId="04C66B07" w14:textId="77777777" w:rsidR="007924B5" w:rsidRPr="0029055C" w:rsidRDefault="007924B5" w:rsidP="007924B5">
            <w:pPr>
              <w:spacing w:before="0" w:after="0" w:line="240" w:lineRule="auto"/>
              <w:jc w:val="right"/>
              <w:rPr>
                <w:sz w:val="16"/>
                <w:szCs w:val="16"/>
              </w:rPr>
            </w:pPr>
            <w:r w:rsidRPr="0029055C">
              <w:rPr>
                <w:sz w:val="16"/>
                <w:szCs w:val="16"/>
              </w:rPr>
              <w:lastRenderedPageBreak/>
              <w:t>1.953.067,00</w:t>
            </w:r>
          </w:p>
        </w:tc>
        <w:tc>
          <w:tcPr>
            <w:tcW w:w="1183" w:type="pct"/>
            <w:shd w:val="clear" w:color="auto" w:fill="auto"/>
            <w:vAlign w:val="center"/>
            <w:hideMark/>
          </w:tcPr>
          <w:p w14:paraId="4B04A709" w14:textId="77777777" w:rsidR="007924B5" w:rsidRPr="0029055C" w:rsidRDefault="007924B5" w:rsidP="007924B5">
            <w:pPr>
              <w:spacing w:before="0" w:after="0" w:line="240" w:lineRule="auto"/>
              <w:jc w:val="left"/>
              <w:rPr>
                <w:sz w:val="16"/>
                <w:szCs w:val="16"/>
              </w:rPr>
            </w:pPr>
            <w:r w:rsidRPr="0029055C">
              <w:rPr>
                <w:sz w:val="16"/>
                <w:szCs w:val="16"/>
              </w:rPr>
              <w:t>T4618. Αριθμός έργων κωδικοποίησης θεσμικού και νομοθετικού πλαισίου</w:t>
            </w:r>
          </w:p>
        </w:tc>
        <w:tc>
          <w:tcPr>
            <w:tcW w:w="280" w:type="pct"/>
            <w:shd w:val="clear" w:color="000000" w:fill="FFFFFF"/>
            <w:noWrap/>
            <w:vAlign w:val="center"/>
            <w:hideMark/>
          </w:tcPr>
          <w:p w14:paraId="0C88E6A7" w14:textId="77777777" w:rsidR="007924B5" w:rsidRPr="0029055C" w:rsidRDefault="007924B5" w:rsidP="007924B5">
            <w:pPr>
              <w:spacing w:before="0" w:after="0" w:line="240" w:lineRule="auto"/>
              <w:jc w:val="center"/>
              <w:rPr>
                <w:sz w:val="16"/>
                <w:szCs w:val="16"/>
              </w:rPr>
            </w:pPr>
            <w:r w:rsidRPr="0029055C">
              <w:rPr>
                <w:sz w:val="16"/>
                <w:szCs w:val="16"/>
              </w:rPr>
              <w:t>0,15</w:t>
            </w:r>
          </w:p>
        </w:tc>
        <w:tc>
          <w:tcPr>
            <w:tcW w:w="472" w:type="pct"/>
            <w:shd w:val="clear" w:color="000000" w:fill="FFFFFF"/>
            <w:noWrap/>
            <w:vAlign w:val="center"/>
            <w:hideMark/>
          </w:tcPr>
          <w:p w14:paraId="7B055B19" w14:textId="77777777" w:rsidR="007924B5" w:rsidRPr="0029055C" w:rsidRDefault="007924B5" w:rsidP="007924B5">
            <w:pPr>
              <w:spacing w:before="0" w:after="0" w:line="240" w:lineRule="auto"/>
              <w:jc w:val="right"/>
              <w:rPr>
                <w:sz w:val="16"/>
                <w:szCs w:val="16"/>
              </w:rPr>
            </w:pPr>
            <w:r w:rsidRPr="0029055C">
              <w:rPr>
                <w:sz w:val="16"/>
                <w:szCs w:val="16"/>
              </w:rPr>
              <w:t>97.474,00</w:t>
            </w:r>
          </w:p>
        </w:tc>
        <w:tc>
          <w:tcPr>
            <w:tcW w:w="293" w:type="pct"/>
            <w:shd w:val="clear" w:color="000000" w:fill="D9D9D9"/>
            <w:noWrap/>
            <w:vAlign w:val="center"/>
            <w:hideMark/>
          </w:tcPr>
          <w:p w14:paraId="1784C466" w14:textId="77777777" w:rsidR="007924B5" w:rsidRPr="0029055C" w:rsidRDefault="007924B5" w:rsidP="007924B5">
            <w:pPr>
              <w:spacing w:before="0" w:after="0" w:line="240" w:lineRule="auto"/>
              <w:jc w:val="right"/>
              <w:rPr>
                <w:sz w:val="16"/>
                <w:szCs w:val="16"/>
              </w:rPr>
            </w:pPr>
            <w:r w:rsidRPr="0029055C">
              <w:rPr>
                <w:sz w:val="16"/>
                <w:szCs w:val="16"/>
              </w:rPr>
              <w:t>4,99%</w:t>
            </w:r>
          </w:p>
        </w:tc>
      </w:tr>
      <w:tr w:rsidR="007924B5" w:rsidRPr="0029055C" w14:paraId="29A51972" w14:textId="77777777" w:rsidTr="007924B5">
        <w:trPr>
          <w:trHeight w:val="450"/>
        </w:trPr>
        <w:tc>
          <w:tcPr>
            <w:tcW w:w="1029" w:type="pct"/>
            <w:shd w:val="clear" w:color="000000" w:fill="D9D9D9"/>
            <w:noWrap/>
            <w:vAlign w:val="bottom"/>
            <w:hideMark/>
          </w:tcPr>
          <w:p w14:paraId="5291AF7E"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3A065A27"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20BD5ACB"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1B50E24F"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0906ABE5" w14:textId="77777777" w:rsidR="007924B5" w:rsidRPr="0029055C" w:rsidRDefault="007924B5" w:rsidP="007924B5">
            <w:pPr>
              <w:spacing w:before="0" w:after="0" w:line="240" w:lineRule="auto"/>
              <w:jc w:val="left"/>
              <w:rPr>
                <w:sz w:val="16"/>
                <w:szCs w:val="16"/>
              </w:rPr>
            </w:pPr>
            <w:r w:rsidRPr="0029055C">
              <w:rPr>
                <w:sz w:val="16"/>
                <w:szCs w:val="16"/>
              </w:rPr>
              <w:t>T4620. Αριθμός έργων απλοποίησης εσωτερικών διαδικασιών φορέων του δημοσίου τομέα</w:t>
            </w:r>
          </w:p>
        </w:tc>
        <w:tc>
          <w:tcPr>
            <w:tcW w:w="280" w:type="pct"/>
            <w:shd w:val="clear" w:color="000000" w:fill="FFFFFF"/>
            <w:noWrap/>
            <w:vAlign w:val="center"/>
            <w:hideMark/>
          </w:tcPr>
          <w:p w14:paraId="5FFD36B3" w14:textId="77777777" w:rsidR="007924B5" w:rsidRPr="0029055C" w:rsidRDefault="007924B5" w:rsidP="007924B5">
            <w:pPr>
              <w:spacing w:before="0" w:after="0" w:line="240" w:lineRule="auto"/>
              <w:jc w:val="center"/>
              <w:rPr>
                <w:sz w:val="16"/>
                <w:szCs w:val="16"/>
              </w:rPr>
            </w:pPr>
            <w:r w:rsidRPr="0029055C">
              <w:rPr>
                <w:sz w:val="16"/>
                <w:szCs w:val="16"/>
              </w:rPr>
              <w:t>0,37</w:t>
            </w:r>
          </w:p>
        </w:tc>
        <w:tc>
          <w:tcPr>
            <w:tcW w:w="472" w:type="pct"/>
            <w:shd w:val="clear" w:color="000000" w:fill="FFFFFF"/>
            <w:noWrap/>
            <w:vAlign w:val="center"/>
            <w:hideMark/>
          </w:tcPr>
          <w:p w14:paraId="102847F3" w14:textId="77777777" w:rsidR="007924B5" w:rsidRPr="0029055C" w:rsidRDefault="007924B5" w:rsidP="007924B5">
            <w:pPr>
              <w:spacing w:before="0" w:after="0" w:line="240" w:lineRule="auto"/>
              <w:jc w:val="right"/>
              <w:rPr>
                <w:sz w:val="16"/>
                <w:szCs w:val="16"/>
              </w:rPr>
            </w:pPr>
            <w:r w:rsidRPr="0029055C">
              <w:rPr>
                <w:sz w:val="16"/>
                <w:szCs w:val="16"/>
              </w:rPr>
              <w:t>487.371,00</w:t>
            </w:r>
          </w:p>
        </w:tc>
        <w:tc>
          <w:tcPr>
            <w:tcW w:w="293" w:type="pct"/>
            <w:shd w:val="clear" w:color="000000" w:fill="D9D9D9"/>
            <w:noWrap/>
            <w:vAlign w:val="center"/>
            <w:hideMark/>
          </w:tcPr>
          <w:p w14:paraId="745CDD5C" w14:textId="77777777" w:rsidR="007924B5" w:rsidRPr="0029055C" w:rsidRDefault="007924B5" w:rsidP="007924B5">
            <w:pPr>
              <w:spacing w:before="0" w:after="0" w:line="240" w:lineRule="auto"/>
              <w:jc w:val="right"/>
              <w:rPr>
                <w:sz w:val="16"/>
                <w:szCs w:val="16"/>
              </w:rPr>
            </w:pPr>
            <w:r w:rsidRPr="0029055C">
              <w:rPr>
                <w:sz w:val="16"/>
                <w:szCs w:val="16"/>
              </w:rPr>
              <w:t>24,95%</w:t>
            </w:r>
          </w:p>
        </w:tc>
      </w:tr>
      <w:tr w:rsidR="007924B5" w:rsidRPr="0029055C" w14:paraId="5B82E7A8" w14:textId="77777777" w:rsidTr="007924B5">
        <w:trPr>
          <w:trHeight w:val="450"/>
        </w:trPr>
        <w:tc>
          <w:tcPr>
            <w:tcW w:w="1029" w:type="pct"/>
            <w:shd w:val="clear" w:color="000000" w:fill="D9D9D9"/>
            <w:noWrap/>
            <w:vAlign w:val="bottom"/>
            <w:hideMark/>
          </w:tcPr>
          <w:p w14:paraId="3DCDEA2E" w14:textId="77777777" w:rsidR="007924B5" w:rsidRPr="0029055C" w:rsidRDefault="007924B5" w:rsidP="007924B5">
            <w:pPr>
              <w:spacing w:before="0" w:after="0" w:line="240" w:lineRule="auto"/>
              <w:jc w:val="left"/>
              <w:rPr>
                <w:sz w:val="16"/>
                <w:szCs w:val="16"/>
              </w:rPr>
            </w:pPr>
            <w:r w:rsidRPr="0029055C">
              <w:rPr>
                <w:sz w:val="16"/>
                <w:szCs w:val="16"/>
              </w:rPr>
              <w:lastRenderedPageBreak/>
              <w:t> </w:t>
            </w:r>
          </w:p>
        </w:tc>
        <w:tc>
          <w:tcPr>
            <w:tcW w:w="470" w:type="pct"/>
            <w:shd w:val="clear" w:color="000000" w:fill="D9D9D9"/>
            <w:noWrap/>
            <w:vAlign w:val="bottom"/>
            <w:hideMark/>
          </w:tcPr>
          <w:p w14:paraId="1F9DB04B"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7F80EEF4"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105C124F"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37372A5B" w14:textId="77777777" w:rsidR="007924B5" w:rsidRPr="0029055C" w:rsidRDefault="007924B5" w:rsidP="007924B5">
            <w:pPr>
              <w:spacing w:before="0" w:after="0" w:line="240" w:lineRule="auto"/>
              <w:jc w:val="left"/>
              <w:rPr>
                <w:sz w:val="16"/>
                <w:szCs w:val="16"/>
              </w:rPr>
            </w:pPr>
            <w:r w:rsidRPr="0029055C">
              <w:rPr>
                <w:sz w:val="16"/>
                <w:szCs w:val="16"/>
              </w:rPr>
              <w:t>T4621. Αριθμός έργων απλοποίησης διαδικασιών  και προτυποποίησης υπηρεσιών προς τους πολίτες</w:t>
            </w:r>
          </w:p>
        </w:tc>
        <w:tc>
          <w:tcPr>
            <w:tcW w:w="280" w:type="pct"/>
            <w:shd w:val="clear" w:color="000000" w:fill="FFFFFF"/>
            <w:noWrap/>
            <w:vAlign w:val="center"/>
            <w:hideMark/>
          </w:tcPr>
          <w:p w14:paraId="5A60ADBD" w14:textId="77777777" w:rsidR="007924B5" w:rsidRPr="0029055C" w:rsidRDefault="007924B5" w:rsidP="007924B5">
            <w:pPr>
              <w:spacing w:before="0" w:after="0" w:line="240" w:lineRule="auto"/>
              <w:jc w:val="center"/>
              <w:rPr>
                <w:sz w:val="16"/>
                <w:szCs w:val="16"/>
              </w:rPr>
            </w:pPr>
            <w:r w:rsidRPr="0029055C">
              <w:rPr>
                <w:sz w:val="16"/>
                <w:szCs w:val="16"/>
              </w:rPr>
              <w:t>0,18</w:t>
            </w:r>
          </w:p>
        </w:tc>
        <w:tc>
          <w:tcPr>
            <w:tcW w:w="472" w:type="pct"/>
            <w:shd w:val="clear" w:color="000000" w:fill="FFFFFF"/>
            <w:noWrap/>
            <w:vAlign w:val="center"/>
            <w:hideMark/>
          </w:tcPr>
          <w:p w14:paraId="49F60CD8" w14:textId="77777777" w:rsidR="007924B5" w:rsidRPr="0029055C" w:rsidRDefault="007924B5" w:rsidP="007924B5">
            <w:pPr>
              <w:spacing w:before="0" w:after="0" w:line="240" w:lineRule="auto"/>
              <w:jc w:val="right"/>
              <w:rPr>
                <w:sz w:val="16"/>
                <w:szCs w:val="16"/>
              </w:rPr>
            </w:pPr>
            <w:r w:rsidRPr="0029055C">
              <w:rPr>
                <w:sz w:val="16"/>
                <w:szCs w:val="16"/>
              </w:rPr>
              <w:t>657.951,00</w:t>
            </w:r>
          </w:p>
        </w:tc>
        <w:tc>
          <w:tcPr>
            <w:tcW w:w="293" w:type="pct"/>
            <w:shd w:val="clear" w:color="000000" w:fill="D9D9D9"/>
            <w:noWrap/>
            <w:vAlign w:val="center"/>
            <w:hideMark/>
          </w:tcPr>
          <w:p w14:paraId="7F57847F" w14:textId="77777777" w:rsidR="007924B5" w:rsidRPr="0029055C" w:rsidRDefault="007924B5" w:rsidP="007924B5">
            <w:pPr>
              <w:spacing w:before="0" w:after="0" w:line="240" w:lineRule="auto"/>
              <w:jc w:val="right"/>
              <w:rPr>
                <w:sz w:val="16"/>
                <w:szCs w:val="16"/>
              </w:rPr>
            </w:pPr>
            <w:r w:rsidRPr="0029055C">
              <w:rPr>
                <w:sz w:val="16"/>
                <w:szCs w:val="16"/>
              </w:rPr>
              <w:t>33,69%</w:t>
            </w:r>
          </w:p>
        </w:tc>
      </w:tr>
      <w:tr w:rsidR="007924B5" w:rsidRPr="0029055C" w14:paraId="52B4A876" w14:textId="77777777" w:rsidTr="007924B5">
        <w:trPr>
          <w:trHeight w:val="690"/>
        </w:trPr>
        <w:tc>
          <w:tcPr>
            <w:tcW w:w="1029" w:type="pct"/>
            <w:shd w:val="clear" w:color="000000" w:fill="DCE6F1"/>
            <w:vAlign w:val="bottom"/>
            <w:hideMark/>
          </w:tcPr>
          <w:p w14:paraId="47FE0B0C" w14:textId="77777777" w:rsidR="007924B5" w:rsidRPr="0029055C" w:rsidRDefault="007924B5" w:rsidP="007924B5">
            <w:pPr>
              <w:spacing w:before="0" w:after="0" w:line="240" w:lineRule="auto"/>
              <w:jc w:val="left"/>
              <w:rPr>
                <w:b/>
                <w:bCs/>
                <w:sz w:val="16"/>
                <w:szCs w:val="16"/>
              </w:rPr>
            </w:pPr>
            <w:r w:rsidRPr="0029055C">
              <w:rPr>
                <w:b/>
                <w:bCs/>
                <w:sz w:val="16"/>
                <w:szCs w:val="16"/>
              </w:rPr>
              <w:t xml:space="preserve">Σύνολο Άξονα 3. </w:t>
            </w:r>
            <w:r w:rsidRPr="0029055C">
              <w:rPr>
                <w:sz w:val="16"/>
                <w:szCs w:val="16"/>
              </w:rPr>
              <w:t>Διοικητική και οργανωτική μεταρρύθμιση για την αύξηση της αποδοτικότητας και αποτελεσματικότητας του Δημοσίου Τομέα στο ΝΟΤΙΟ ΑΙΓΑΙΟ</w:t>
            </w:r>
          </w:p>
        </w:tc>
        <w:tc>
          <w:tcPr>
            <w:tcW w:w="470" w:type="pct"/>
            <w:shd w:val="clear" w:color="000000" w:fill="DCE6F1"/>
            <w:noWrap/>
            <w:vAlign w:val="center"/>
            <w:hideMark/>
          </w:tcPr>
          <w:p w14:paraId="77FA9E3A" w14:textId="77777777" w:rsidR="007924B5" w:rsidRPr="0029055C" w:rsidRDefault="007924B5" w:rsidP="007924B5">
            <w:pPr>
              <w:spacing w:before="0" w:after="0" w:line="240" w:lineRule="auto"/>
              <w:jc w:val="right"/>
              <w:rPr>
                <w:b/>
                <w:bCs/>
                <w:sz w:val="16"/>
                <w:szCs w:val="16"/>
              </w:rPr>
            </w:pPr>
            <w:r w:rsidRPr="0029055C">
              <w:rPr>
                <w:b/>
                <w:bCs/>
                <w:sz w:val="16"/>
                <w:szCs w:val="16"/>
              </w:rPr>
              <w:t>1.953.067,00</w:t>
            </w:r>
          </w:p>
        </w:tc>
        <w:tc>
          <w:tcPr>
            <w:tcW w:w="806" w:type="pct"/>
            <w:shd w:val="clear" w:color="000000" w:fill="DCE6F1"/>
            <w:noWrap/>
            <w:vAlign w:val="center"/>
            <w:hideMark/>
          </w:tcPr>
          <w:p w14:paraId="64951339"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67" w:type="pct"/>
            <w:shd w:val="clear" w:color="000000" w:fill="DCE6F1"/>
            <w:noWrap/>
            <w:vAlign w:val="bottom"/>
            <w:hideMark/>
          </w:tcPr>
          <w:p w14:paraId="460F7129" w14:textId="77777777" w:rsidR="007924B5" w:rsidRPr="0029055C" w:rsidRDefault="007924B5" w:rsidP="007924B5">
            <w:pPr>
              <w:spacing w:before="0" w:after="0" w:line="240" w:lineRule="auto"/>
              <w:jc w:val="right"/>
              <w:rPr>
                <w:sz w:val="16"/>
                <w:szCs w:val="16"/>
              </w:rPr>
            </w:pPr>
            <w:r w:rsidRPr="0029055C">
              <w:rPr>
                <w:sz w:val="16"/>
                <w:szCs w:val="16"/>
              </w:rPr>
              <w:t> </w:t>
            </w:r>
          </w:p>
        </w:tc>
        <w:tc>
          <w:tcPr>
            <w:tcW w:w="1183" w:type="pct"/>
            <w:shd w:val="clear" w:color="000000" w:fill="DCE6F1"/>
            <w:noWrap/>
            <w:vAlign w:val="bottom"/>
            <w:hideMark/>
          </w:tcPr>
          <w:p w14:paraId="59750A9C"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280" w:type="pct"/>
            <w:shd w:val="clear" w:color="000000" w:fill="DCE6F1"/>
            <w:noWrap/>
            <w:vAlign w:val="bottom"/>
            <w:hideMark/>
          </w:tcPr>
          <w:p w14:paraId="7A24DEE8"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2" w:type="pct"/>
            <w:shd w:val="clear" w:color="000000" w:fill="DCE6F1"/>
            <w:noWrap/>
            <w:vAlign w:val="center"/>
            <w:hideMark/>
          </w:tcPr>
          <w:p w14:paraId="73885B1F" w14:textId="77777777" w:rsidR="007924B5" w:rsidRPr="0029055C" w:rsidRDefault="007924B5" w:rsidP="007924B5">
            <w:pPr>
              <w:spacing w:before="0" w:after="0" w:line="240" w:lineRule="auto"/>
              <w:jc w:val="right"/>
              <w:rPr>
                <w:b/>
                <w:bCs/>
                <w:sz w:val="16"/>
                <w:szCs w:val="16"/>
              </w:rPr>
            </w:pPr>
            <w:r w:rsidRPr="0029055C">
              <w:rPr>
                <w:b/>
                <w:bCs/>
                <w:sz w:val="16"/>
                <w:szCs w:val="16"/>
              </w:rPr>
              <w:t>1.242.796,00</w:t>
            </w:r>
          </w:p>
        </w:tc>
        <w:tc>
          <w:tcPr>
            <w:tcW w:w="293" w:type="pct"/>
            <w:shd w:val="clear" w:color="000000" w:fill="DCE6F1"/>
            <w:noWrap/>
            <w:vAlign w:val="center"/>
            <w:hideMark/>
          </w:tcPr>
          <w:p w14:paraId="511CA361" w14:textId="77777777" w:rsidR="007924B5" w:rsidRPr="0029055C" w:rsidRDefault="007924B5" w:rsidP="007924B5">
            <w:pPr>
              <w:spacing w:before="0" w:after="0" w:line="240" w:lineRule="auto"/>
              <w:jc w:val="right"/>
              <w:rPr>
                <w:b/>
                <w:bCs/>
                <w:sz w:val="16"/>
                <w:szCs w:val="16"/>
              </w:rPr>
            </w:pPr>
            <w:r w:rsidRPr="0029055C">
              <w:rPr>
                <w:b/>
                <w:bCs/>
                <w:sz w:val="16"/>
                <w:szCs w:val="16"/>
              </w:rPr>
              <w:t>63,63%</w:t>
            </w:r>
          </w:p>
        </w:tc>
      </w:tr>
      <w:tr w:rsidR="007924B5" w:rsidRPr="0029055C" w14:paraId="50DFDC27" w14:textId="77777777" w:rsidTr="007924B5">
        <w:trPr>
          <w:trHeight w:val="450"/>
        </w:trPr>
        <w:tc>
          <w:tcPr>
            <w:tcW w:w="1029" w:type="pct"/>
            <w:shd w:val="clear" w:color="000000" w:fill="D9D9D9"/>
            <w:noWrap/>
            <w:vAlign w:val="bottom"/>
            <w:hideMark/>
          </w:tcPr>
          <w:p w14:paraId="77AFAA1B"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291DB596"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restart"/>
            <w:shd w:val="clear" w:color="000000" w:fill="FFFFFF"/>
            <w:vAlign w:val="center"/>
            <w:hideMark/>
          </w:tcPr>
          <w:p w14:paraId="73CC04FE" w14:textId="77777777" w:rsidR="007924B5" w:rsidRPr="0029055C" w:rsidRDefault="007924B5" w:rsidP="007924B5">
            <w:pPr>
              <w:spacing w:before="0" w:after="0" w:line="240" w:lineRule="auto"/>
              <w:jc w:val="left"/>
              <w:rPr>
                <w:sz w:val="16"/>
                <w:szCs w:val="16"/>
              </w:rPr>
            </w:pPr>
            <w:r w:rsidRPr="0029055C">
              <w:rPr>
                <w:sz w:val="16"/>
                <w:szCs w:val="16"/>
              </w:rPr>
              <w:t xml:space="preserve">96 Θεσμική ικανότητα της δημόσιας διοίκησης και των δημόσιων υπηρεσιών ως προς την εφαρμογή του ΕΤΠΑ ή ενεργειών που στηρίζουν πρωτοβουλίες του ΕΚΤ για ανάπτυξη θεσμικής ικανότητας </w:t>
            </w:r>
          </w:p>
        </w:tc>
        <w:tc>
          <w:tcPr>
            <w:tcW w:w="467" w:type="pct"/>
            <w:vMerge w:val="restart"/>
            <w:shd w:val="clear" w:color="000000" w:fill="FFFFFF"/>
            <w:noWrap/>
            <w:vAlign w:val="center"/>
            <w:hideMark/>
          </w:tcPr>
          <w:p w14:paraId="74E88BBE" w14:textId="77777777" w:rsidR="007924B5" w:rsidRPr="0029055C" w:rsidRDefault="007924B5" w:rsidP="007924B5">
            <w:pPr>
              <w:spacing w:before="0" w:after="0" w:line="240" w:lineRule="auto"/>
              <w:jc w:val="center"/>
              <w:rPr>
                <w:sz w:val="16"/>
                <w:szCs w:val="16"/>
              </w:rPr>
            </w:pPr>
            <w:r w:rsidRPr="0029055C">
              <w:rPr>
                <w:sz w:val="16"/>
                <w:szCs w:val="16"/>
              </w:rPr>
              <w:t>280.848.367,00</w:t>
            </w:r>
          </w:p>
        </w:tc>
        <w:tc>
          <w:tcPr>
            <w:tcW w:w="1183" w:type="pct"/>
            <w:shd w:val="clear" w:color="auto" w:fill="auto"/>
            <w:vAlign w:val="center"/>
            <w:hideMark/>
          </w:tcPr>
          <w:p w14:paraId="1845E173" w14:textId="77777777" w:rsidR="007924B5" w:rsidRPr="0029055C" w:rsidRDefault="007924B5" w:rsidP="007924B5">
            <w:pPr>
              <w:spacing w:before="0" w:after="0" w:line="240" w:lineRule="auto"/>
              <w:jc w:val="left"/>
              <w:rPr>
                <w:sz w:val="16"/>
                <w:szCs w:val="16"/>
              </w:rPr>
            </w:pPr>
            <w:r w:rsidRPr="0029055C">
              <w:rPr>
                <w:sz w:val="16"/>
                <w:szCs w:val="16"/>
              </w:rPr>
              <w:t>T4627. Αριθμός έργων δημιουργίας ή αναβάθμισης συστημάτων ΤΠΕ για την υποστήριξη οριζόντιων λειτουργιών των δημόσιων φορέων</w:t>
            </w:r>
          </w:p>
        </w:tc>
        <w:tc>
          <w:tcPr>
            <w:tcW w:w="280" w:type="pct"/>
            <w:shd w:val="clear" w:color="000000" w:fill="FFFFFF"/>
            <w:noWrap/>
            <w:vAlign w:val="center"/>
            <w:hideMark/>
          </w:tcPr>
          <w:p w14:paraId="4BE6C222" w14:textId="77777777" w:rsidR="007924B5" w:rsidRPr="0029055C" w:rsidRDefault="007924B5" w:rsidP="007924B5">
            <w:pPr>
              <w:spacing w:before="0" w:after="0" w:line="240" w:lineRule="auto"/>
              <w:jc w:val="center"/>
              <w:rPr>
                <w:sz w:val="16"/>
                <w:szCs w:val="16"/>
              </w:rPr>
            </w:pPr>
            <w:r w:rsidRPr="0029055C">
              <w:rPr>
                <w:sz w:val="16"/>
                <w:szCs w:val="16"/>
              </w:rPr>
              <w:t>12,03</w:t>
            </w:r>
          </w:p>
        </w:tc>
        <w:tc>
          <w:tcPr>
            <w:tcW w:w="472" w:type="pct"/>
            <w:shd w:val="clear" w:color="000000" w:fill="FFFFFF"/>
            <w:noWrap/>
            <w:vAlign w:val="center"/>
            <w:hideMark/>
          </w:tcPr>
          <w:p w14:paraId="6EB26585" w14:textId="77777777" w:rsidR="007924B5" w:rsidRPr="0029055C" w:rsidRDefault="007924B5" w:rsidP="007924B5">
            <w:pPr>
              <w:spacing w:before="0" w:after="0" w:line="240" w:lineRule="auto"/>
              <w:jc w:val="right"/>
              <w:rPr>
                <w:sz w:val="16"/>
                <w:szCs w:val="16"/>
              </w:rPr>
            </w:pPr>
            <w:r w:rsidRPr="0029055C">
              <w:rPr>
                <w:sz w:val="16"/>
                <w:szCs w:val="16"/>
              </w:rPr>
              <w:t>83.262.768,00</w:t>
            </w:r>
          </w:p>
        </w:tc>
        <w:tc>
          <w:tcPr>
            <w:tcW w:w="293" w:type="pct"/>
            <w:shd w:val="clear" w:color="000000" w:fill="D9D9D9"/>
            <w:noWrap/>
            <w:vAlign w:val="center"/>
            <w:hideMark/>
          </w:tcPr>
          <w:p w14:paraId="4CED90FB" w14:textId="77777777" w:rsidR="007924B5" w:rsidRPr="0029055C" w:rsidRDefault="007924B5" w:rsidP="007924B5">
            <w:pPr>
              <w:spacing w:before="0" w:after="0" w:line="240" w:lineRule="auto"/>
              <w:jc w:val="right"/>
              <w:rPr>
                <w:sz w:val="16"/>
                <w:szCs w:val="16"/>
              </w:rPr>
            </w:pPr>
            <w:r w:rsidRPr="0029055C">
              <w:rPr>
                <w:sz w:val="16"/>
                <w:szCs w:val="16"/>
              </w:rPr>
              <w:t>29,65%</w:t>
            </w:r>
          </w:p>
        </w:tc>
      </w:tr>
      <w:tr w:rsidR="007924B5" w:rsidRPr="0029055C" w14:paraId="316F50AC" w14:textId="77777777" w:rsidTr="007924B5">
        <w:trPr>
          <w:trHeight w:val="450"/>
        </w:trPr>
        <w:tc>
          <w:tcPr>
            <w:tcW w:w="1029" w:type="pct"/>
            <w:shd w:val="clear" w:color="000000" w:fill="D9D9D9"/>
            <w:noWrap/>
            <w:vAlign w:val="bottom"/>
            <w:hideMark/>
          </w:tcPr>
          <w:p w14:paraId="370D9E62"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2081E3C1"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320B27E6"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710672A6"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1F69512E" w14:textId="77777777" w:rsidR="007924B5" w:rsidRPr="0029055C" w:rsidRDefault="007924B5" w:rsidP="007924B5">
            <w:pPr>
              <w:spacing w:before="0" w:after="0" w:line="240" w:lineRule="auto"/>
              <w:jc w:val="left"/>
              <w:rPr>
                <w:sz w:val="16"/>
                <w:szCs w:val="16"/>
              </w:rPr>
            </w:pPr>
            <w:r w:rsidRPr="0029055C">
              <w:rPr>
                <w:sz w:val="16"/>
                <w:szCs w:val="16"/>
              </w:rPr>
              <w:t>T4628. Αριθμός έργων ενίσχυσης της διαλειτουργικότητας μητρώων και υπηρεσιών του Δημόσιου Τομέα</w:t>
            </w:r>
          </w:p>
        </w:tc>
        <w:tc>
          <w:tcPr>
            <w:tcW w:w="280" w:type="pct"/>
            <w:shd w:val="clear" w:color="000000" w:fill="FFFFFF"/>
            <w:noWrap/>
            <w:vAlign w:val="center"/>
            <w:hideMark/>
          </w:tcPr>
          <w:p w14:paraId="265C0364" w14:textId="77777777" w:rsidR="007924B5" w:rsidRPr="0029055C" w:rsidRDefault="007924B5" w:rsidP="007924B5">
            <w:pPr>
              <w:spacing w:before="0" w:after="0" w:line="240" w:lineRule="auto"/>
              <w:jc w:val="center"/>
              <w:rPr>
                <w:sz w:val="16"/>
                <w:szCs w:val="16"/>
              </w:rPr>
            </w:pPr>
            <w:r w:rsidRPr="0029055C">
              <w:rPr>
                <w:sz w:val="16"/>
                <w:szCs w:val="16"/>
              </w:rPr>
              <w:t>8,33</w:t>
            </w:r>
          </w:p>
        </w:tc>
        <w:tc>
          <w:tcPr>
            <w:tcW w:w="472" w:type="pct"/>
            <w:shd w:val="clear" w:color="000000" w:fill="FFFFFF"/>
            <w:noWrap/>
            <w:vAlign w:val="center"/>
            <w:hideMark/>
          </w:tcPr>
          <w:p w14:paraId="32FAD737" w14:textId="77777777" w:rsidR="007924B5" w:rsidRPr="0029055C" w:rsidRDefault="007924B5" w:rsidP="007924B5">
            <w:pPr>
              <w:spacing w:before="0" w:after="0" w:line="240" w:lineRule="auto"/>
              <w:jc w:val="right"/>
              <w:rPr>
                <w:sz w:val="16"/>
                <w:szCs w:val="16"/>
              </w:rPr>
            </w:pPr>
            <w:r w:rsidRPr="0029055C">
              <w:rPr>
                <w:sz w:val="16"/>
                <w:szCs w:val="16"/>
              </w:rPr>
              <w:t>4.625.709,00</w:t>
            </w:r>
          </w:p>
        </w:tc>
        <w:tc>
          <w:tcPr>
            <w:tcW w:w="293" w:type="pct"/>
            <w:shd w:val="clear" w:color="000000" w:fill="D9D9D9"/>
            <w:noWrap/>
            <w:vAlign w:val="center"/>
            <w:hideMark/>
          </w:tcPr>
          <w:p w14:paraId="5C1F222F" w14:textId="77777777" w:rsidR="007924B5" w:rsidRPr="0029055C" w:rsidRDefault="007924B5" w:rsidP="007924B5">
            <w:pPr>
              <w:spacing w:before="0" w:after="0" w:line="240" w:lineRule="auto"/>
              <w:jc w:val="right"/>
              <w:rPr>
                <w:sz w:val="16"/>
                <w:szCs w:val="16"/>
              </w:rPr>
            </w:pPr>
            <w:r w:rsidRPr="0029055C">
              <w:rPr>
                <w:sz w:val="16"/>
                <w:szCs w:val="16"/>
              </w:rPr>
              <w:t>1,65%</w:t>
            </w:r>
          </w:p>
        </w:tc>
      </w:tr>
      <w:tr w:rsidR="007924B5" w:rsidRPr="0029055C" w14:paraId="0ED8297B" w14:textId="77777777" w:rsidTr="007924B5">
        <w:trPr>
          <w:trHeight w:val="450"/>
        </w:trPr>
        <w:tc>
          <w:tcPr>
            <w:tcW w:w="1029" w:type="pct"/>
            <w:shd w:val="clear" w:color="000000" w:fill="D9D9D9"/>
            <w:noWrap/>
            <w:vAlign w:val="bottom"/>
            <w:hideMark/>
          </w:tcPr>
          <w:p w14:paraId="1676AA08"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6165BCB0"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1704863B"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239E3431"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0744FC78" w14:textId="77777777" w:rsidR="007924B5" w:rsidRPr="0029055C" w:rsidRDefault="007924B5" w:rsidP="007924B5">
            <w:pPr>
              <w:spacing w:before="0" w:after="0" w:line="240" w:lineRule="auto"/>
              <w:jc w:val="left"/>
              <w:rPr>
                <w:sz w:val="16"/>
                <w:szCs w:val="16"/>
              </w:rPr>
            </w:pPr>
            <w:r w:rsidRPr="0029055C">
              <w:rPr>
                <w:sz w:val="16"/>
                <w:szCs w:val="16"/>
              </w:rPr>
              <w:t>T4630. Αριθμός έργων ανάπτυξης ή αναβάθμισης υπηρεσιών δημόσιας διοίκησης που παρέχονται πλήρως ηλεκτρονικά</w:t>
            </w:r>
          </w:p>
        </w:tc>
        <w:tc>
          <w:tcPr>
            <w:tcW w:w="280" w:type="pct"/>
            <w:shd w:val="clear" w:color="000000" w:fill="FFFFFF"/>
            <w:noWrap/>
            <w:vAlign w:val="center"/>
            <w:hideMark/>
          </w:tcPr>
          <w:p w14:paraId="7C9631B3" w14:textId="77777777" w:rsidR="007924B5" w:rsidRPr="0029055C" w:rsidRDefault="007924B5" w:rsidP="007924B5">
            <w:pPr>
              <w:spacing w:before="0" w:after="0" w:line="240" w:lineRule="auto"/>
              <w:jc w:val="center"/>
              <w:rPr>
                <w:sz w:val="16"/>
                <w:szCs w:val="16"/>
              </w:rPr>
            </w:pPr>
            <w:r w:rsidRPr="0029055C">
              <w:rPr>
                <w:sz w:val="16"/>
                <w:szCs w:val="16"/>
              </w:rPr>
              <w:t>3,70</w:t>
            </w:r>
          </w:p>
        </w:tc>
        <w:tc>
          <w:tcPr>
            <w:tcW w:w="472" w:type="pct"/>
            <w:shd w:val="clear" w:color="000000" w:fill="FFFFFF"/>
            <w:noWrap/>
            <w:vAlign w:val="center"/>
            <w:hideMark/>
          </w:tcPr>
          <w:p w14:paraId="28FDA361" w14:textId="77777777" w:rsidR="007924B5" w:rsidRPr="0029055C" w:rsidRDefault="007924B5" w:rsidP="007924B5">
            <w:pPr>
              <w:spacing w:before="0" w:after="0" w:line="240" w:lineRule="auto"/>
              <w:jc w:val="right"/>
              <w:rPr>
                <w:sz w:val="16"/>
                <w:szCs w:val="16"/>
              </w:rPr>
            </w:pPr>
            <w:r w:rsidRPr="0029055C">
              <w:rPr>
                <w:sz w:val="16"/>
                <w:szCs w:val="16"/>
              </w:rPr>
              <w:t>9.251.419,00</w:t>
            </w:r>
          </w:p>
        </w:tc>
        <w:tc>
          <w:tcPr>
            <w:tcW w:w="293" w:type="pct"/>
            <w:shd w:val="clear" w:color="000000" w:fill="D9D9D9"/>
            <w:noWrap/>
            <w:vAlign w:val="center"/>
            <w:hideMark/>
          </w:tcPr>
          <w:p w14:paraId="257183C0" w14:textId="77777777" w:rsidR="007924B5" w:rsidRPr="0029055C" w:rsidRDefault="007924B5" w:rsidP="007924B5">
            <w:pPr>
              <w:spacing w:before="0" w:after="0" w:line="240" w:lineRule="auto"/>
              <w:jc w:val="right"/>
              <w:rPr>
                <w:sz w:val="16"/>
                <w:szCs w:val="16"/>
              </w:rPr>
            </w:pPr>
            <w:r w:rsidRPr="0029055C">
              <w:rPr>
                <w:sz w:val="16"/>
                <w:szCs w:val="16"/>
              </w:rPr>
              <w:t>3,29%</w:t>
            </w:r>
          </w:p>
        </w:tc>
      </w:tr>
      <w:tr w:rsidR="007924B5" w:rsidRPr="0029055C" w14:paraId="36E32D7D" w14:textId="77777777" w:rsidTr="007924B5">
        <w:trPr>
          <w:trHeight w:val="675"/>
        </w:trPr>
        <w:tc>
          <w:tcPr>
            <w:tcW w:w="1029" w:type="pct"/>
            <w:shd w:val="clear" w:color="000000" w:fill="D9D9D9"/>
            <w:noWrap/>
            <w:vAlign w:val="bottom"/>
            <w:hideMark/>
          </w:tcPr>
          <w:p w14:paraId="15BC072A"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696B8190"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5C567110"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7B3C6766"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5757A62B" w14:textId="77777777" w:rsidR="007924B5" w:rsidRPr="0029055C" w:rsidRDefault="007924B5" w:rsidP="007924B5">
            <w:pPr>
              <w:spacing w:before="0" w:after="0" w:line="240" w:lineRule="auto"/>
              <w:jc w:val="left"/>
              <w:rPr>
                <w:sz w:val="16"/>
                <w:szCs w:val="16"/>
              </w:rPr>
            </w:pPr>
            <w:r w:rsidRPr="0029055C">
              <w:rPr>
                <w:sz w:val="16"/>
                <w:szCs w:val="16"/>
              </w:rPr>
              <w:t>T4632. Αριθμός έργων ΤΠΕ που υποστηρίζουν την αναβάθμιση της λειτουργίας τομέων προτεραιότητας του ΕΠ για την παροχή υπηρεσιών προς πολίτες</w:t>
            </w:r>
          </w:p>
        </w:tc>
        <w:tc>
          <w:tcPr>
            <w:tcW w:w="280" w:type="pct"/>
            <w:shd w:val="clear" w:color="000000" w:fill="FFFFFF"/>
            <w:noWrap/>
            <w:vAlign w:val="center"/>
            <w:hideMark/>
          </w:tcPr>
          <w:p w14:paraId="588EB209" w14:textId="77777777" w:rsidR="007924B5" w:rsidRPr="0029055C" w:rsidRDefault="007924B5" w:rsidP="007924B5">
            <w:pPr>
              <w:spacing w:before="0" w:after="0" w:line="240" w:lineRule="auto"/>
              <w:jc w:val="center"/>
              <w:rPr>
                <w:sz w:val="16"/>
                <w:szCs w:val="16"/>
              </w:rPr>
            </w:pPr>
            <w:r w:rsidRPr="0029055C">
              <w:rPr>
                <w:sz w:val="16"/>
                <w:szCs w:val="16"/>
              </w:rPr>
              <w:t>12,03</w:t>
            </w:r>
          </w:p>
        </w:tc>
        <w:tc>
          <w:tcPr>
            <w:tcW w:w="472" w:type="pct"/>
            <w:shd w:val="clear" w:color="000000" w:fill="FFFFFF"/>
            <w:noWrap/>
            <w:vAlign w:val="center"/>
            <w:hideMark/>
          </w:tcPr>
          <w:p w14:paraId="7550EB1E" w14:textId="77777777" w:rsidR="007924B5" w:rsidRPr="0029055C" w:rsidRDefault="007924B5" w:rsidP="007924B5">
            <w:pPr>
              <w:spacing w:before="0" w:after="0" w:line="240" w:lineRule="auto"/>
              <w:jc w:val="right"/>
              <w:rPr>
                <w:sz w:val="16"/>
                <w:szCs w:val="16"/>
              </w:rPr>
            </w:pPr>
            <w:r w:rsidRPr="0029055C">
              <w:rPr>
                <w:sz w:val="16"/>
                <w:szCs w:val="16"/>
              </w:rPr>
              <w:t>46.257.094,00</w:t>
            </w:r>
          </w:p>
        </w:tc>
        <w:tc>
          <w:tcPr>
            <w:tcW w:w="293" w:type="pct"/>
            <w:shd w:val="clear" w:color="000000" w:fill="D9D9D9"/>
            <w:noWrap/>
            <w:vAlign w:val="center"/>
            <w:hideMark/>
          </w:tcPr>
          <w:p w14:paraId="3C58D4A9" w14:textId="77777777" w:rsidR="007924B5" w:rsidRPr="0029055C" w:rsidRDefault="007924B5" w:rsidP="007924B5">
            <w:pPr>
              <w:spacing w:before="0" w:after="0" w:line="240" w:lineRule="auto"/>
              <w:jc w:val="right"/>
              <w:rPr>
                <w:sz w:val="16"/>
                <w:szCs w:val="16"/>
              </w:rPr>
            </w:pPr>
            <w:r w:rsidRPr="0029055C">
              <w:rPr>
                <w:sz w:val="16"/>
                <w:szCs w:val="16"/>
              </w:rPr>
              <w:t>16,47%</w:t>
            </w:r>
          </w:p>
        </w:tc>
      </w:tr>
      <w:tr w:rsidR="007924B5" w:rsidRPr="0029055C" w14:paraId="45F4CEF2" w14:textId="77777777" w:rsidTr="007924B5">
        <w:trPr>
          <w:trHeight w:val="465"/>
        </w:trPr>
        <w:tc>
          <w:tcPr>
            <w:tcW w:w="1029" w:type="pct"/>
            <w:shd w:val="clear" w:color="000000" w:fill="DCE6F1"/>
            <w:vAlign w:val="bottom"/>
            <w:hideMark/>
          </w:tcPr>
          <w:p w14:paraId="4454E2EF" w14:textId="77777777" w:rsidR="007924B5" w:rsidRPr="0029055C" w:rsidRDefault="007924B5" w:rsidP="007924B5">
            <w:pPr>
              <w:spacing w:before="0" w:after="0" w:line="240" w:lineRule="auto"/>
              <w:jc w:val="left"/>
              <w:rPr>
                <w:b/>
                <w:bCs/>
                <w:sz w:val="16"/>
                <w:szCs w:val="16"/>
              </w:rPr>
            </w:pPr>
            <w:r w:rsidRPr="0029055C">
              <w:rPr>
                <w:b/>
                <w:bCs/>
                <w:sz w:val="16"/>
                <w:szCs w:val="16"/>
              </w:rPr>
              <w:t xml:space="preserve">Σύνολο Άξονα 4. </w:t>
            </w:r>
            <w:r w:rsidRPr="0029055C">
              <w:rPr>
                <w:sz w:val="16"/>
                <w:szCs w:val="16"/>
              </w:rPr>
              <w:t>Ενίσχυση της Ηλεκτρονικής Διακυβέρνησης στις 11 περιφέρειες</w:t>
            </w:r>
          </w:p>
        </w:tc>
        <w:tc>
          <w:tcPr>
            <w:tcW w:w="470" w:type="pct"/>
            <w:shd w:val="clear" w:color="000000" w:fill="DCE6F1"/>
            <w:noWrap/>
            <w:vAlign w:val="center"/>
            <w:hideMark/>
          </w:tcPr>
          <w:p w14:paraId="0792D274" w14:textId="77777777" w:rsidR="007924B5" w:rsidRPr="0029055C" w:rsidRDefault="007924B5" w:rsidP="007924B5">
            <w:pPr>
              <w:spacing w:before="0" w:after="0" w:line="240" w:lineRule="auto"/>
              <w:jc w:val="right"/>
              <w:rPr>
                <w:b/>
                <w:bCs/>
                <w:sz w:val="16"/>
                <w:szCs w:val="16"/>
              </w:rPr>
            </w:pPr>
            <w:r w:rsidRPr="0029055C">
              <w:rPr>
                <w:b/>
                <w:bCs/>
                <w:sz w:val="16"/>
                <w:szCs w:val="16"/>
              </w:rPr>
              <w:t>280.848.367,00</w:t>
            </w:r>
          </w:p>
        </w:tc>
        <w:tc>
          <w:tcPr>
            <w:tcW w:w="806" w:type="pct"/>
            <w:shd w:val="clear" w:color="000000" w:fill="DCE6F1"/>
            <w:noWrap/>
            <w:vAlign w:val="center"/>
            <w:hideMark/>
          </w:tcPr>
          <w:p w14:paraId="26A067A3"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67" w:type="pct"/>
            <w:shd w:val="clear" w:color="000000" w:fill="DCE6F1"/>
            <w:noWrap/>
            <w:vAlign w:val="bottom"/>
            <w:hideMark/>
          </w:tcPr>
          <w:p w14:paraId="72B4943B" w14:textId="77777777" w:rsidR="007924B5" w:rsidRPr="0029055C" w:rsidRDefault="007924B5" w:rsidP="007924B5">
            <w:pPr>
              <w:spacing w:before="0" w:after="0" w:line="240" w:lineRule="auto"/>
              <w:jc w:val="right"/>
              <w:rPr>
                <w:sz w:val="16"/>
                <w:szCs w:val="16"/>
              </w:rPr>
            </w:pPr>
            <w:r w:rsidRPr="0029055C">
              <w:rPr>
                <w:sz w:val="16"/>
                <w:szCs w:val="16"/>
              </w:rPr>
              <w:t> </w:t>
            </w:r>
          </w:p>
        </w:tc>
        <w:tc>
          <w:tcPr>
            <w:tcW w:w="1183" w:type="pct"/>
            <w:shd w:val="clear" w:color="000000" w:fill="DCE6F1"/>
            <w:noWrap/>
            <w:vAlign w:val="bottom"/>
            <w:hideMark/>
          </w:tcPr>
          <w:p w14:paraId="14A7883C"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280" w:type="pct"/>
            <w:shd w:val="clear" w:color="000000" w:fill="DCE6F1"/>
            <w:noWrap/>
            <w:vAlign w:val="bottom"/>
            <w:hideMark/>
          </w:tcPr>
          <w:p w14:paraId="7A220F61"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2" w:type="pct"/>
            <w:shd w:val="clear" w:color="000000" w:fill="DCE6F1"/>
            <w:noWrap/>
            <w:vAlign w:val="center"/>
            <w:hideMark/>
          </w:tcPr>
          <w:p w14:paraId="07B4F52D" w14:textId="77777777" w:rsidR="007924B5" w:rsidRPr="0029055C" w:rsidRDefault="007924B5" w:rsidP="007924B5">
            <w:pPr>
              <w:spacing w:before="0" w:after="0" w:line="240" w:lineRule="auto"/>
              <w:jc w:val="right"/>
              <w:rPr>
                <w:b/>
                <w:bCs/>
                <w:sz w:val="16"/>
                <w:szCs w:val="16"/>
              </w:rPr>
            </w:pPr>
            <w:r w:rsidRPr="0029055C">
              <w:rPr>
                <w:b/>
                <w:bCs/>
                <w:sz w:val="16"/>
                <w:szCs w:val="16"/>
              </w:rPr>
              <w:t>143.396.990,00</w:t>
            </w:r>
          </w:p>
        </w:tc>
        <w:tc>
          <w:tcPr>
            <w:tcW w:w="293" w:type="pct"/>
            <w:shd w:val="clear" w:color="000000" w:fill="DCE6F1"/>
            <w:noWrap/>
            <w:vAlign w:val="center"/>
            <w:hideMark/>
          </w:tcPr>
          <w:p w14:paraId="442E796B" w14:textId="77777777" w:rsidR="007924B5" w:rsidRPr="0029055C" w:rsidRDefault="007924B5" w:rsidP="007924B5">
            <w:pPr>
              <w:spacing w:before="0" w:after="0" w:line="240" w:lineRule="auto"/>
              <w:jc w:val="right"/>
              <w:rPr>
                <w:b/>
                <w:bCs/>
                <w:sz w:val="16"/>
                <w:szCs w:val="16"/>
              </w:rPr>
            </w:pPr>
            <w:r w:rsidRPr="0029055C">
              <w:rPr>
                <w:b/>
                <w:bCs/>
                <w:sz w:val="16"/>
                <w:szCs w:val="16"/>
              </w:rPr>
              <w:t>51,06%</w:t>
            </w:r>
          </w:p>
        </w:tc>
      </w:tr>
      <w:tr w:rsidR="007924B5" w:rsidRPr="0029055C" w14:paraId="669D44EB" w14:textId="77777777" w:rsidTr="007924B5">
        <w:trPr>
          <w:trHeight w:val="450"/>
        </w:trPr>
        <w:tc>
          <w:tcPr>
            <w:tcW w:w="1029" w:type="pct"/>
            <w:shd w:val="clear" w:color="000000" w:fill="D9D9D9"/>
            <w:noWrap/>
            <w:vAlign w:val="bottom"/>
            <w:hideMark/>
          </w:tcPr>
          <w:p w14:paraId="5BB3E1EB"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1EEEE391"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restart"/>
            <w:shd w:val="clear" w:color="000000" w:fill="FFFFFF"/>
            <w:vAlign w:val="center"/>
            <w:hideMark/>
          </w:tcPr>
          <w:p w14:paraId="4D9CFA6E" w14:textId="77777777" w:rsidR="007924B5" w:rsidRPr="0029055C" w:rsidRDefault="007924B5" w:rsidP="007924B5">
            <w:pPr>
              <w:spacing w:before="0" w:after="0" w:line="240" w:lineRule="auto"/>
              <w:jc w:val="left"/>
              <w:rPr>
                <w:sz w:val="16"/>
                <w:szCs w:val="16"/>
              </w:rPr>
            </w:pPr>
            <w:r w:rsidRPr="0029055C">
              <w:rPr>
                <w:sz w:val="16"/>
                <w:szCs w:val="16"/>
              </w:rPr>
              <w:t xml:space="preserve">96 Θεσμική ικανότητα της δημόσιας διοίκησης και των δημόσιων υπηρεσιών ως προς την εφαρμογή του ΕΤΠΑ ή ενεργειών που στηρίζουν πρωτοβουλίες του ΕΚΤ για ανάπτυξη θεσμικής ικανότητας </w:t>
            </w:r>
          </w:p>
        </w:tc>
        <w:tc>
          <w:tcPr>
            <w:tcW w:w="467" w:type="pct"/>
            <w:vMerge w:val="restart"/>
            <w:shd w:val="clear" w:color="000000" w:fill="FFFFFF"/>
            <w:noWrap/>
            <w:vAlign w:val="center"/>
            <w:hideMark/>
          </w:tcPr>
          <w:p w14:paraId="1A40361D" w14:textId="77777777" w:rsidR="007924B5" w:rsidRPr="0029055C" w:rsidRDefault="007924B5" w:rsidP="007924B5">
            <w:pPr>
              <w:spacing w:before="0" w:after="0" w:line="240" w:lineRule="auto"/>
              <w:jc w:val="center"/>
              <w:rPr>
                <w:sz w:val="16"/>
                <w:szCs w:val="16"/>
              </w:rPr>
            </w:pPr>
            <w:r w:rsidRPr="0029055C">
              <w:rPr>
                <w:sz w:val="16"/>
                <w:szCs w:val="16"/>
              </w:rPr>
              <w:t>15.250.554,00</w:t>
            </w:r>
          </w:p>
        </w:tc>
        <w:tc>
          <w:tcPr>
            <w:tcW w:w="1183" w:type="pct"/>
            <w:shd w:val="clear" w:color="auto" w:fill="auto"/>
            <w:vAlign w:val="center"/>
            <w:hideMark/>
          </w:tcPr>
          <w:p w14:paraId="2C68BC72" w14:textId="77777777" w:rsidR="007924B5" w:rsidRPr="0029055C" w:rsidRDefault="007924B5" w:rsidP="007924B5">
            <w:pPr>
              <w:spacing w:before="0" w:after="0" w:line="240" w:lineRule="auto"/>
              <w:jc w:val="left"/>
              <w:rPr>
                <w:sz w:val="16"/>
                <w:szCs w:val="16"/>
              </w:rPr>
            </w:pPr>
            <w:r w:rsidRPr="0029055C">
              <w:rPr>
                <w:sz w:val="16"/>
                <w:szCs w:val="16"/>
              </w:rPr>
              <w:t>T4627. Αριθμός έργων δημιουργίας ή αναβάθμισης συστημάτων ΤΠΕ για την υποστήριξη οριζόντιων λειτουργιών των δημόσιων φορέων</w:t>
            </w:r>
          </w:p>
        </w:tc>
        <w:tc>
          <w:tcPr>
            <w:tcW w:w="280" w:type="pct"/>
            <w:shd w:val="clear" w:color="000000" w:fill="FFFFFF"/>
            <w:noWrap/>
            <w:vAlign w:val="center"/>
            <w:hideMark/>
          </w:tcPr>
          <w:p w14:paraId="491226F3" w14:textId="77777777" w:rsidR="007924B5" w:rsidRPr="0029055C" w:rsidRDefault="007924B5" w:rsidP="007924B5">
            <w:pPr>
              <w:spacing w:before="0" w:after="0" w:line="240" w:lineRule="auto"/>
              <w:jc w:val="center"/>
              <w:rPr>
                <w:sz w:val="16"/>
                <w:szCs w:val="16"/>
              </w:rPr>
            </w:pPr>
            <w:r w:rsidRPr="0029055C">
              <w:rPr>
                <w:sz w:val="16"/>
                <w:szCs w:val="16"/>
              </w:rPr>
              <w:t>0,65</w:t>
            </w:r>
          </w:p>
        </w:tc>
        <w:tc>
          <w:tcPr>
            <w:tcW w:w="472" w:type="pct"/>
            <w:shd w:val="clear" w:color="000000" w:fill="FFFFFF"/>
            <w:noWrap/>
            <w:vAlign w:val="center"/>
            <w:hideMark/>
          </w:tcPr>
          <w:p w14:paraId="586D0155" w14:textId="77777777" w:rsidR="007924B5" w:rsidRPr="0029055C" w:rsidRDefault="007924B5" w:rsidP="007924B5">
            <w:pPr>
              <w:spacing w:before="0" w:after="0" w:line="240" w:lineRule="auto"/>
              <w:jc w:val="right"/>
              <w:rPr>
                <w:sz w:val="16"/>
                <w:szCs w:val="16"/>
              </w:rPr>
            </w:pPr>
            <w:r w:rsidRPr="0029055C">
              <w:rPr>
                <w:sz w:val="16"/>
                <w:szCs w:val="16"/>
              </w:rPr>
              <w:t>4.521.313,00</w:t>
            </w:r>
          </w:p>
        </w:tc>
        <w:tc>
          <w:tcPr>
            <w:tcW w:w="293" w:type="pct"/>
            <w:shd w:val="clear" w:color="000000" w:fill="D9D9D9"/>
            <w:noWrap/>
            <w:vAlign w:val="center"/>
            <w:hideMark/>
          </w:tcPr>
          <w:p w14:paraId="68D8F789" w14:textId="77777777" w:rsidR="007924B5" w:rsidRPr="0029055C" w:rsidRDefault="007924B5" w:rsidP="007924B5">
            <w:pPr>
              <w:spacing w:before="0" w:after="0" w:line="240" w:lineRule="auto"/>
              <w:jc w:val="right"/>
              <w:rPr>
                <w:sz w:val="16"/>
                <w:szCs w:val="16"/>
              </w:rPr>
            </w:pPr>
            <w:r w:rsidRPr="0029055C">
              <w:rPr>
                <w:sz w:val="16"/>
                <w:szCs w:val="16"/>
              </w:rPr>
              <w:t>29,65%</w:t>
            </w:r>
          </w:p>
        </w:tc>
      </w:tr>
      <w:tr w:rsidR="007924B5" w:rsidRPr="0029055C" w14:paraId="47B80E82" w14:textId="77777777" w:rsidTr="007924B5">
        <w:trPr>
          <w:trHeight w:val="450"/>
        </w:trPr>
        <w:tc>
          <w:tcPr>
            <w:tcW w:w="1029" w:type="pct"/>
            <w:shd w:val="clear" w:color="000000" w:fill="D9D9D9"/>
            <w:noWrap/>
            <w:vAlign w:val="bottom"/>
            <w:hideMark/>
          </w:tcPr>
          <w:p w14:paraId="3A69D8C4"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09ADB88A"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688D37BC"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0CA00A95"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72C29D17" w14:textId="77777777" w:rsidR="007924B5" w:rsidRPr="0029055C" w:rsidRDefault="007924B5" w:rsidP="007924B5">
            <w:pPr>
              <w:spacing w:before="0" w:after="0" w:line="240" w:lineRule="auto"/>
              <w:jc w:val="left"/>
              <w:rPr>
                <w:sz w:val="16"/>
                <w:szCs w:val="16"/>
              </w:rPr>
            </w:pPr>
            <w:r w:rsidRPr="0029055C">
              <w:rPr>
                <w:sz w:val="16"/>
                <w:szCs w:val="16"/>
              </w:rPr>
              <w:t>T4628. Αριθμός έργων ενίσχυσης της διαλειτουργικότητας μητρώων και υπηρεσιών του Δημόσιου Τομέα</w:t>
            </w:r>
          </w:p>
        </w:tc>
        <w:tc>
          <w:tcPr>
            <w:tcW w:w="280" w:type="pct"/>
            <w:shd w:val="clear" w:color="000000" w:fill="FFFFFF"/>
            <w:noWrap/>
            <w:vAlign w:val="center"/>
            <w:hideMark/>
          </w:tcPr>
          <w:p w14:paraId="2F116694" w14:textId="77777777" w:rsidR="007924B5" w:rsidRPr="0029055C" w:rsidRDefault="007924B5" w:rsidP="007924B5">
            <w:pPr>
              <w:spacing w:before="0" w:after="0" w:line="240" w:lineRule="auto"/>
              <w:jc w:val="center"/>
              <w:rPr>
                <w:sz w:val="16"/>
                <w:szCs w:val="16"/>
              </w:rPr>
            </w:pPr>
            <w:r w:rsidRPr="0029055C">
              <w:rPr>
                <w:sz w:val="16"/>
                <w:szCs w:val="16"/>
              </w:rPr>
              <w:t>0,45</w:t>
            </w:r>
          </w:p>
        </w:tc>
        <w:tc>
          <w:tcPr>
            <w:tcW w:w="472" w:type="pct"/>
            <w:shd w:val="clear" w:color="000000" w:fill="FFFFFF"/>
            <w:noWrap/>
            <w:vAlign w:val="center"/>
            <w:hideMark/>
          </w:tcPr>
          <w:p w14:paraId="499912E8" w14:textId="77777777" w:rsidR="007924B5" w:rsidRPr="0029055C" w:rsidRDefault="007924B5" w:rsidP="007924B5">
            <w:pPr>
              <w:spacing w:before="0" w:after="0" w:line="240" w:lineRule="auto"/>
              <w:jc w:val="right"/>
              <w:rPr>
                <w:sz w:val="16"/>
                <w:szCs w:val="16"/>
              </w:rPr>
            </w:pPr>
            <w:r w:rsidRPr="0029055C">
              <w:rPr>
                <w:sz w:val="16"/>
                <w:szCs w:val="16"/>
              </w:rPr>
              <w:t>251.184,00</w:t>
            </w:r>
          </w:p>
        </w:tc>
        <w:tc>
          <w:tcPr>
            <w:tcW w:w="293" w:type="pct"/>
            <w:shd w:val="clear" w:color="000000" w:fill="D9D9D9"/>
            <w:noWrap/>
            <w:vAlign w:val="center"/>
            <w:hideMark/>
          </w:tcPr>
          <w:p w14:paraId="107731A4" w14:textId="77777777" w:rsidR="007924B5" w:rsidRPr="0029055C" w:rsidRDefault="007924B5" w:rsidP="007924B5">
            <w:pPr>
              <w:spacing w:before="0" w:after="0" w:line="240" w:lineRule="auto"/>
              <w:jc w:val="right"/>
              <w:rPr>
                <w:sz w:val="16"/>
                <w:szCs w:val="16"/>
              </w:rPr>
            </w:pPr>
            <w:r w:rsidRPr="0029055C">
              <w:rPr>
                <w:sz w:val="16"/>
                <w:szCs w:val="16"/>
              </w:rPr>
              <w:t>1,65%</w:t>
            </w:r>
          </w:p>
        </w:tc>
      </w:tr>
      <w:tr w:rsidR="007924B5" w:rsidRPr="0029055C" w14:paraId="218E147D" w14:textId="77777777" w:rsidTr="007924B5">
        <w:trPr>
          <w:trHeight w:val="450"/>
        </w:trPr>
        <w:tc>
          <w:tcPr>
            <w:tcW w:w="1029" w:type="pct"/>
            <w:shd w:val="clear" w:color="000000" w:fill="D9D9D9"/>
            <w:noWrap/>
            <w:vAlign w:val="bottom"/>
            <w:hideMark/>
          </w:tcPr>
          <w:p w14:paraId="7B117853"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684205F4"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47EB60F2"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2BF2EEB2"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21BBE0C8" w14:textId="77777777" w:rsidR="007924B5" w:rsidRPr="0029055C" w:rsidRDefault="007924B5" w:rsidP="007924B5">
            <w:pPr>
              <w:spacing w:before="0" w:after="0" w:line="240" w:lineRule="auto"/>
              <w:jc w:val="left"/>
              <w:rPr>
                <w:sz w:val="16"/>
                <w:szCs w:val="16"/>
              </w:rPr>
            </w:pPr>
            <w:r w:rsidRPr="0029055C">
              <w:rPr>
                <w:sz w:val="16"/>
                <w:szCs w:val="16"/>
              </w:rPr>
              <w:t>T4630. Αριθμός έργων ανάπτυξης ή αναβάθμισης υπηρεσιών δημόσιας διοίκησης που παρέχονται πλήρως ηλεκτρονικά</w:t>
            </w:r>
          </w:p>
        </w:tc>
        <w:tc>
          <w:tcPr>
            <w:tcW w:w="280" w:type="pct"/>
            <w:shd w:val="clear" w:color="000000" w:fill="FFFFFF"/>
            <w:noWrap/>
            <w:vAlign w:val="center"/>
            <w:hideMark/>
          </w:tcPr>
          <w:p w14:paraId="3FAB2263" w14:textId="77777777" w:rsidR="007924B5" w:rsidRPr="0029055C" w:rsidRDefault="007924B5" w:rsidP="007924B5">
            <w:pPr>
              <w:spacing w:before="0" w:after="0" w:line="240" w:lineRule="auto"/>
              <w:jc w:val="center"/>
              <w:rPr>
                <w:sz w:val="16"/>
                <w:szCs w:val="16"/>
              </w:rPr>
            </w:pPr>
            <w:r w:rsidRPr="0029055C">
              <w:rPr>
                <w:sz w:val="16"/>
                <w:szCs w:val="16"/>
              </w:rPr>
              <w:t>0,20</w:t>
            </w:r>
          </w:p>
        </w:tc>
        <w:tc>
          <w:tcPr>
            <w:tcW w:w="472" w:type="pct"/>
            <w:shd w:val="clear" w:color="000000" w:fill="FFFFFF"/>
            <w:noWrap/>
            <w:vAlign w:val="center"/>
            <w:hideMark/>
          </w:tcPr>
          <w:p w14:paraId="2352FF9E" w14:textId="77777777" w:rsidR="007924B5" w:rsidRPr="0029055C" w:rsidRDefault="007924B5" w:rsidP="007924B5">
            <w:pPr>
              <w:spacing w:before="0" w:after="0" w:line="240" w:lineRule="auto"/>
              <w:jc w:val="right"/>
              <w:rPr>
                <w:sz w:val="16"/>
                <w:szCs w:val="16"/>
              </w:rPr>
            </w:pPr>
            <w:r w:rsidRPr="0029055C">
              <w:rPr>
                <w:sz w:val="16"/>
                <w:szCs w:val="16"/>
              </w:rPr>
              <w:t>502.368,00</w:t>
            </w:r>
          </w:p>
        </w:tc>
        <w:tc>
          <w:tcPr>
            <w:tcW w:w="293" w:type="pct"/>
            <w:shd w:val="clear" w:color="000000" w:fill="D9D9D9"/>
            <w:noWrap/>
            <w:vAlign w:val="center"/>
            <w:hideMark/>
          </w:tcPr>
          <w:p w14:paraId="42250719" w14:textId="77777777" w:rsidR="007924B5" w:rsidRPr="0029055C" w:rsidRDefault="007924B5" w:rsidP="007924B5">
            <w:pPr>
              <w:spacing w:before="0" w:after="0" w:line="240" w:lineRule="auto"/>
              <w:jc w:val="right"/>
              <w:rPr>
                <w:sz w:val="16"/>
                <w:szCs w:val="16"/>
              </w:rPr>
            </w:pPr>
            <w:r w:rsidRPr="0029055C">
              <w:rPr>
                <w:sz w:val="16"/>
                <w:szCs w:val="16"/>
              </w:rPr>
              <w:t>3,29%</w:t>
            </w:r>
          </w:p>
        </w:tc>
      </w:tr>
      <w:tr w:rsidR="007924B5" w:rsidRPr="0029055C" w14:paraId="231F74FA" w14:textId="77777777" w:rsidTr="007924B5">
        <w:trPr>
          <w:trHeight w:val="675"/>
        </w:trPr>
        <w:tc>
          <w:tcPr>
            <w:tcW w:w="1029" w:type="pct"/>
            <w:shd w:val="clear" w:color="000000" w:fill="D9D9D9"/>
            <w:noWrap/>
            <w:vAlign w:val="bottom"/>
            <w:hideMark/>
          </w:tcPr>
          <w:p w14:paraId="62B4C10C"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4B5EC7B2"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0E1FC571"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73E6485B"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6472AFC3" w14:textId="77777777" w:rsidR="007924B5" w:rsidRPr="0029055C" w:rsidRDefault="007924B5" w:rsidP="007924B5">
            <w:pPr>
              <w:spacing w:before="0" w:after="0" w:line="240" w:lineRule="auto"/>
              <w:jc w:val="left"/>
              <w:rPr>
                <w:sz w:val="16"/>
                <w:szCs w:val="16"/>
              </w:rPr>
            </w:pPr>
            <w:r w:rsidRPr="0029055C">
              <w:rPr>
                <w:sz w:val="16"/>
                <w:szCs w:val="16"/>
              </w:rPr>
              <w:t xml:space="preserve">T4632. Αριθμός έργων ΤΠΕ που υποστηρίζουν την αναβάθμιση της λειτουργίας τομέων </w:t>
            </w:r>
            <w:r w:rsidRPr="0029055C">
              <w:rPr>
                <w:sz w:val="16"/>
                <w:szCs w:val="16"/>
              </w:rPr>
              <w:lastRenderedPageBreak/>
              <w:t>προτεραιότητας του ΕΠ για την παροχή υπηρεσιών προς πολίτες</w:t>
            </w:r>
          </w:p>
        </w:tc>
        <w:tc>
          <w:tcPr>
            <w:tcW w:w="280" w:type="pct"/>
            <w:shd w:val="clear" w:color="000000" w:fill="FFFFFF"/>
            <w:noWrap/>
            <w:vAlign w:val="center"/>
            <w:hideMark/>
          </w:tcPr>
          <w:p w14:paraId="1ECDAA7A" w14:textId="77777777" w:rsidR="007924B5" w:rsidRPr="0029055C" w:rsidRDefault="007924B5" w:rsidP="007924B5">
            <w:pPr>
              <w:spacing w:before="0" w:after="0" w:line="240" w:lineRule="auto"/>
              <w:jc w:val="center"/>
              <w:rPr>
                <w:sz w:val="16"/>
                <w:szCs w:val="16"/>
              </w:rPr>
            </w:pPr>
            <w:r w:rsidRPr="0029055C">
              <w:rPr>
                <w:sz w:val="16"/>
                <w:szCs w:val="16"/>
              </w:rPr>
              <w:lastRenderedPageBreak/>
              <w:t>0,65</w:t>
            </w:r>
          </w:p>
        </w:tc>
        <w:tc>
          <w:tcPr>
            <w:tcW w:w="472" w:type="pct"/>
            <w:shd w:val="clear" w:color="000000" w:fill="FFFFFF"/>
            <w:noWrap/>
            <w:vAlign w:val="center"/>
            <w:hideMark/>
          </w:tcPr>
          <w:p w14:paraId="5311CD9B" w14:textId="77777777" w:rsidR="007924B5" w:rsidRPr="0029055C" w:rsidRDefault="007924B5" w:rsidP="007924B5">
            <w:pPr>
              <w:spacing w:before="0" w:after="0" w:line="240" w:lineRule="auto"/>
              <w:jc w:val="right"/>
              <w:rPr>
                <w:sz w:val="16"/>
                <w:szCs w:val="16"/>
              </w:rPr>
            </w:pPr>
            <w:r w:rsidRPr="0029055C">
              <w:rPr>
                <w:sz w:val="16"/>
                <w:szCs w:val="16"/>
              </w:rPr>
              <w:t>2.511.840,00</w:t>
            </w:r>
          </w:p>
        </w:tc>
        <w:tc>
          <w:tcPr>
            <w:tcW w:w="293" w:type="pct"/>
            <w:shd w:val="clear" w:color="000000" w:fill="D9D9D9"/>
            <w:noWrap/>
            <w:vAlign w:val="center"/>
            <w:hideMark/>
          </w:tcPr>
          <w:p w14:paraId="6D09917E" w14:textId="77777777" w:rsidR="007924B5" w:rsidRPr="0029055C" w:rsidRDefault="007924B5" w:rsidP="007924B5">
            <w:pPr>
              <w:spacing w:before="0" w:after="0" w:line="240" w:lineRule="auto"/>
              <w:jc w:val="right"/>
              <w:rPr>
                <w:sz w:val="16"/>
                <w:szCs w:val="16"/>
              </w:rPr>
            </w:pPr>
            <w:r w:rsidRPr="0029055C">
              <w:rPr>
                <w:sz w:val="16"/>
                <w:szCs w:val="16"/>
              </w:rPr>
              <w:t>16,47%</w:t>
            </w:r>
          </w:p>
        </w:tc>
      </w:tr>
      <w:tr w:rsidR="007924B5" w:rsidRPr="0029055C" w14:paraId="00BB6BC8" w14:textId="77777777" w:rsidTr="007924B5">
        <w:trPr>
          <w:trHeight w:val="465"/>
        </w:trPr>
        <w:tc>
          <w:tcPr>
            <w:tcW w:w="1029" w:type="pct"/>
            <w:shd w:val="clear" w:color="000000" w:fill="DCE6F1"/>
            <w:vAlign w:val="bottom"/>
            <w:hideMark/>
          </w:tcPr>
          <w:p w14:paraId="08D76B5F" w14:textId="77777777" w:rsidR="007924B5" w:rsidRPr="0029055C" w:rsidRDefault="007924B5" w:rsidP="007924B5">
            <w:pPr>
              <w:spacing w:before="0" w:after="0" w:line="240" w:lineRule="auto"/>
              <w:jc w:val="left"/>
              <w:rPr>
                <w:b/>
                <w:bCs/>
                <w:sz w:val="16"/>
                <w:szCs w:val="16"/>
              </w:rPr>
            </w:pPr>
            <w:r w:rsidRPr="0029055C">
              <w:rPr>
                <w:b/>
                <w:bCs/>
                <w:sz w:val="16"/>
                <w:szCs w:val="16"/>
              </w:rPr>
              <w:t xml:space="preserve">Σύνολο Άξονα 5. </w:t>
            </w:r>
            <w:r w:rsidRPr="0029055C">
              <w:rPr>
                <w:sz w:val="16"/>
                <w:szCs w:val="16"/>
              </w:rPr>
              <w:t>Ενίσχυση της Ηλεκτρονικής Διακυβέρνησης στη ΣΤΕΡΕΑ ΕΛΛΑΔΑ</w:t>
            </w:r>
          </w:p>
        </w:tc>
        <w:tc>
          <w:tcPr>
            <w:tcW w:w="470" w:type="pct"/>
            <w:shd w:val="clear" w:color="000000" w:fill="DCE6F1"/>
            <w:noWrap/>
            <w:vAlign w:val="center"/>
            <w:hideMark/>
          </w:tcPr>
          <w:p w14:paraId="4B3ED91A" w14:textId="77777777" w:rsidR="007924B5" w:rsidRPr="0029055C" w:rsidRDefault="007924B5" w:rsidP="007924B5">
            <w:pPr>
              <w:spacing w:before="0" w:after="0" w:line="240" w:lineRule="auto"/>
              <w:jc w:val="right"/>
              <w:rPr>
                <w:b/>
                <w:bCs/>
                <w:sz w:val="16"/>
                <w:szCs w:val="16"/>
              </w:rPr>
            </w:pPr>
            <w:r w:rsidRPr="0029055C">
              <w:rPr>
                <w:b/>
                <w:bCs/>
                <w:sz w:val="16"/>
                <w:szCs w:val="16"/>
              </w:rPr>
              <w:t>15.250.554,00</w:t>
            </w:r>
          </w:p>
        </w:tc>
        <w:tc>
          <w:tcPr>
            <w:tcW w:w="806" w:type="pct"/>
            <w:shd w:val="clear" w:color="000000" w:fill="DCE6F1"/>
            <w:noWrap/>
            <w:vAlign w:val="center"/>
            <w:hideMark/>
          </w:tcPr>
          <w:p w14:paraId="451BA01F"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67" w:type="pct"/>
            <w:shd w:val="clear" w:color="000000" w:fill="DCE6F1"/>
            <w:noWrap/>
            <w:vAlign w:val="bottom"/>
            <w:hideMark/>
          </w:tcPr>
          <w:p w14:paraId="4FDAB1C2" w14:textId="77777777" w:rsidR="007924B5" w:rsidRPr="0029055C" w:rsidRDefault="007924B5" w:rsidP="007924B5">
            <w:pPr>
              <w:spacing w:before="0" w:after="0" w:line="240" w:lineRule="auto"/>
              <w:jc w:val="right"/>
              <w:rPr>
                <w:sz w:val="16"/>
                <w:szCs w:val="16"/>
              </w:rPr>
            </w:pPr>
            <w:r w:rsidRPr="0029055C">
              <w:rPr>
                <w:sz w:val="16"/>
                <w:szCs w:val="16"/>
              </w:rPr>
              <w:t> </w:t>
            </w:r>
          </w:p>
        </w:tc>
        <w:tc>
          <w:tcPr>
            <w:tcW w:w="1183" w:type="pct"/>
            <w:shd w:val="clear" w:color="000000" w:fill="DCE6F1"/>
            <w:noWrap/>
            <w:vAlign w:val="bottom"/>
            <w:hideMark/>
          </w:tcPr>
          <w:p w14:paraId="13E239EB"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280" w:type="pct"/>
            <w:shd w:val="clear" w:color="000000" w:fill="DCE6F1"/>
            <w:noWrap/>
            <w:vAlign w:val="bottom"/>
            <w:hideMark/>
          </w:tcPr>
          <w:p w14:paraId="68D4A910"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2" w:type="pct"/>
            <w:shd w:val="clear" w:color="000000" w:fill="DCE6F1"/>
            <w:noWrap/>
            <w:vAlign w:val="center"/>
            <w:hideMark/>
          </w:tcPr>
          <w:p w14:paraId="4166A999" w14:textId="77777777" w:rsidR="007924B5" w:rsidRPr="0029055C" w:rsidRDefault="007924B5" w:rsidP="007924B5">
            <w:pPr>
              <w:spacing w:before="0" w:after="0" w:line="240" w:lineRule="auto"/>
              <w:jc w:val="right"/>
              <w:rPr>
                <w:b/>
                <w:bCs/>
                <w:sz w:val="16"/>
                <w:szCs w:val="16"/>
              </w:rPr>
            </w:pPr>
            <w:r w:rsidRPr="0029055C">
              <w:rPr>
                <w:b/>
                <w:bCs/>
                <w:sz w:val="16"/>
                <w:szCs w:val="16"/>
              </w:rPr>
              <w:t>7.786.705,00</w:t>
            </w:r>
          </w:p>
        </w:tc>
        <w:tc>
          <w:tcPr>
            <w:tcW w:w="293" w:type="pct"/>
            <w:shd w:val="clear" w:color="000000" w:fill="DCE6F1"/>
            <w:noWrap/>
            <w:vAlign w:val="center"/>
            <w:hideMark/>
          </w:tcPr>
          <w:p w14:paraId="1A8523CF" w14:textId="77777777" w:rsidR="007924B5" w:rsidRPr="0029055C" w:rsidRDefault="007924B5" w:rsidP="007924B5">
            <w:pPr>
              <w:spacing w:before="0" w:after="0" w:line="240" w:lineRule="auto"/>
              <w:jc w:val="right"/>
              <w:rPr>
                <w:b/>
                <w:bCs/>
                <w:sz w:val="16"/>
                <w:szCs w:val="16"/>
              </w:rPr>
            </w:pPr>
            <w:r w:rsidRPr="0029055C">
              <w:rPr>
                <w:b/>
                <w:bCs/>
                <w:sz w:val="16"/>
                <w:szCs w:val="16"/>
              </w:rPr>
              <w:t>51,06%</w:t>
            </w:r>
          </w:p>
        </w:tc>
      </w:tr>
      <w:tr w:rsidR="007924B5" w:rsidRPr="0029055C" w14:paraId="5D0418B6" w14:textId="77777777" w:rsidTr="007924B5">
        <w:trPr>
          <w:trHeight w:val="450"/>
        </w:trPr>
        <w:tc>
          <w:tcPr>
            <w:tcW w:w="1029" w:type="pct"/>
            <w:shd w:val="clear" w:color="000000" w:fill="D9D9D9"/>
            <w:noWrap/>
            <w:vAlign w:val="bottom"/>
            <w:hideMark/>
          </w:tcPr>
          <w:p w14:paraId="3122983F"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17377265"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restart"/>
            <w:shd w:val="clear" w:color="000000" w:fill="FFFFFF"/>
            <w:vAlign w:val="center"/>
            <w:hideMark/>
          </w:tcPr>
          <w:p w14:paraId="452C52F0" w14:textId="77777777" w:rsidR="007924B5" w:rsidRPr="0029055C" w:rsidRDefault="007924B5" w:rsidP="007924B5">
            <w:pPr>
              <w:spacing w:before="0" w:after="0" w:line="240" w:lineRule="auto"/>
              <w:jc w:val="left"/>
              <w:rPr>
                <w:sz w:val="16"/>
                <w:szCs w:val="16"/>
              </w:rPr>
            </w:pPr>
            <w:r w:rsidRPr="0029055C">
              <w:rPr>
                <w:sz w:val="16"/>
                <w:szCs w:val="16"/>
              </w:rPr>
              <w:t xml:space="preserve">96 Θεσμική ικανότητα της δημόσιας διοίκησης και των δημόσιων υπηρεσιών ως προς την εφαρμογή του ΕΤΠΑ ή ενεργειών που στηρίζουν πρωτοβουλίες του ΕΚΤ για ανάπτυξη θεσμικής ικανότητας </w:t>
            </w:r>
          </w:p>
        </w:tc>
        <w:tc>
          <w:tcPr>
            <w:tcW w:w="467" w:type="pct"/>
            <w:vMerge w:val="restart"/>
            <w:shd w:val="clear" w:color="000000" w:fill="FFFFFF"/>
            <w:noWrap/>
            <w:vAlign w:val="center"/>
            <w:hideMark/>
          </w:tcPr>
          <w:p w14:paraId="507692E5" w14:textId="77777777" w:rsidR="007924B5" w:rsidRPr="0029055C" w:rsidRDefault="007924B5" w:rsidP="007924B5">
            <w:pPr>
              <w:spacing w:before="0" w:after="0" w:line="240" w:lineRule="auto"/>
              <w:jc w:val="center"/>
              <w:rPr>
                <w:sz w:val="16"/>
                <w:szCs w:val="16"/>
              </w:rPr>
            </w:pPr>
            <w:r w:rsidRPr="0029055C">
              <w:rPr>
                <w:sz w:val="16"/>
                <w:szCs w:val="16"/>
              </w:rPr>
              <w:t>7.474.378,00</w:t>
            </w:r>
          </w:p>
        </w:tc>
        <w:tc>
          <w:tcPr>
            <w:tcW w:w="1183" w:type="pct"/>
            <w:shd w:val="clear" w:color="auto" w:fill="auto"/>
            <w:vAlign w:val="center"/>
            <w:hideMark/>
          </w:tcPr>
          <w:p w14:paraId="6FEE4B48" w14:textId="77777777" w:rsidR="007924B5" w:rsidRPr="0029055C" w:rsidRDefault="007924B5" w:rsidP="007924B5">
            <w:pPr>
              <w:spacing w:before="0" w:after="0" w:line="240" w:lineRule="auto"/>
              <w:jc w:val="left"/>
              <w:rPr>
                <w:sz w:val="16"/>
                <w:szCs w:val="16"/>
              </w:rPr>
            </w:pPr>
            <w:r w:rsidRPr="0029055C">
              <w:rPr>
                <w:sz w:val="16"/>
                <w:szCs w:val="16"/>
              </w:rPr>
              <w:t>T4627. Αριθμός έργων δημιουργίας ή αναβάθμισης συστημάτων ΤΠΕ για την υποστήριξη οριζόντιων λειτουργιών των δημόσιων φορέων</w:t>
            </w:r>
          </w:p>
        </w:tc>
        <w:tc>
          <w:tcPr>
            <w:tcW w:w="280" w:type="pct"/>
            <w:shd w:val="clear" w:color="000000" w:fill="FFFFFF"/>
            <w:noWrap/>
            <w:vAlign w:val="center"/>
            <w:hideMark/>
          </w:tcPr>
          <w:p w14:paraId="23CAFF2C" w14:textId="77777777" w:rsidR="007924B5" w:rsidRPr="0029055C" w:rsidRDefault="007924B5" w:rsidP="007924B5">
            <w:pPr>
              <w:spacing w:before="0" w:after="0" w:line="240" w:lineRule="auto"/>
              <w:jc w:val="center"/>
              <w:rPr>
                <w:sz w:val="16"/>
                <w:szCs w:val="16"/>
              </w:rPr>
            </w:pPr>
            <w:r w:rsidRPr="0029055C">
              <w:rPr>
                <w:sz w:val="16"/>
                <w:szCs w:val="16"/>
              </w:rPr>
              <w:t>0,32</w:t>
            </w:r>
          </w:p>
        </w:tc>
        <w:tc>
          <w:tcPr>
            <w:tcW w:w="472" w:type="pct"/>
            <w:shd w:val="clear" w:color="000000" w:fill="FFFFFF"/>
            <w:noWrap/>
            <w:vAlign w:val="center"/>
            <w:hideMark/>
          </w:tcPr>
          <w:p w14:paraId="3DABF1C2" w14:textId="77777777" w:rsidR="007924B5" w:rsidRPr="0029055C" w:rsidRDefault="007924B5" w:rsidP="007924B5">
            <w:pPr>
              <w:spacing w:before="0" w:after="0" w:line="240" w:lineRule="auto"/>
              <w:jc w:val="right"/>
              <w:rPr>
                <w:sz w:val="16"/>
                <w:szCs w:val="16"/>
              </w:rPr>
            </w:pPr>
            <w:r w:rsidRPr="0029055C">
              <w:rPr>
                <w:sz w:val="16"/>
                <w:szCs w:val="16"/>
              </w:rPr>
              <w:t>2.215.919,00</w:t>
            </w:r>
          </w:p>
        </w:tc>
        <w:tc>
          <w:tcPr>
            <w:tcW w:w="293" w:type="pct"/>
            <w:shd w:val="clear" w:color="000000" w:fill="D9D9D9"/>
            <w:noWrap/>
            <w:vAlign w:val="center"/>
            <w:hideMark/>
          </w:tcPr>
          <w:p w14:paraId="086670DA" w14:textId="77777777" w:rsidR="007924B5" w:rsidRPr="0029055C" w:rsidRDefault="007924B5" w:rsidP="007924B5">
            <w:pPr>
              <w:spacing w:before="0" w:after="0" w:line="240" w:lineRule="auto"/>
              <w:jc w:val="right"/>
              <w:rPr>
                <w:sz w:val="16"/>
                <w:szCs w:val="16"/>
              </w:rPr>
            </w:pPr>
            <w:r w:rsidRPr="0029055C">
              <w:rPr>
                <w:sz w:val="16"/>
                <w:szCs w:val="16"/>
              </w:rPr>
              <w:t>29,65%</w:t>
            </w:r>
          </w:p>
        </w:tc>
      </w:tr>
      <w:tr w:rsidR="007924B5" w:rsidRPr="0029055C" w14:paraId="7F642F70" w14:textId="77777777" w:rsidTr="007924B5">
        <w:trPr>
          <w:trHeight w:val="450"/>
        </w:trPr>
        <w:tc>
          <w:tcPr>
            <w:tcW w:w="1029" w:type="pct"/>
            <w:shd w:val="clear" w:color="000000" w:fill="D9D9D9"/>
            <w:noWrap/>
            <w:vAlign w:val="bottom"/>
            <w:hideMark/>
          </w:tcPr>
          <w:p w14:paraId="0134DCD5"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64087B45"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346DE022"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763C4407"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010AABEB" w14:textId="77777777" w:rsidR="007924B5" w:rsidRPr="0029055C" w:rsidRDefault="007924B5" w:rsidP="007924B5">
            <w:pPr>
              <w:spacing w:before="0" w:after="0" w:line="240" w:lineRule="auto"/>
              <w:jc w:val="left"/>
              <w:rPr>
                <w:sz w:val="16"/>
                <w:szCs w:val="16"/>
              </w:rPr>
            </w:pPr>
            <w:r w:rsidRPr="0029055C">
              <w:rPr>
                <w:sz w:val="16"/>
                <w:szCs w:val="16"/>
              </w:rPr>
              <w:t>T4628. Αριθμός έργων ενίσχυσης της διαλειτουργικότητας μητρώων και υπηρεσιών του Δημόσιου Τομέα</w:t>
            </w:r>
          </w:p>
        </w:tc>
        <w:tc>
          <w:tcPr>
            <w:tcW w:w="280" w:type="pct"/>
            <w:shd w:val="clear" w:color="000000" w:fill="FFFFFF"/>
            <w:noWrap/>
            <w:vAlign w:val="center"/>
            <w:hideMark/>
          </w:tcPr>
          <w:p w14:paraId="11721517" w14:textId="77777777" w:rsidR="007924B5" w:rsidRPr="0029055C" w:rsidRDefault="007924B5" w:rsidP="007924B5">
            <w:pPr>
              <w:spacing w:before="0" w:after="0" w:line="240" w:lineRule="auto"/>
              <w:jc w:val="center"/>
              <w:rPr>
                <w:sz w:val="16"/>
                <w:szCs w:val="16"/>
              </w:rPr>
            </w:pPr>
            <w:r w:rsidRPr="0029055C">
              <w:rPr>
                <w:sz w:val="16"/>
                <w:szCs w:val="16"/>
              </w:rPr>
              <w:t>0,22</w:t>
            </w:r>
          </w:p>
        </w:tc>
        <w:tc>
          <w:tcPr>
            <w:tcW w:w="472" w:type="pct"/>
            <w:shd w:val="clear" w:color="000000" w:fill="FFFFFF"/>
            <w:noWrap/>
            <w:vAlign w:val="center"/>
            <w:hideMark/>
          </w:tcPr>
          <w:p w14:paraId="609FC81B" w14:textId="77777777" w:rsidR="007924B5" w:rsidRPr="0029055C" w:rsidRDefault="007924B5" w:rsidP="007924B5">
            <w:pPr>
              <w:spacing w:before="0" w:after="0" w:line="240" w:lineRule="auto"/>
              <w:jc w:val="right"/>
              <w:rPr>
                <w:sz w:val="16"/>
                <w:szCs w:val="16"/>
              </w:rPr>
            </w:pPr>
            <w:r w:rsidRPr="0029055C">
              <w:rPr>
                <w:sz w:val="16"/>
                <w:szCs w:val="16"/>
              </w:rPr>
              <w:t>123.107,00</w:t>
            </w:r>
          </w:p>
        </w:tc>
        <w:tc>
          <w:tcPr>
            <w:tcW w:w="293" w:type="pct"/>
            <w:shd w:val="clear" w:color="000000" w:fill="D9D9D9"/>
            <w:noWrap/>
            <w:vAlign w:val="center"/>
            <w:hideMark/>
          </w:tcPr>
          <w:p w14:paraId="6CCC945A" w14:textId="77777777" w:rsidR="007924B5" w:rsidRPr="0029055C" w:rsidRDefault="007924B5" w:rsidP="007924B5">
            <w:pPr>
              <w:spacing w:before="0" w:after="0" w:line="240" w:lineRule="auto"/>
              <w:jc w:val="right"/>
              <w:rPr>
                <w:sz w:val="16"/>
                <w:szCs w:val="16"/>
              </w:rPr>
            </w:pPr>
            <w:r w:rsidRPr="0029055C">
              <w:rPr>
                <w:sz w:val="16"/>
                <w:szCs w:val="16"/>
              </w:rPr>
              <w:t>1,65%</w:t>
            </w:r>
          </w:p>
        </w:tc>
      </w:tr>
      <w:tr w:rsidR="007924B5" w:rsidRPr="0029055C" w14:paraId="7E85789D" w14:textId="77777777" w:rsidTr="007924B5">
        <w:trPr>
          <w:trHeight w:val="450"/>
        </w:trPr>
        <w:tc>
          <w:tcPr>
            <w:tcW w:w="1029" w:type="pct"/>
            <w:shd w:val="clear" w:color="000000" w:fill="D9D9D9"/>
            <w:noWrap/>
            <w:vAlign w:val="bottom"/>
            <w:hideMark/>
          </w:tcPr>
          <w:p w14:paraId="417CC782"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6AFEAEC0"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4782E480"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0384D9F2"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1AA9CB6B" w14:textId="77777777" w:rsidR="007924B5" w:rsidRPr="0029055C" w:rsidRDefault="007924B5" w:rsidP="007924B5">
            <w:pPr>
              <w:spacing w:before="0" w:after="0" w:line="240" w:lineRule="auto"/>
              <w:jc w:val="left"/>
              <w:rPr>
                <w:sz w:val="16"/>
                <w:szCs w:val="16"/>
              </w:rPr>
            </w:pPr>
            <w:r w:rsidRPr="0029055C">
              <w:rPr>
                <w:sz w:val="16"/>
                <w:szCs w:val="16"/>
              </w:rPr>
              <w:t>T4630. Αριθμός έργων ανάπτυξης ή αναβάθμισης υπηρεσιών δημόσιας διοίκησης που παρέχονται πλήρως ηλεκτρονικά</w:t>
            </w:r>
          </w:p>
        </w:tc>
        <w:tc>
          <w:tcPr>
            <w:tcW w:w="280" w:type="pct"/>
            <w:shd w:val="clear" w:color="000000" w:fill="FFFFFF"/>
            <w:noWrap/>
            <w:vAlign w:val="center"/>
            <w:hideMark/>
          </w:tcPr>
          <w:p w14:paraId="7EED8BAD" w14:textId="77777777" w:rsidR="007924B5" w:rsidRPr="0029055C" w:rsidRDefault="007924B5" w:rsidP="007924B5">
            <w:pPr>
              <w:spacing w:before="0" w:after="0" w:line="240" w:lineRule="auto"/>
              <w:jc w:val="center"/>
              <w:rPr>
                <w:sz w:val="16"/>
                <w:szCs w:val="16"/>
              </w:rPr>
            </w:pPr>
            <w:r w:rsidRPr="0029055C">
              <w:rPr>
                <w:sz w:val="16"/>
                <w:szCs w:val="16"/>
              </w:rPr>
              <w:t>0,09</w:t>
            </w:r>
          </w:p>
        </w:tc>
        <w:tc>
          <w:tcPr>
            <w:tcW w:w="472" w:type="pct"/>
            <w:shd w:val="clear" w:color="000000" w:fill="FFFFFF"/>
            <w:noWrap/>
            <w:vAlign w:val="center"/>
            <w:hideMark/>
          </w:tcPr>
          <w:p w14:paraId="7A147ACF" w14:textId="77777777" w:rsidR="007924B5" w:rsidRPr="0029055C" w:rsidRDefault="007924B5" w:rsidP="007924B5">
            <w:pPr>
              <w:spacing w:before="0" w:after="0" w:line="240" w:lineRule="auto"/>
              <w:jc w:val="right"/>
              <w:rPr>
                <w:sz w:val="16"/>
                <w:szCs w:val="16"/>
              </w:rPr>
            </w:pPr>
            <w:r w:rsidRPr="0029055C">
              <w:rPr>
                <w:sz w:val="16"/>
                <w:szCs w:val="16"/>
              </w:rPr>
              <w:t>246.213,00</w:t>
            </w:r>
          </w:p>
        </w:tc>
        <w:tc>
          <w:tcPr>
            <w:tcW w:w="293" w:type="pct"/>
            <w:shd w:val="clear" w:color="000000" w:fill="D9D9D9"/>
            <w:noWrap/>
            <w:vAlign w:val="center"/>
            <w:hideMark/>
          </w:tcPr>
          <w:p w14:paraId="7EB846EA" w14:textId="77777777" w:rsidR="007924B5" w:rsidRPr="0029055C" w:rsidRDefault="007924B5" w:rsidP="007924B5">
            <w:pPr>
              <w:spacing w:before="0" w:after="0" w:line="240" w:lineRule="auto"/>
              <w:jc w:val="right"/>
              <w:rPr>
                <w:sz w:val="16"/>
                <w:szCs w:val="16"/>
              </w:rPr>
            </w:pPr>
            <w:r w:rsidRPr="0029055C">
              <w:rPr>
                <w:sz w:val="16"/>
                <w:szCs w:val="16"/>
              </w:rPr>
              <w:t>3,29%</w:t>
            </w:r>
          </w:p>
        </w:tc>
      </w:tr>
      <w:tr w:rsidR="007924B5" w:rsidRPr="0029055C" w14:paraId="2E85CAEE" w14:textId="77777777" w:rsidTr="007924B5">
        <w:trPr>
          <w:trHeight w:val="675"/>
        </w:trPr>
        <w:tc>
          <w:tcPr>
            <w:tcW w:w="1029" w:type="pct"/>
            <w:shd w:val="clear" w:color="000000" w:fill="D9D9D9"/>
            <w:noWrap/>
            <w:vAlign w:val="bottom"/>
            <w:hideMark/>
          </w:tcPr>
          <w:p w14:paraId="617117BE"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4AA8C5D7"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47BA9F93"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5D889567"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5BD889CD" w14:textId="77777777" w:rsidR="007924B5" w:rsidRPr="0029055C" w:rsidRDefault="007924B5" w:rsidP="007924B5">
            <w:pPr>
              <w:spacing w:before="0" w:after="0" w:line="240" w:lineRule="auto"/>
              <w:jc w:val="left"/>
              <w:rPr>
                <w:sz w:val="16"/>
                <w:szCs w:val="16"/>
              </w:rPr>
            </w:pPr>
            <w:r w:rsidRPr="0029055C">
              <w:rPr>
                <w:sz w:val="16"/>
                <w:szCs w:val="16"/>
              </w:rPr>
              <w:t>T4632. Αριθμός έργων ΤΠΕ που υποστηρίζουν την αναβάθμιση της λειτουργίας τομέων προτεραιότητας του ΕΠ για την παροχή υπηρεσιών προς πολίτες</w:t>
            </w:r>
          </w:p>
        </w:tc>
        <w:tc>
          <w:tcPr>
            <w:tcW w:w="280" w:type="pct"/>
            <w:shd w:val="clear" w:color="000000" w:fill="FFFFFF"/>
            <w:noWrap/>
            <w:vAlign w:val="center"/>
            <w:hideMark/>
          </w:tcPr>
          <w:p w14:paraId="1D2B6134" w14:textId="77777777" w:rsidR="007924B5" w:rsidRPr="0029055C" w:rsidRDefault="007924B5" w:rsidP="007924B5">
            <w:pPr>
              <w:spacing w:before="0" w:after="0" w:line="240" w:lineRule="auto"/>
              <w:jc w:val="center"/>
              <w:rPr>
                <w:sz w:val="16"/>
                <w:szCs w:val="16"/>
              </w:rPr>
            </w:pPr>
            <w:r w:rsidRPr="0029055C">
              <w:rPr>
                <w:sz w:val="16"/>
                <w:szCs w:val="16"/>
              </w:rPr>
              <w:t>0,32</w:t>
            </w:r>
          </w:p>
        </w:tc>
        <w:tc>
          <w:tcPr>
            <w:tcW w:w="472" w:type="pct"/>
            <w:shd w:val="clear" w:color="000000" w:fill="FFFFFF"/>
            <w:noWrap/>
            <w:vAlign w:val="center"/>
            <w:hideMark/>
          </w:tcPr>
          <w:p w14:paraId="243CD8AA" w14:textId="77777777" w:rsidR="007924B5" w:rsidRPr="0029055C" w:rsidRDefault="007924B5" w:rsidP="007924B5">
            <w:pPr>
              <w:spacing w:before="0" w:after="0" w:line="240" w:lineRule="auto"/>
              <w:jc w:val="right"/>
              <w:rPr>
                <w:sz w:val="16"/>
                <w:szCs w:val="16"/>
              </w:rPr>
            </w:pPr>
            <w:r w:rsidRPr="0029055C">
              <w:rPr>
                <w:sz w:val="16"/>
                <w:szCs w:val="16"/>
              </w:rPr>
              <w:t>1.231.066,00</w:t>
            </w:r>
          </w:p>
        </w:tc>
        <w:tc>
          <w:tcPr>
            <w:tcW w:w="293" w:type="pct"/>
            <w:shd w:val="clear" w:color="000000" w:fill="D9D9D9"/>
            <w:noWrap/>
            <w:vAlign w:val="center"/>
            <w:hideMark/>
          </w:tcPr>
          <w:p w14:paraId="4D50C441" w14:textId="77777777" w:rsidR="007924B5" w:rsidRPr="0029055C" w:rsidRDefault="007924B5" w:rsidP="007924B5">
            <w:pPr>
              <w:spacing w:before="0" w:after="0" w:line="240" w:lineRule="auto"/>
              <w:jc w:val="right"/>
              <w:rPr>
                <w:sz w:val="16"/>
                <w:szCs w:val="16"/>
              </w:rPr>
            </w:pPr>
            <w:r w:rsidRPr="0029055C">
              <w:rPr>
                <w:sz w:val="16"/>
                <w:szCs w:val="16"/>
              </w:rPr>
              <w:t>16,47%</w:t>
            </w:r>
          </w:p>
        </w:tc>
      </w:tr>
      <w:tr w:rsidR="007924B5" w:rsidRPr="0029055C" w14:paraId="60C5C8C5" w14:textId="77777777" w:rsidTr="007924B5">
        <w:trPr>
          <w:trHeight w:val="465"/>
        </w:trPr>
        <w:tc>
          <w:tcPr>
            <w:tcW w:w="1029" w:type="pct"/>
            <w:shd w:val="clear" w:color="000000" w:fill="DCE6F1"/>
            <w:vAlign w:val="bottom"/>
            <w:hideMark/>
          </w:tcPr>
          <w:p w14:paraId="5DC6D3B7" w14:textId="77777777" w:rsidR="007924B5" w:rsidRPr="0029055C" w:rsidRDefault="007924B5" w:rsidP="007924B5">
            <w:pPr>
              <w:spacing w:before="0" w:after="0" w:line="240" w:lineRule="auto"/>
              <w:jc w:val="left"/>
              <w:rPr>
                <w:b/>
                <w:bCs/>
                <w:sz w:val="16"/>
                <w:szCs w:val="16"/>
              </w:rPr>
            </w:pPr>
            <w:r w:rsidRPr="0029055C">
              <w:rPr>
                <w:b/>
                <w:bCs/>
                <w:sz w:val="16"/>
                <w:szCs w:val="16"/>
              </w:rPr>
              <w:t xml:space="preserve">Σύνολο Άξονα 6. </w:t>
            </w:r>
            <w:r w:rsidRPr="0029055C">
              <w:rPr>
                <w:sz w:val="16"/>
                <w:szCs w:val="16"/>
              </w:rPr>
              <w:t>Ενίσχυση της Ηλεκτρονικής Διακυβέρνησης στο ΝΟΤΙΟ ΑΙΓΑΙΟ</w:t>
            </w:r>
          </w:p>
        </w:tc>
        <w:tc>
          <w:tcPr>
            <w:tcW w:w="470" w:type="pct"/>
            <w:shd w:val="clear" w:color="000000" w:fill="DCE6F1"/>
            <w:noWrap/>
            <w:vAlign w:val="center"/>
            <w:hideMark/>
          </w:tcPr>
          <w:p w14:paraId="2FB509B8" w14:textId="77777777" w:rsidR="007924B5" w:rsidRPr="0029055C" w:rsidRDefault="007924B5" w:rsidP="007924B5">
            <w:pPr>
              <w:spacing w:before="0" w:after="0" w:line="240" w:lineRule="auto"/>
              <w:jc w:val="right"/>
              <w:rPr>
                <w:b/>
                <w:bCs/>
                <w:sz w:val="16"/>
                <w:szCs w:val="16"/>
              </w:rPr>
            </w:pPr>
            <w:r w:rsidRPr="0029055C">
              <w:rPr>
                <w:b/>
                <w:bCs/>
                <w:sz w:val="16"/>
                <w:szCs w:val="16"/>
              </w:rPr>
              <w:t>7.474.378,00</w:t>
            </w:r>
          </w:p>
        </w:tc>
        <w:tc>
          <w:tcPr>
            <w:tcW w:w="806" w:type="pct"/>
            <w:shd w:val="clear" w:color="000000" w:fill="DCE6F1"/>
            <w:noWrap/>
            <w:vAlign w:val="center"/>
            <w:hideMark/>
          </w:tcPr>
          <w:p w14:paraId="4F42A372"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67" w:type="pct"/>
            <w:shd w:val="clear" w:color="000000" w:fill="DCE6F1"/>
            <w:noWrap/>
            <w:vAlign w:val="bottom"/>
            <w:hideMark/>
          </w:tcPr>
          <w:p w14:paraId="4A8530D1" w14:textId="77777777" w:rsidR="007924B5" w:rsidRPr="0029055C" w:rsidRDefault="007924B5" w:rsidP="007924B5">
            <w:pPr>
              <w:spacing w:before="0" w:after="0" w:line="240" w:lineRule="auto"/>
              <w:jc w:val="right"/>
              <w:rPr>
                <w:sz w:val="16"/>
                <w:szCs w:val="16"/>
              </w:rPr>
            </w:pPr>
            <w:r w:rsidRPr="0029055C">
              <w:rPr>
                <w:sz w:val="16"/>
                <w:szCs w:val="16"/>
              </w:rPr>
              <w:t> </w:t>
            </w:r>
          </w:p>
        </w:tc>
        <w:tc>
          <w:tcPr>
            <w:tcW w:w="1183" w:type="pct"/>
            <w:shd w:val="clear" w:color="000000" w:fill="DCE6F1"/>
            <w:noWrap/>
            <w:vAlign w:val="bottom"/>
            <w:hideMark/>
          </w:tcPr>
          <w:p w14:paraId="72AEAB0C"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280" w:type="pct"/>
            <w:shd w:val="clear" w:color="000000" w:fill="DCE6F1"/>
            <w:noWrap/>
            <w:vAlign w:val="bottom"/>
            <w:hideMark/>
          </w:tcPr>
          <w:p w14:paraId="31E4E57E"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2" w:type="pct"/>
            <w:shd w:val="clear" w:color="000000" w:fill="DCE6F1"/>
            <w:noWrap/>
            <w:vAlign w:val="center"/>
            <w:hideMark/>
          </w:tcPr>
          <w:p w14:paraId="3544EF9C" w14:textId="77777777" w:rsidR="007924B5" w:rsidRPr="0029055C" w:rsidRDefault="007924B5" w:rsidP="007924B5">
            <w:pPr>
              <w:spacing w:before="0" w:after="0" w:line="240" w:lineRule="auto"/>
              <w:jc w:val="right"/>
              <w:rPr>
                <w:b/>
                <w:bCs/>
                <w:sz w:val="16"/>
                <w:szCs w:val="16"/>
              </w:rPr>
            </w:pPr>
            <w:r w:rsidRPr="0029055C">
              <w:rPr>
                <w:b/>
                <w:bCs/>
                <w:sz w:val="16"/>
                <w:szCs w:val="16"/>
              </w:rPr>
              <w:t>3.816.305,00</w:t>
            </w:r>
          </w:p>
        </w:tc>
        <w:tc>
          <w:tcPr>
            <w:tcW w:w="293" w:type="pct"/>
            <w:shd w:val="clear" w:color="000000" w:fill="DCE6F1"/>
            <w:noWrap/>
            <w:vAlign w:val="center"/>
            <w:hideMark/>
          </w:tcPr>
          <w:p w14:paraId="30A90F89" w14:textId="77777777" w:rsidR="007924B5" w:rsidRPr="0029055C" w:rsidRDefault="007924B5" w:rsidP="007924B5">
            <w:pPr>
              <w:spacing w:before="0" w:after="0" w:line="240" w:lineRule="auto"/>
              <w:jc w:val="right"/>
              <w:rPr>
                <w:b/>
                <w:bCs/>
                <w:sz w:val="16"/>
                <w:szCs w:val="16"/>
              </w:rPr>
            </w:pPr>
            <w:r w:rsidRPr="0029055C">
              <w:rPr>
                <w:b/>
                <w:bCs/>
                <w:sz w:val="16"/>
                <w:szCs w:val="16"/>
              </w:rPr>
              <w:t>51,06%</w:t>
            </w:r>
          </w:p>
        </w:tc>
      </w:tr>
      <w:tr w:rsidR="007924B5" w:rsidRPr="0029055C" w14:paraId="27CC178C" w14:textId="77777777" w:rsidTr="007924B5">
        <w:trPr>
          <w:trHeight w:val="450"/>
        </w:trPr>
        <w:tc>
          <w:tcPr>
            <w:tcW w:w="1029" w:type="pct"/>
            <w:shd w:val="clear" w:color="000000" w:fill="D9D9D9"/>
            <w:noWrap/>
            <w:vAlign w:val="bottom"/>
            <w:hideMark/>
          </w:tcPr>
          <w:p w14:paraId="1EB40AC8"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7C0E4CA1"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restart"/>
            <w:shd w:val="clear" w:color="000000" w:fill="FFFFFF"/>
            <w:vAlign w:val="center"/>
            <w:hideMark/>
          </w:tcPr>
          <w:p w14:paraId="4B9EC29C" w14:textId="77777777" w:rsidR="007924B5" w:rsidRPr="0029055C" w:rsidRDefault="007924B5" w:rsidP="007924B5">
            <w:pPr>
              <w:spacing w:before="0" w:after="0" w:line="240" w:lineRule="auto"/>
              <w:jc w:val="left"/>
              <w:rPr>
                <w:sz w:val="16"/>
                <w:szCs w:val="16"/>
              </w:rPr>
            </w:pPr>
            <w:r w:rsidRPr="0029055C">
              <w:rPr>
                <w:sz w:val="16"/>
                <w:szCs w:val="16"/>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467" w:type="pct"/>
            <w:vMerge w:val="restart"/>
            <w:shd w:val="clear" w:color="000000" w:fill="FFFFFF"/>
            <w:noWrap/>
            <w:vAlign w:val="center"/>
            <w:hideMark/>
          </w:tcPr>
          <w:p w14:paraId="249CB9E8" w14:textId="77777777" w:rsidR="007924B5" w:rsidRPr="0029055C" w:rsidRDefault="007924B5" w:rsidP="007924B5">
            <w:pPr>
              <w:spacing w:before="0" w:after="0" w:line="240" w:lineRule="auto"/>
              <w:jc w:val="center"/>
              <w:rPr>
                <w:sz w:val="16"/>
                <w:szCs w:val="16"/>
              </w:rPr>
            </w:pPr>
            <w:r w:rsidRPr="0029055C">
              <w:rPr>
                <w:sz w:val="16"/>
                <w:szCs w:val="16"/>
              </w:rPr>
              <w:t>110.967.587,00</w:t>
            </w:r>
          </w:p>
        </w:tc>
        <w:tc>
          <w:tcPr>
            <w:tcW w:w="1183" w:type="pct"/>
            <w:shd w:val="clear" w:color="auto" w:fill="auto"/>
            <w:vAlign w:val="center"/>
            <w:hideMark/>
          </w:tcPr>
          <w:p w14:paraId="2B94CDF4" w14:textId="77777777" w:rsidR="007924B5" w:rsidRPr="0029055C" w:rsidRDefault="007924B5" w:rsidP="007924B5">
            <w:pPr>
              <w:spacing w:before="0" w:after="0" w:line="240" w:lineRule="auto"/>
              <w:jc w:val="left"/>
              <w:rPr>
                <w:sz w:val="16"/>
                <w:szCs w:val="16"/>
              </w:rPr>
            </w:pPr>
            <w:r w:rsidRPr="0029055C">
              <w:rPr>
                <w:sz w:val="16"/>
                <w:szCs w:val="16"/>
              </w:rPr>
              <w:t>T4635. Αριθμός δημοσίων υπαλλήλων που συμμετέχουν σε προγράμματα κατάρτισης για την ανάπτυξη δεξιοτήτων/διοικητικών ικανοτήτων</w:t>
            </w:r>
          </w:p>
        </w:tc>
        <w:tc>
          <w:tcPr>
            <w:tcW w:w="280" w:type="pct"/>
            <w:shd w:val="clear" w:color="000000" w:fill="FFFFFF"/>
            <w:noWrap/>
            <w:vAlign w:val="center"/>
            <w:hideMark/>
          </w:tcPr>
          <w:p w14:paraId="06ADC6DC" w14:textId="77777777" w:rsidR="007924B5" w:rsidRPr="0029055C" w:rsidRDefault="007924B5" w:rsidP="007924B5">
            <w:pPr>
              <w:spacing w:before="0" w:after="0" w:line="240" w:lineRule="auto"/>
              <w:jc w:val="center"/>
              <w:rPr>
                <w:sz w:val="16"/>
                <w:szCs w:val="16"/>
              </w:rPr>
            </w:pPr>
            <w:r w:rsidRPr="0029055C">
              <w:rPr>
                <w:sz w:val="16"/>
                <w:szCs w:val="16"/>
              </w:rPr>
              <w:t>274.466</w:t>
            </w:r>
          </w:p>
        </w:tc>
        <w:tc>
          <w:tcPr>
            <w:tcW w:w="472" w:type="pct"/>
            <w:shd w:val="clear" w:color="auto" w:fill="auto"/>
            <w:noWrap/>
            <w:vAlign w:val="center"/>
            <w:hideMark/>
          </w:tcPr>
          <w:p w14:paraId="53B2A8C2" w14:textId="77777777" w:rsidR="007924B5" w:rsidRPr="0029055C" w:rsidRDefault="007924B5" w:rsidP="007924B5">
            <w:pPr>
              <w:spacing w:before="0" w:after="0" w:line="240" w:lineRule="auto"/>
              <w:jc w:val="right"/>
              <w:rPr>
                <w:sz w:val="16"/>
                <w:szCs w:val="16"/>
              </w:rPr>
            </w:pPr>
            <w:r w:rsidRPr="0029055C">
              <w:rPr>
                <w:sz w:val="16"/>
                <w:szCs w:val="16"/>
              </w:rPr>
              <w:t>51.599.520,00</w:t>
            </w:r>
          </w:p>
        </w:tc>
        <w:tc>
          <w:tcPr>
            <w:tcW w:w="293" w:type="pct"/>
            <w:shd w:val="clear" w:color="000000" w:fill="D9D9D9"/>
            <w:noWrap/>
            <w:vAlign w:val="center"/>
            <w:hideMark/>
          </w:tcPr>
          <w:p w14:paraId="0800F538" w14:textId="77777777" w:rsidR="007924B5" w:rsidRPr="0029055C" w:rsidRDefault="007924B5" w:rsidP="007924B5">
            <w:pPr>
              <w:spacing w:before="0" w:after="0" w:line="240" w:lineRule="auto"/>
              <w:jc w:val="right"/>
              <w:rPr>
                <w:sz w:val="16"/>
                <w:szCs w:val="16"/>
              </w:rPr>
            </w:pPr>
            <w:r w:rsidRPr="0029055C">
              <w:rPr>
                <w:sz w:val="16"/>
                <w:szCs w:val="16"/>
              </w:rPr>
              <w:t>46,50%</w:t>
            </w:r>
          </w:p>
        </w:tc>
      </w:tr>
      <w:tr w:rsidR="007924B5" w:rsidRPr="0029055C" w14:paraId="4C062919" w14:textId="77777777" w:rsidTr="007924B5">
        <w:trPr>
          <w:trHeight w:val="630"/>
        </w:trPr>
        <w:tc>
          <w:tcPr>
            <w:tcW w:w="1029" w:type="pct"/>
            <w:shd w:val="clear" w:color="000000" w:fill="D9D9D9"/>
            <w:noWrap/>
            <w:vAlign w:val="bottom"/>
            <w:hideMark/>
          </w:tcPr>
          <w:p w14:paraId="5BB02428"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0F680B9E"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25927442"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7E82C2DE"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797AB602" w14:textId="77777777" w:rsidR="007924B5" w:rsidRPr="0029055C" w:rsidRDefault="007924B5" w:rsidP="007924B5">
            <w:pPr>
              <w:spacing w:before="0" w:after="0" w:line="240" w:lineRule="auto"/>
              <w:jc w:val="left"/>
              <w:rPr>
                <w:sz w:val="16"/>
                <w:szCs w:val="16"/>
              </w:rPr>
            </w:pPr>
            <w:r w:rsidRPr="0029055C">
              <w:rPr>
                <w:sz w:val="16"/>
                <w:szCs w:val="16"/>
              </w:rPr>
              <w:t>T4638. Αριθμός στελεχών που παρακολουθεί προγράμματα ταχείας εξέλιξης</w:t>
            </w:r>
          </w:p>
        </w:tc>
        <w:tc>
          <w:tcPr>
            <w:tcW w:w="280" w:type="pct"/>
            <w:shd w:val="clear" w:color="000000" w:fill="FFFFFF"/>
            <w:noWrap/>
            <w:vAlign w:val="center"/>
            <w:hideMark/>
          </w:tcPr>
          <w:p w14:paraId="73A55233" w14:textId="77777777" w:rsidR="007924B5" w:rsidRPr="0029055C" w:rsidRDefault="007924B5" w:rsidP="007924B5">
            <w:pPr>
              <w:spacing w:before="0" w:after="0" w:line="240" w:lineRule="auto"/>
              <w:jc w:val="center"/>
              <w:rPr>
                <w:sz w:val="16"/>
                <w:szCs w:val="16"/>
              </w:rPr>
            </w:pPr>
            <w:r w:rsidRPr="0029055C">
              <w:rPr>
                <w:sz w:val="16"/>
                <w:szCs w:val="16"/>
              </w:rPr>
              <w:t>1.006</w:t>
            </w:r>
          </w:p>
        </w:tc>
        <w:tc>
          <w:tcPr>
            <w:tcW w:w="472" w:type="pct"/>
            <w:shd w:val="clear" w:color="000000" w:fill="FFFFFF"/>
            <w:noWrap/>
            <w:vAlign w:val="center"/>
            <w:hideMark/>
          </w:tcPr>
          <w:p w14:paraId="284F68E3" w14:textId="77777777" w:rsidR="007924B5" w:rsidRPr="0029055C" w:rsidRDefault="007924B5" w:rsidP="007924B5">
            <w:pPr>
              <w:spacing w:before="0" w:after="0" w:line="240" w:lineRule="auto"/>
              <w:jc w:val="right"/>
              <w:rPr>
                <w:sz w:val="16"/>
                <w:szCs w:val="16"/>
              </w:rPr>
            </w:pPr>
            <w:r w:rsidRPr="0029055C">
              <w:rPr>
                <w:sz w:val="16"/>
                <w:szCs w:val="16"/>
              </w:rPr>
              <w:t>26.668.901,00</w:t>
            </w:r>
          </w:p>
        </w:tc>
        <w:tc>
          <w:tcPr>
            <w:tcW w:w="293" w:type="pct"/>
            <w:shd w:val="clear" w:color="000000" w:fill="D9D9D9"/>
            <w:noWrap/>
            <w:vAlign w:val="center"/>
            <w:hideMark/>
          </w:tcPr>
          <w:p w14:paraId="097797C5" w14:textId="77777777" w:rsidR="007924B5" w:rsidRPr="0029055C" w:rsidRDefault="007924B5" w:rsidP="007924B5">
            <w:pPr>
              <w:spacing w:before="0" w:after="0" w:line="240" w:lineRule="auto"/>
              <w:jc w:val="right"/>
              <w:rPr>
                <w:sz w:val="16"/>
                <w:szCs w:val="16"/>
              </w:rPr>
            </w:pPr>
            <w:r w:rsidRPr="0029055C">
              <w:rPr>
                <w:sz w:val="16"/>
                <w:szCs w:val="16"/>
              </w:rPr>
              <w:t>24,03%</w:t>
            </w:r>
          </w:p>
        </w:tc>
      </w:tr>
      <w:tr w:rsidR="007924B5" w:rsidRPr="0029055C" w14:paraId="204567D8" w14:textId="77777777" w:rsidTr="007924B5">
        <w:trPr>
          <w:trHeight w:val="690"/>
        </w:trPr>
        <w:tc>
          <w:tcPr>
            <w:tcW w:w="1029" w:type="pct"/>
            <w:shd w:val="clear" w:color="000000" w:fill="DCE6F1"/>
            <w:vAlign w:val="bottom"/>
            <w:hideMark/>
          </w:tcPr>
          <w:p w14:paraId="23637754" w14:textId="77777777" w:rsidR="007924B5" w:rsidRPr="0029055C" w:rsidRDefault="007924B5" w:rsidP="007924B5">
            <w:pPr>
              <w:spacing w:before="0" w:after="0" w:line="240" w:lineRule="auto"/>
              <w:jc w:val="left"/>
              <w:rPr>
                <w:b/>
                <w:bCs/>
                <w:sz w:val="16"/>
                <w:szCs w:val="16"/>
              </w:rPr>
            </w:pPr>
            <w:r w:rsidRPr="0029055C">
              <w:rPr>
                <w:b/>
                <w:bCs/>
                <w:sz w:val="16"/>
                <w:szCs w:val="16"/>
              </w:rPr>
              <w:t xml:space="preserve">Σύνολο Άξονα 7. </w:t>
            </w:r>
            <w:r w:rsidRPr="0029055C">
              <w:rPr>
                <w:sz w:val="16"/>
                <w:szCs w:val="16"/>
              </w:rPr>
              <w:t>Βελτίωση της διαχείρισης και ανάπτυξη του ανθρώπινου δυναμικού του Δημοσίου Τομέα στις 11 περιφέρειες</w:t>
            </w:r>
          </w:p>
        </w:tc>
        <w:tc>
          <w:tcPr>
            <w:tcW w:w="470" w:type="pct"/>
            <w:shd w:val="clear" w:color="000000" w:fill="DCE6F1"/>
            <w:noWrap/>
            <w:vAlign w:val="center"/>
            <w:hideMark/>
          </w:tcPr>
          <w:p w14:paraId="39E5A3CA" w14:textId="77777777" w:rsidR="007924B5" w:rsidRPr="0029055C" w:rsidRDefault="007924B5" w:rsidP="007924B5">
            <w:pPr>
              <w:spacing w:before="0" w:after="0" w:line="240" w:lineRule="auto"/>
              <w:jc w:val="right"/>
              <w:rPr>
                <w:b/>
                <w:bCs/>
                <w:sz w:val="16"/>
                <w:szCs w:val="16"/>
              </w:rPr>
            </w:pPr>
            <w:r w:rsidRPr="0029055C">
              <w:rPr>
                <w:b/>
                <w:bCs/>
                <w:sz w:val="16"/>
                <w:szCs w:val="16"/>
              </w:rPr>
              <w:t>110.967.587,00</w:t>
            </w:r>
          </w:p>
        </w:tc>
        <w:tc>
          <w:tcPr>
            <w:tcW w:w="806" w:type="pct"/>
            <w:shd w:val="clear" w:color="000000" w:fill="DCE6F1"/>
            <w:noWrap/>
            <w:vAlign w:val="center"/>
            <w:hideMark/>
          </w:tcPr>
          <w:p w14:paraId="39C940CB"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67" w:type="pct"/>
            <w:shd w:val="clear" w:color="000000" w:fill="DCE6F1"/>
            <w:noWrap/>
            <w:vAlign w:val="bottom"/>
            <w:hideMark/>
          </w:tcPr>
          <w:p w14:paraId="78C77F5D" w14:textId="77777777" w:rsidR="007924B5" w:rsidRPr="0029055C" w:rsidRDefault="007924B5" w:rsidP="007924B5">
            <w:pPr>
              <w:spacing w:before="0" w:after="0" w:line="240" w:lineRule="auto"/>
              <w:jc w:val="right"/>
              <w:rPr>
                <w:sz w:val="16"/>
                <w:szCs w:val="16"/>
              </w:rPr>
            </w:pPr>
            <w:r w:rsidRPr="0029055C">
              <w:rPr>
                <w:sz w:val="16"/>
                <w:szCs w:val="16"/>
              </w:rPr>
              <w:t> </w:t>
            </w:r>
          </w:p>
        </w:tc>
        <w:tc>
          <w:tcPr>
            <w:tcW w:w="1183" w:type="pct"/>
            <w:shd w:val="clear" w:color="000000" w:fill="DCE6F1"/>
            <w:noWrap/>
            <w:vAlign w:val="bottom"/>
            <w:hideMark/>
          </w:tcPr>
          <w:p w14:paraId="186E07E7"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280" w:type="pct"/>
            <w:shd w:val="clear" w:color="000000" w:fill="DCE6F1"/>
            <w:noWrap/>
            <w:vAlign w:val="bottom"/>
            <w:hideMark/>
          </w:tcPr>
          <w:p w14:paraId="5031D8CC"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2" w:type="pct"/>
            <w:shd w:val="clear" w:color="000000" w:fill="DCE6F1"/>
            <w:noWrap/>
            <w:vAlign w:val="center"/>
            <w:hideMark/>
          </w:tcPr>
          <w:p w14:paraId="2356E693" w14:textId="77777777" w:rsidR="007924B5" w:rsidRPr="0029055C" w:rsidRDefault="007924B5" w:rsidP="007924B5">
            <w:pPr>
              <w:spacing w:before="0" w:after="0" w:line="240" w:lineRule="auto"/>
              <w:jc w:val="right"/>
              <w:rPr>
                <w:b/>
                <w:bCs/>
                <w:sz w:val="16"/>
                <w:szCs w:val="16"/>
              </w:rPr>
            </w:pPr>
            <w:r w:rsidRPr="0029055C">
              <w:rPr>
                <w:b/>
                <w:bCs/>
                <w:sz w:val="16"/>
                <w:szCs w:val="16"/>
              </w:rPr>
              <w:t>78.268.421,00</w:t>
            </w:r>
          </w:p>
        </w:tc>
        <w:tc>
          <w:tcPr>
            <w:tcW w:w="293" w:type="pct"/>
            <w:shd w:val="clear" w:color="000000" w:fill="DCE6F1"/>
            <w:noWrap/>
            <w:vAlign w:val="center"/>
            <w:hideMark/>
          </w:tcPr>
          <w:p w14:paraId="57D84E6C" w14:textId="77777777" w:rsidR="007924B5" w:rsidRPr="0029055C" w:rsidRDefault="007924B5" w:rsidP="007924B5">
            <w:pPr>
              <w:spacing w:before="0" w:after="0" w:line="240" w:lineRule="auto"/>
              <w:jc w:val="right"/>
              <w:rPr>
                <w:b/>
                <w:bCs/>
                <w:sz w:val="16"/>
                <w:szCs w:val="16"/>
              </w:rPr>
            </w:pPr>
            <w:r w:rsidRPr="0029055C">
              <w:rPr>
                <w:b/>
                <w:bCs/>
                <w:sz w:val="16"/>
                <w:szCs w:val="16"/>
              </w:rPr>
              <w:t>70,53%</w:t>
            </w:r>
          </w:p>
        </w:tc>
      </w:tr>
      <w:tr w:rsidR="007924B5" w:rsidRPr="0029055C" w14:paraId="22F95C73" w14:textId="77777777" w:rsidTr="007924B5">
        <w:trPr>
          <w:trHeight w:val="555"/>
        </w:trPr>
        <w:tc>
          <w:tcPr>
            <w:tcW w:w="1029" w:type="pct"/>
            <w:shd w:val="clear" w:color="000000" w:fill="D9D9D9"/>
            <w:noWrap/>
            <w:vAlign w:val="bottom"/>
            <w:hideMark/>
          </w:tcPr>
          <w:p w14:paraId="21AD7E72"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17D89F01"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restart"/>
            <w:shd w:val="clear" w:color="000000" w:fill="FFFFFF"/>
            <w:vAlign w:val="center"/>
            <w:hideMark/>
          </w:tcPr>
          <w:p w14:paraId="6C5896B1" w14:textId="77777777" w:rsidR="007924B5" w:rsidRPr="0029055C" w:rsidRDefault="007924B5" w:rsidP="007924B5">
            <w:pPr>
              <w:spacing w:before="0" w:after="0" w:line="240" w:lineRule="auto"/>
              <w:jc w:val="left"/>
              <w:rPr>
                <w:sz w:val="16"/>
                <w:szCs w:val="16"/>
              </w:rPr>
            </w:pPr>
            <w:r w:rsidRPr="0029055C">
              <w:rPr>
                <w:sz w:val="16"/>
                <w:szCs w:val="16"/>
              </w:rPr>
              <w:t xml:space="preserve">119 Επένδυση στη θεσμική ικανότητα και στην αποτελεσματικότητα των δημόσιων διοικήσεων και </w:t>
            </w:r>
            <w:r w:rsidRPr="0029055C">
              <w:rPr>
                <w:sz w:val="16"/>
                <w:szCs w:val="16"/>
              </w:rPr>
              <w:lastRenderedPageBreak/>
              <w:t xml:space="preserve">υπηρεσιών σε εθνικό, περιφερειακό και τοπικό επίπεδο ενόψει των μεταρρυθμίσεων, καλύτερη κανονιστική ρύθμιση και χρηστή διακυβέρνηση </w:t>
            </w:r>
          </w:p>
        </w:tc>
        <w:tc>
          <w:tcPr>
            <w:tcW w:w="467" w:type="pct"/>
            <w:vMerge w:val="restart"/>
            <w:shd w:val="clear" w:color="000000" w:fill="FFFFFF"/>
            <w:noWrap/>
            <w:vAlign w:val="center"/>
            <w:hideMark/>
          </w:tcPr>
          <w:p w14:paraId="1D9A0062" w14:textId="77777777" w:rsidR="007924B5" w:rsidRPr="0029055C" w:rsidRDefault="007924B5" w:rsidP="007924B5">
            <w:pPr>
              <w:spacing w:before="0" w:after="0" w:line="240" w:lineRule="auto"/>
              <w:jc w:val="center"/>
              <w:rPr>
                <w:sz w:val="16"/>
                <w:szCs w:val="16"/>
              </w:rPr>
            </w:pPr>
            <w:r w:rsidRPr="0029055C">
              <w:rPr>
                <w:sz w:val="16"/>
                <w:szCs w:val="16"/>
              </w:rPr>
              <w:lastRenderedPageBreak/>
              <w:t>8.767.865,00</w:t>
            </w:r>
          </w:p>
        </w:tc>
        <w:tc>
          <w:tcPr>
            <w:tcW w:w="1183" w:type="pct"/>
            <w:shd w:val="clear" w:color="auto" w:fill="auto"/>
            <w:vAlign w:val="center"/>
            <w:hideMark/>
          </w:tcPr>
          <w:p w14:paraId="380D81A6" w14:textId="77777777" w:rsidR="007924B5" w:rsidRPr="0029055C" w:rsidRDefault="007924B5" w:rsidP="007924B5">
            <w:pPr>
              <w:spacing w:before="0" w:after="0" w:line="240" w:lineRule="auto"/>
              <w:jc w:val="left"/>
              <w:rPr>
                <w:sz w:val="16"/>
                <w:szCs w:val="16"/>
              </w:rPr>
            </w:pPr>
            <w:r w:rsidRPr="0029055C">
              <w:rPr>
                <w:sz w:val="16"/>
                <w:szCs w:val="16"/>
              </w:rPr>
              <w:t>T4635. Αριθμός δημοσίων υπαλλήλων που συμμετέχουν σε προγράμματα κατάρτισης για την ανάπτυξη δεξιοτήτων/διοικητικών ικανοτήτων</w:t>
            </w:r>
          </w:p>
        </w:tc>
        <w:tc>
          <w:tcPr>
            <w:tcW w:w="280" w:type="pct"/>
            <w:shd w:val="clear" w:color="000000" w:fill="FFFFFF"/>
            <w:noWrap/>
            <w:vAlign w:val="center"/>
            <w:hideMark/>
          </w:tcPr>
          <w:p w14:paraId="7933932B" w14:textId="77777777" w:rsidR="007924B5" w:rsidRPr="0029055C" w:rsidRDefault="007924B5" w:rsidP="007924B5">
            <w:pPr>
              <w:spacing w:before="0" w:after="0" w:line="240" w:lineRule="auto"/>
              <w:jc w:val="center"/>
              <w:rPr>
                <w:sz w:val="16"/>
                <w:szCs w:val="16"/>
              </w:rPr>
            </w:pPr>
            <w:r w:rsidRPr="0029055C">
              <w:rPr>
                <w:sz w:val="16"/>
                <w:szCs w:val="16"/>
              </w:rPr>
              <w:t>21.686</w:t>
            </w:r>
          </w:p>
        </w:tc>
        <w:tc>
          <w:tcPr>
            <w:tcW w:w="472" w:type="pct"/>
            <w:shd w:val="clear" w:color="auto" w:fill="auto"/>
            <w:noWrap/>
            <w:vAlign w:val="center"/>
            <w:hideMark/>
          </w:tcPr>
          <w:p w14:paraId="4AA1DEF8" w14:textId="77777777" w:rsidR="007924B5" w:rsidRPr="0029055C" w:rsidRDefault="007924B5" w:rsidP="007924B5">
            <w:pPr>
              <w:spacing w:before="0" w:after="0" w:line="240" w:lineRule="auto"/>
              <w:jc w:val="right"/>
              <w:rPr>
                <w:sz w:val="16"/>
                <w:szCs w:val="16"/>
              </w:rPr>
            </w:pPr>
            <w:r w:rsidRPr="0029055C">
              <w:rPr>
                <w:sz w:val="16"/>
                <w:szCs w:val="16"/>
              </w:rPr>
              <w:t>4.077.026,00</w:t>
            </w:r>
          </w:p>
        </w:tc>
        <w:tc>
          <w:tcPr>
            <w:tcW w:w="293" w:type="pct"/>
            <w:shd w:val="clear" w:color="000000" w:fill="D9D9D9"/>
            <w:noWrap/>
            <w:vAlign w:val="center"/>
            <w:hideMark/>
          </w:tcPr>
          <w:p w14:paraId="3EF39DCB" w14:textId="77777777" w:rsidR="007924B5" w:rsidRPr="0029055C" w:rsidRDefault="007924B5" w:rsidP="007924B5">
            <w:pPr>
              <w:spacing w:before="0" w:after="0" w:line="240" w:lineRule="auto"/>
              <w:jc w:val="right"/>
              <w:rPr>
                <w:sz w:val="16"/>
                <w:szCs w:val="16"/>
              </w:rPr>
            </w:pPr>
            <w:r w:rsidRPr="0029055C">
              <w:rPr>
                <w:sz w:val="16"/>
                <w:szCs w:val="16"/>
              </w:rPr>
              <w:t>46,50%</w:t>
            </w:r>
          </w:p>
        </w:tc>
      </w:tr>
      <w:tr w:rsidR="007924B5" w:rsidRPr="0029055C" w14:paraId="6C9D97D0" w14:textId="77777777" w:rsidTr="007924B5">
        <w:trPr>
          <w:trHeight w:val="555"/>
        </w:trPr>
        <w:tc>
          <w:tcPr>
            <w:tcW w:w="1029" w:type="pct"/>
            <w:shd w:val="clear" w:color="000000" w:fill="D9D9D9"/>
            <w:noWrap/>
            <w:vAlign w:val="bottom"/>
            <w:hideMark/>
          </w:tcPr>
          <w:p w14:paraId="535C6A3D" w14:textId="77777777" w:rsidR="007924B5" w:rsidRPr="0029055C" w:rsidRDefault="007924B5" w:rsidP="007924B5">
            <w:pPr>
              <w:spacing w:before="0" w:after="0" w:line="240" w:lineRule="auto"/>
              <w:jc w:val="left"/>
              <w:rPr>
                <w:sz w:val="16"/>
                <w:szCs w:val="16"/>
              </w:rPr>
            </w:pPr>
            <w:r w:rsidRPr="0029055C">
              <w:rPr>
                <w:sz w:val="16"/>
                <w:szCs w:val="16"/>
              </w:rPr>
              <w:lastRenderedPageBreak/>
              <w:t> </w:t>
            </w:r>
          </w:p>
        </w:tc>
        <w:tc>
          <w:tcPr>
            <w:tcW w:w="470" w:type="pct"/>
            <w:shd w:val="clear" w:color="000000" w:fill="D9D9D9"/>
            <w:noWrap/>
            <w:vAlign w:val="bottom"/>
            <w:hideMark/>
          </w:tcPr>
          <w:p w14:paraId="1B64846C"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7A38EA0A"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7477746C"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25BA3791" w14:textId="77777777" w:rsidR="007924B5" w:rsidRPr="0029055C" w:rsidRDefault="007924B5" w:rsidP="007924B5">
            <w:pPr>
              <w:spacing w:before="0" w:after="0" w:line="240" w:lineRule="auto"/>
              <w:jc w:val="left"/>
              <w:rPr>
                <w:sz w:val="16"/>
                <w:szCs w:val="16"/>
              </w:rPr>
            </w:pPr>
            <w:r w:rsidRPr="0029055C">
              <w:rPr>
                <w:sz w:val="16"/>
                <w:szCs w:val="16"/>
              </w:rPr>
              <w:t>T4638. Αριθμός στελεχών που παρακολουθεί προγράμματα ταχείας εξέλιξης</w:t>
            </w:r>
          </w:p>
        </w:tc>
        <w:tc>
          <w:tcPr>
            <w:tcW w:w="280" w:type="pct"/>
            <w:shd w:val="clear" w:color="000000" w:fill="FFFFFF"/>
            <w:noWrap/>
            <w:vAlign w:val="center"/>
            <w:hideMark/>
          </w:tcPr>
          <w:p w14:paraId="73F2718A" w14:textId="77777777" w:rsidR="007924B5" w:rsidRPr="0029055C" w:rsidRDefault="007924B5" w:rsidP="007924B5">
            <w:pPr>
              <w:spacing w:before="0" w:after="0" w:line="240" w:lineRule="auto"/>
              <w:jc w:val="center"/>
              <w:rPr>
                <w:sz w:val="16"/>
                <w:szCs w:val="16"/>
              </w:rPr>
            </w:pPr>
            <w:r w:rsidRPr="0029055C">
              <w:rPr>
                <w:sz w:val="16"/>
                <w:szCs w:val="16"/>
              </w:rPr>
              <w:t>80</w:t>
            </w:r>
          </w:p>
        </w:tc>
        <w:tc>
          <w:tcPr>
            <w:tcW w:w="472" w:type="pct"/>
            <w:shd w:val="clear" w:color="000000" w:fill="FFFFFF"/>
            <w:noWrap/>
            <w:vAlign w:val="center"/>
            <w:hideMark/>
          </w:tcPr>
          <w:p w14:paraId="36FAC05B" w14:textId="77777777" w:rsidR="007924B5" w:rsidRPr="0029055C" w:rsidRDefault="007924B5" w:rsidP="007924B5">
            <w:pPr>
              <w:spacing w:before="0" w:after="0" w:line="240" w:lineRule="auto"/>
              <w:jc w:val="right"/>
              <w:rPr>
                <w:sz w:val="16"/>
                <w:szCs w:val="16"/>
              </w:rPr>
            </w:pPr>
            <w:r w:rsidRPr="0029055C">
              <w:rPr>
                <w:sz w:val="16"/>
                <w:szCs w:val="16"/>
              </w:rPr>
              <w:t>2.107.186,00</w:t>
            </w:r>
          </w:p>
        </w:tc>
        <w:tc>
          <w:tcPr>
            <w:tcW w:w="293" w:type="pct"/>
            <w:shd w:val="clear" w:color="000000" w:fill="D9D9D9"/>
            <w:noWrap/>
            <w:vAlign w:val="center"/>
            <w:hideMark/>
          </w:tcPr>
          <w:p w14:paraId="4CB23B66" w14:textId="77777777" w:rsidR="007924B5" w:rsidRPr="0029055C" w:rsidRDefault="007924B5" w:rsidP="007924B5">
            <w:pPr>
              <w:spacing w:before="0" w:after="0" w:line="240" w:lineRule="auto"/>
              <w:jc w:val="right"/>
              <w:rPr>
                <w:sz w:val="16"/>
                <w:szCs w:val="16"/>
              </w:rPr>
            </w:pPr>
            <w:r w:rsidRPr="0029055C">
              <w:rPr>
                <w:sz w:val="16"/>
                <w:szCs w:val="16"/>
              </w:rPr>
              <w:t>24,03%</w:t>
            </w:r>
          </w:p>
        </w:tc>
      </w:tr>
      <w:tr w:rsidR="007924B5" w:rsidRPr="0029055C" w14:paraId="4A3E1020" w14:textId="77777777" w:rsidTr="007924B5">
        <w:trPr>
          <w:trHeight w:val="465"/>
        </w:trPr>
        <w:tc>
          <w:tcPr>
            <w:tcW w:w="1029" w:type="pct"/>
            <w:shd w:val="clear" w:color="000000" w:fill="DCE6F1"/>
            <w:vAlign w:val="bottom"/>
            <w:hideMark/>
          </w:tcPr>
          <w:p w14:paraId="74D5E5A5" w14:textId="77777777" w:rsidR="007924B5" w:rsidRPr="0029055C" w:rsidRDefault="007924B5" w:rsidP="007924B5">
            <w:pPr>
              <w:spacing w:before="0" w:after="0" w:line="240" w:lineRule="auto"/>
              <w:jc w:val="left"/>
              <w:rPr>
                <w:b/>
                <w:bCs/>
                <w:sz w:val="16"/>
                <w:szCs w:val="16"/>
              </w:rPr>
            </w:pPr>
            <w:r w:rsidRPr="0029055C">
              <w:rPr>
                <w:b/>
                <w:bCs/>
                <w:sz w:val="16"/>
                <w:szCs w:val="16"/>
              </w:rPr>
              <w:t xml:space="preserve">Σύνολο Άξονα 8. </w:t>
            </w:r>
            <w:r w:rsidRPr="0029055C">
              <w:rPr>
                <w:sz w:val="16"/>
                <w:szCs w:val="16"/>
              </w:rPr>
              <w:t>Βελτίωση της διαχείρισης και ανάπτυξη του ανθρώπινου δυναμικού του Δημοσίου Τομέα στη ΣΤΕΡΕΑ ΕΛΛΑΔΑ</w:t>
            </w:r>
          </w:p>
        </w:tc>
        <w:tc>
          <w:tcPr>
            <w:tcW w:w="470" w:type="pct"/>
            <w:shd w:val="clear" w:color="000000" w:fill="DCE6F1"/>
            <w:noWrap/>
            <w:vAlign w:val="center"/>
            <w:hideMark/>
          </w:tcPr>
          <w:p w14:paraId="4CD7D81D" w14:textId="77777777" w:rsidR="007924B5" w:rsidRPr="0029055C" w:rsidRDefault="007924B5" w:rsidP="007924B5">
            <w:pPr>
              <w:spacing w:before="0" w:after="0" w:line="240" w:lineRule="auto"/>
              <w:jc w:val="right"/>
              <w:rPr>
                <w:b/>
                <w:bCs/>
                <w:sz w:val="16"/>
                <w:szCs w:val="16"/>
              </w:rPr>
            </w:pPr>
            <w:r w:rsidRPr="0029055C">
              <w:rPr>
                <w:b/>
                <w:bCs/>
                <w:sz w:val="16"/>
                <w:szCs w:val="16"/>
              </w:rPr>
              <w:t>8.767.865,00</w:t>
            </w:r>
          </w:p>
        </w:tc>
        <w:tc>
          <w:tcPr>
            <w:tcW w:w="806" w:type="pct"/>
            <w:shd w:val="clear" w:color="000000" w:fill="DCE6F1"/>
            <w:noWrap/>
            <w:vAlign w:val="center"/>
            <w:hideMark/>
          </w:tcPr>
          <w:p w14:paraId="0F8A9D0A"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67" w:type="pct"/>
            <w:shd w:val="clear" w:color="000000" w:fill="DCE6F1"/>
            <w:noWrap/>
            <w:vAlign w:val="bottom"/>
            <w:hideMark/>
          </w:tcPr>
          <w:p w14:paraId="53B74D91" w14:textId="77777777" w:rsidR="007924B5" w:rsidRPr="0029055C" w:rsidRDefault="007924B5" w:rsidP="007924B5">
            <w:pPr>
              <w:spacing w:before="0" w:after="0" w:line="240" w:lineRule="auto"/>
              <w:jc w:val="right"/>
              <w:rPr>
                <w:sz w:val="16"/>
                <w:szCs w:val="16"/>
              </w:rPr>
            </w:pPr>
            <w:r w:rsidRPr="0029055C">
              <w:rPr>
                <w:sz w:val="16"/>
                <w:szCs w:val="16"/>
              </w:rPr>
              <w:t> </w:t>
            </w:r>
          </w:p>
        </w:tc>
        <w:tc>
          <w:tcPr>
            <w:tcW w:w="1183" w:type="pct"/>
            <w:shd w:val="clear" w:color="000000" w:fill="DCE6F1"/>
            <w:noWrap/>
            <w:vAlign w:val="bottom"/>
            <w:hideMark/>
          </w:tcPr>
          <w:p w14:paraId="3A2791B6"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280" w:type="pct"/>
            <w:shd w:val="clear" w:color="000000" w:fill="DCE6F1"/>
            <w:noWrap/>
            <w:vAlign w:val="bottom"/>
            <w:hideMark/>
          </w:tcPr>
          <w:p w14:paraId="1B0DCB63"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2" w:type="pct"/>
            <w:shd w:val="clear" w:color="000000" w:fill="DCE6F1"/>
            <w:noWrap/>
            <w:vAlign w:val="center"/>
            <w:hideMark/>
          </w:tcPr>
          <w:p w14:paraId="7B404763" w14:textId="77777777" w:rsidR="007924B5" w:rsidRPr="0029055C" w:rsidRDefault="007924B5" w:rsidP="007924B5">
            <w:pPr>
              <w:spacing w:before="0" w:after="0" w:line="240" w:lineRule="auto"/>
              <w:jc w:val="right"/>
              <w:rPr>
                <w:b/>
                <w:bCs/>
                <w:sz w:val="16"/>
                <w:szCs w:val="16"/>
              </w:rPr>
            </w:pPr>
            <w:r w:rsidRPr="0029055C">
              <w:rPr>
                <w:b/>
                <w:bCs/>
                <w:sz w:val="16"/>
                <w:szCs w:val="16"/>
              </w:rPr>
              <w:t>6.184.212,00</w:t>
            </w:r>
          </w:p>
        </w:tc>
        <w:tc>
          <w:tcPr>
            <w:tcW w:w="293" w:type="pct"/>
            <w:shd w:val="clear" w:color="000000" w:fill="DCE6F1"/>
            <w:noWrap/>
            <w:vAlign w:val="center"/>
            <w:hideMark/>
          </w:tcPr>
          <w:p w14:paraId="6BFFAA88" w14:textId="77777777" w:rsidR="007924B5" w:rsidRPr="0029055C" w:rsidRDefault="007924B5" w:rsidP="007924B5">
            <w:pPr>
              <w:spacing w:before="0" w:after="0" w:line="240" w:lineRule="auto"/>
              <w:jc w:val="right"/>
              <w:rPr>
                <w:b/>
                <w:bCs/>
                <w:sz w:val="16"/>
                <w:szCs w:val="16"/>
              </w:rPr>
            </w:pPr>
            <w:r w:rsidRPr="0029055C">
              <w:rPr>
                <w:b/>
                <w:bCs/>
                <w:sz w:val="16"/>
                <w:szCs w:val="16"/>
              </w:rPr>
              <w:t>70,53%</w:t>
            </w:r>
          </w:p>
        </w:tc>
      </w:tr>
      <w:tr w:rsidR="007924B5" w:rsidRPr="0029055C" w14:paraId="796FA06C" w14:textId="77777777" w:rsidTr="007924B5">
        <w:trPr>
          <w:trHeight w:val="600"/>
        </w:trPr>
        <w:tc>
          <w:tcPr>
            <w:tcW w:w="1029" w:type="pct"/>
            <w:shd w:val="clear" w:color="000000" w:fill="D9D9D9"/>
            <w:noWrap/>
            <w:vAlign w:val="bottom"/>
            <w:hideMark/>
          </w:tcPr>
          <w:p w14:paraId="49FD8B0B"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1ECC02A9"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restart"/>
            <w:shd w:val="clear" w:color="000000" w:fill="FFFFFF"/>
            <w:vAlign w:val="center"/>
            <w:hideMark/>
          </w:tcPr>
          <w:p w14:paraId="138EC2D2" w14:textId="77777777" w:rsidR="007924B5" w:rsidRPr="0029055C" w:rsidRDefault="007924B5" w:rsidP="007924B5">
            <w:pPr>
              <w:spacing w:before="0" w:after="0" w:line="240" w:lineRule="auto"/>
              <w:jc w:val="left"/>
              <w:rPr>
                <w:sz w:val="16"/>
                <w:szCs w:val="16"/>
              </w:rPr>
            </w:pPr>
            <w:r w:rsidRPr="0029055C">
              <w:rPr>
                <w:sz w:val="16"/>
                <w:szCs w:val="16"/>
              </w:rPr>
              <w:t xml:space="preserve">119 Επένδυση στη θεσμική ικανότητα και στην αποτελεσματικότητα των δημόσιων διοικήσεων και υπηρεσιών σε εθνικό, περιφερειακό και τοπικό επίπεδο ενόψει των μεταρρυθμίσεων, καλύτερη κανονιστική ρύθμιση και χρηστή διακυβέρνηση </w:t>
            </w:r>
          </w:p>
        </w:tc>
        <w:tc>
          <w:tcPr>
            <w:tcW w:w="467" w:type="pct"/>
            <w:vMerge w:val="restart"/>
            <w:shd w:val="clear" w:color="000000" w:fill="FFFFFF"/>
            <w:noWrap/>
            <w:vAlign w:val="center"/>
            <w:hideMark/>
          </w:tcPr>
          <w:p w14:paraId="66D4B952" w14:textId="77777777" w:rsidR="007924B5" w:rsidRPr="0029055C" w:rsidRDefault="007924B5" w:rsidP="007924B5">
            <w:pPr>
              <w:spacing w:before="0" w:after="0" w:line="240" w:lineRule="auto"/>
              <w:jc w:val="center"/>
              <w:rPr>
                <w:sz w:val="16"/>
                <w:szCs w:val="16"/>
              </w:rPr>
            </w:pPr>
            <w:r w:rsidRPr="0029055C">
              <w:rPr>
                <w:sz w:val="16"/>
                <w:szCs w:val="16"/>
              </w:rPr>
              <w:t>1.555.827,00</w:t>
            </w:r>
          </w:p>
        </w:tc>
        <w:tc>
          <w:tcPr>
            <w:tcW w:w="1183" w:type="pct"/>
            <w:shd w:val="clear" w:color="auto" w:fill="auto"/>
            <w:vAlign w:val="center"/>
            <w:hideMark/>
          </w:tcPr>
          <w:p w14:paraId="09D66020" w14:textId="77777777" w:rsidR="007924B5" w:rsidRPr="0029055C" w:rsidRDefault="007924B5" w:rsidP="007924B5">
            <w:pPr>
              <w:spacing w:before="0" w:after="0" w:line="240" w:lineRule="auto"/>
              <w:jc w:val="left"/>
              <w:rPr>
                <w:sz w:val="16"/>
                <w:szCs w:val="16"/>
              </w:rPr>
            </w:pPr>
            <w:r w:rsidRPr="0029055C">
              <w:rPr>
                <w:sz w:val="16"/>
                <w:szCs w:val="16"/>
              </w:rPr>
              <w:t>T4635. Αριθμός δημοσίων υπαλλήλων που συμμετέχουν σε προγράμματα κατάρτισης για την ανάπτυξη δεξιοτήτων/διοικητικών ικανοτήτων</w:t>
            </w:r>
          </w:p>
        </w:tc>
        <w:tc>
          <w:tcPr>
            <w:tcW w:w="280" w:type="pct"/>
            <w:shd w:val="clear" w:color="000000" w:fill="FFFFFF"/>
            <w:noWrap/>
            <w:vAlign w:val="center"/>
            <w:hideMark/>
          </w:tcPr>
          <w:p w14:paraId="00325D3B" w14:textId="77777777" w:rsidR="007924B5" w:rsidRPr="0029055C" w:rsidRDefault="007924B5" w:rsidP="007924B5">
            <w:pPr>
              <w:spacing w:before="0" w:after="0" w:line="240" w:lineRule="auto"/>
              <w:jc w:val="center"/>
              <w:rPr>
                <w:sz w:val="16"/>
                <w:szCs w:val="16"/>
              </w:rPr>
            </w:pPr>
            <w:r w:rsidRPr="0029055C">
              <w:rPr>
                <w:sz w:val="16"/>
                <w:szCs w:val="16"/>
              </w:rPr>
              <w:t>3.848</w:t>
            </w:r>
          </w:p>
        </w:tc>
        <w:tc>
          <w:tcPr>
            <w:tcW w:w="472" w:type="pct"/>
            <w:shd w:val="clear" w:color="auto" w:fill="auto"/>
            <w:noWrap/>
            <w:vAlign w:val="center"/>
            <w:hideMark/>
          </w:tcPr>
          <w:p w14:paraId="272F5D5A" w14:textId="77777777" w:rsidR="007924B5" w:rsidRPr="0029055C" w:rsidRDefault="007924B5" w:rsidP="007924B5">
            <w:pPr>
              <w:spacing w:before="0" w:after="0" w:line="240" w:lineRule="auto"/>
              <w:jc w:val="right"/>
              <w:rPr>
                <w:sz w:val="16"/>
                <w:szCs w:val="16"/>
              </w:rPr>
            </w:pPr>
            <w:r w:rsidRPr="0029055C">
              <w:rPr>
                <w:sz w:val="16"/>
                <w:szCs w:val="16"/>
              </w:rPr>
              <w:t>723.454,00</w:t>
            </w:r>
          </w:p>
        </w:tc>
        <w:tc>
          <w:tcPr>
            <w:tcW w:w="293" w:type="pct"/>
            <w:shd w:val="clear" w:color="000000" w:fill="D9D9D9"/>
            <w:noWrap/>
            <w:vAlign w:val="center"/>
            <w:hideMark/>
          </w:tcPr>
          <w:p w14:paraId="5F1D1305" w14:textId="77777777" w:rsidR="007924B5" w:rsidRPr="0029055C" w:rsidRDefault="007924B5" w:rsidP="007924B5">
            <w:pPr>
              <w:spacing w:before="0" w:after="0" w:line="240" w:lineRule="auto"/>
              <w:jc w:val="right"/>
              <w:rPr>
                <w:sz w:val="16"/>
                <w:szCs w:val="16"/>
              </w:rPr>
            </w:pPr>
            <w:r w:rsidRPr="0029055C">
              <w:rPr>
                <w:sz w:val="16"/>
                <w:szCs w:val="16"/>
              </w:rPr>
              <w:t>46,50%</w:t>
            </w:r>
          </w:p>
        </w:tc>
      </w:tr>
      <w:tr w:rsidR="007924B5" w:rsidRPr="0029055C" w14:paraId="1555EA21" w14:textId="77777777" w:rsidTr="007924B5">
        <w:trPr>
          <w:trHeight w:val="600"/>
        </w:trPr>
        <w:tc>
          <w:tcPr>
            <w:tcW w:w="1029" w:type="pct"/>
            <w:shd w:val="clear" w:color="000000" w:fill="D9D9D9"/>
            <w:noWrap/>
            <w:vAlign w:val="bottom"/>
            <w:hideMark/>
          </w:tcPr>
          <w:p w14:paraId="4A6A47DE"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0" w:type="pct"/>
            <w:shd w:val="clear" w:color="000000" w:fill="D9D9D9"/>
            <w:noWrap/>
            <w:vAlign w:val="bottom"/>
            <w:hideMark/>
          </w:tcPr>
          <w:p w14:paraId="6A53FA92"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806" w:type="pct"/>
            <w:vMerge/>
            <w:vAlign w:val="center"/>
            <w:hideMark/>
          </w:tcPr>
          <w:p w14:paraId="32C09499" w14:textId="77777777" w:rsidR="007924B5" w:rsidRPr="0029055C" w:rsidRDefault="007924B5" w:rsidP="007924B5">
            <w:pPr>
              <w:spacing w:before="0" w:after="0" w:line="240" w:lineRule="auto"/>
              <w:jc w:val="left"/>
              <w:rPr>
                <w:sz w:val="16"/>
                <w:szCs w:val="16"/>
              </w:rPr>
            </w:pPr>
          </w:p>
        </w:tc>
        <w:tc>
          <w:tcPr>
            <w:tcW w:w="467" w:type="pct"/>
            <w:vMerge/>
            <w:vAlign w:val="center"/>
            <w:hideMark/>
          </w:tcPr>
          <w:p w14:paraId="21117817" w14:textId="77777777" w:rsidR="007924B5" w:rsidRPr="0029055C" w:rsidRDefault="007924B5" w:rsidP="007924B5">
            <w:pPr>
              <w:spacing w:before="0" w:after="0" w:line="240" w:lineRule="auto"/>
              <w:jc w:val="left"/>
              <w:rPr>
                <w:sz w:val="16"/>
                <w:szCs w:val="16"/>
              </w:rPr>
            </w:pPr>
          </w:p>
        </w:tc>
        <w:tc>
          <w:tcPr>
            <w:tcW w:w="1183" w:type="pct"/>
            <w:shd w:val="clear" w:color="auto" w:fill="auto"/>
            <w:vAlign w:val="center"/>
            <w:hideMark/>
          </w:tcPr>
          <w:p w14:paraId="3638E146" w14:textId="77777777" w:rsidR="007924B5" w:rsidRPr="0029055C" w:rsidRDefault="007924B5" w:rsidP="007924B5">
            <w:pPr>
              <w:spacing w:before="0" w:after="0" w:line="240" w:lineRule="auto"/>
              <w:jc w:val="left"/>
              <w:rPr>
                <w:sz w:val="16"/>
                <w:szCs w:val="16"/>
              </w:rPr>
            </w:pPr>
            <w:r w:rsidRPr="0029055C">
              <w:rPr>
                <w:sz w:val="16"/>
                <w:szCs w:val="16"/>
              </w:rPr>
              <w:t>T4638. Αριθμός στελεχών που παρακολουθεί προγράμματα ταχείας εξέλιξης</w:t>
            </w:r>
          </w:p>
        </w:tc>
        <w:tc>
          <w:tcPr>
            <w:tcW w:w="280" w:type="pct"/>
            <w:shd w:val="clear" w:color="000000" w:fill="FFFFFF"/>
            <w:noWrap/>
            <w:vAlign w:val="center"/>
            <w:hideMark/>
          </w:tcPr>
          <w:p w14:paraId="3F2708E1" w14:textId="77777777" w:rsidR="007924B5" w:rsidRPr="0029055C" w:rsidRDefault="007924B5" w:rsidP="007924B5">
            <w:pPr>
              <w:spacing w:before="0" w:after="0" w:line="240" w:lineRule="auto"/>
              <w:jc w:val="center"/>
              <w:rPr>
                <w:sz w:val="16"/>
                <w:szCs w:val="16"/>
              </w:rPr>
            </w:pPr>
            <w:r w:rsidRPr="0029055C">
              <w:rPr>
                <w:sz w:val="16"/>
                <w:szCs w:val="16"/>
              </w:rPr>
              <w:t>14</w:t>
            </w:r>
          </w:p>
        </w:tc>
        <w:tc>
          <w:tcPr>
            <w:tcW w:w="472" w:type="pct"/>
            <w:shd w:val="clear" w:color="000000" w:fill="FFFFFF"/>
            <w:noWrap/>
            <w:vAlign w:val="center"/>
            <w:hideMark/>
          </w:tcPr>
          <w:p w14:paraId="578C8065" w14:textId="77777777" w:rsidR="007924B5" w:rsidRPr="0029055C" w:rsidRDefault="007924B5" w:rsidP="007924B5">
            <w:pPr>
              <w:spacing w:before="0" w:after="0" w:line="240" w:lineRule="auto"/>
              <w:jc w:val="right"/>
              <w:rPr>
                <w:sz w:val="16"/>
                <w:szCs w:val="16"/>
              </w:rPr>
            </w:pPr>
            <w:r w:rsidRPr="0029055C">
              <w:rPr>
                <w:sz w:val="16"/>
                <w:szCs w:val="16"/>
              </w:rPr>
              <w:t>373.913,00</w:t>
            </w:r>
          </w:p>
        </w:tc>
        <w:tc>
          <w:tcPr>
            <w:tcW w:w="293" w:type="pct"/>
            <w:shd w:val="clear" w:color="000000" w:fill="D9D9D9"/>
            <w:noWrap/>
            <w:vAlign w:val="center"/>
            <w:hideMark/>
          </w:tcPr>
          <w:p w14:paraId="442688AB" w14:textId="77777777" w:rsidR="007924B5" w:rsidRPr="0029055C" w:rsidRDefault="007924B5" w:rsidP="007924B5">
            <w:pPr>
              <w:spacing w:before="0" w:after="0" w:line="240" w:lineRule="auto"/>
              <w:jc w:val="right"/>
              <w:rPr>
                <w:sz w:val="16"/>
                <w:szCs w:val="16"/>
              </w:rPr>
            </w:pPr>
            <w:r w:rsidRPr="0029055C">
              <w:rPr>
                <w:sz w:val="16"/>
                <w:szCs w:val="16"/>
              </w:rPr>
              <w:t>24,03%</w:t>
            </w:r>
          </w:p>
        </w:tc>
      </w:tr>
      <w:tr w:rsidR="007924B5" w:rsidRPr="0029055C" w14:paraId="4FDFC99D" w14:textId="77777777" w:rsidTr="007924B5">
        <w:trPr>
          <w:trHeight w:val="465"/>
        </w:trPr>
        <w:tc>
          <w:tcPr>
            <w:tcW w:w="1029" w:type="pct"/>
            <w:shd w:val="clear" w:color="000000" w:fill="DCE6F1"/>
            <w:vAlign w:val="bottom"/>
            <w:hideMark/>
          </w:tcPr>
          <w:p w14:paraId="1C03BDF2" w14:textId="77777777" w:rsidR="007924B5" w:rsidRPr="0029055C" w:rsidRDefault="007924B5" w:rsidP="007924B5">
            <w:pPr>
              <w:spacing w:before="0" w:after="0" w:line="240" w:lineRule="auto"/>
              <w:jc w:val="left"/>
              <w:rPr>
                <w:b/>
                <w:bCs/>
                <w:sz w:val="16"/>
                <w:szCs w:val="16"/>
              </w:rPr>
            </w:pPr>
            <w:r w:rsidRPr="0029055C">
              <w:rPr>
                <w:b/>
                <w:bCs/>
                <w:sz w:val="16"/>
                <w:szCs w:val="16"/>
              </w:rPr>
              <w:t xml:space="preserve">Σύνολο Άξονα 9. </w:t>
            </w:r>
            <w:r w:rsidRPr="0029055C">
              <w:rPr>
                <w:sz w:val="16"/>
                <w:szCs w:val="16"/>
              </w:rPr>
              <w:t>Βελτίωση της διαχείρισης και ανάπτυξη του ανθρώπινου δυναμικού του Δημοσίου Τομέα στο ΝΟΤΙΟ ΑΙΓΑΙΟ</w:t>
            </w:r>
          </w:p>
        </w:tc>
        <w:tc>
          <w:tcPr>
            <w:tcW w:w="470" w:type="pct"/>
            <w:shd w:val="clear" w:color="000000" w:fill="DCE6F1"/>
            <w:noWrap/>
            <w:vAlign w:val="center"/>
            <w:hideMark/>
          </w:tcPr>
          <w:p w14:paraId="569AAB1A" w14:textId="77777777" w:rsidR="007924B5" w:rsidRPr="0029055C" w:rsidRDefault="007924B5" w:rsidP="007924B5">
            <w:pPr>
              <w:spacing w:before="0" w:after="0" w:line="240" w:lineRule="auto"/>
              <w:jc w:val="right"/>
              <w:rPr>
                <w:b/>
                <w:bCs/>
                <w:sz w:val="16"/>
                <w:szCs w:val="16"/>
              </w:rPr>
            </w:pPr>
            <w:r w:rsidRPr="0029055C">
              <w:rPr>
                <w:b/>
                <w:bCs/>
                <w:sz w:val="16"/>
                <w:szCs w:val="16"/>
              </w:rPr>
              <w:t>1.555.827,00</w:t>
            </w:r>
          </w:p>
        </w:tc>
        <w:tc>
          <w:tcPr>
            <w:tcW w:w="806" w:type="pct"/>
            <w:shd w:val="clear" w:color="000000" w:fill="DCE6F1"/>
            <w:noWrap/>
            <w:vAlign w:val="center"/>
            <w:hideMark/>
          </w:tcPr>
          <w:p w14:paraId="06A2FB83"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67" w:type="pct"/>
            <w:shd w:val="clear" w:color="000000" w:fill="DCE6F1"/>
            <w:noWrap/>
            <w:vAlign w:val="bottom"/>
            <w:hideMark/>
          </w:tcPr>
          <w:p w14:paraId="359775C1" w14:textId="77777777" w:rsidR="007924B5" w:rsidRPr="0029055C" w:rsidRDefault="007924B5" w:rsidP="007924B5">
            <w:pPr>
              <w:spacing w:before="0" w:after="0" w:line="240" w:lineRule="auto"/>
              <w:jc w:val="right"/>
              <w:rPr>
                <w:sz w:val="16"/>
                <w:szCs w:val="16"/>
              </w:rPr>
            </w:pPr>
            <w:r w:rsidRPr="0029055C">
              <w:rPr>
                <w:sz w:val="16"/>
                <w:szCs w:val="16"/>
              </w:rPr>
              <w:t> </w:t>
            </w:r>
          </w:p>
        </w:tc>
        <w:tc>
          <w:tcPr>
            <w:tcW w:w="1183" w:type="pct"/>
            <w:shd w:val="clear" w:color="000000" w:fill="DCE6F1"/>
            <w:noWrap/>
            <w:vAlign w:val="bottom"/>
            <w:hideMark/>
          </w:tcPr>
          <w:p w14:paraId="0E8D4A8D"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280" w:type="pct"/>
            <w:shd w:val="clear" w:color="000000" w:fill="DCE6F1"/>
            <w:noWrap/>
            <w:vAlign w:val="bottom"/>
            <w:hideMark/>
          </w:tcPr>
          <w:p w14:paraId="5D71CA1A" w14:textId="77777777" w:rsidR="007924B5" w:rsidRPr="0029055C" w:rsidRDefault="007924B5" w:rsidP="007924B5">
            <w:pPr>
              <w:spacing w:before="0" w:after="0" w:line="240" w:lineRule="auto"/>
              <w:jc w:val="left"/>
              <w:rPr>
                <w:sz w:val="16"/>
                <w:szCs w:val="16"/>
              </w:rPr>
            </w:pPr>
            <w:r w:rsidRPr="0029055C">
              <w:rPr>
                <w:sz w:val="16"/>
                <w:szCs w:val="16"/>
              </w:rPr>
              <w:t> </w:t>
            </w:r>
          </w:p>
        </w:tc>
        <w:tc>
          <w:tcPr>
            <w:tcW w:w="472" w:type="pct"/>
            <w:shd w:val="clear" w:color="000000" w:fill="DCE6F1"/>
            <w:noWrap/>
            <w:vAlign w:val="center"/>
            <w:hideMark/>
          </w:tcPr>
          <w:p w14:paraId="71634133" w14:textId="77777777" w:rsidR="007924B5" w:rsidRPr="0029055C" w:rsidRDefault="007924B5" w:rsidP="007924B5">
            <w:pPr>
              <w:spacing w:before="0" w:after="0" w:line="240" w:lineRule="auto"/>
              <w:jc w:val="right"/>
              <w:rPr>
                <w:b/>
                <w:bCs/>
                <w:sz w:val="16"/>
                <w:szCs w:val="16"/>
              </w:rPr>
            </w:pPr>
            <w:r w:rsidRPr="0029055C">
              <w:rPr>
                <w:b/>
                <w:bCs/>
                <w:sz w:val="16"/>
                <w:szCs w:val="16"/>
              </w:rPr>
              <w:t>1.097.367,00</w:t>
            </w:r>
          </w:p>
        </w:tc>
        <w:tc>
          <w:tcPr>
            <w:tcW w:w="293" w:type="pct"/>
            <w:shd w:val="clear" w:color="000000" w:fill="DCE6F1"/>
            <w:noWrap/>
            <w:vAlign w:val="center"/>
            <w:hideMark/>
          </w:tcPr>
          <w:p w14:paraId="07C9481A" w14:textId="77777777" w:rsidR="007924B5" w:rsidRPr="0029055C" w:rsidRDefault="007924B5" w:rsidP="007924B5">
            <w:pPr>
              <w:spacing w:before="0" w:after="0" w:line="240" w:lineRule="auto"/>
              <w:jc w:val="right"/>
              <w:rPr>
                <w:b/>
                <w:bCs/>
                <w:sz w:val="16"/>
                <w:szCs w:val="16"/>
              </w:rPr>
            </w:pPr>
            <w:r w:rsidRPr="0029055C">
              <w:rPr>
                <w:b/>
                <w:bCs/>
                <w:sz w:val="16"/>
                <w:szCs w:val="16"/>
              </w:rPr>
              <w:t>70,53%</w:t>
            </w:r>
          </w:p>
        </w:tc>
      </w:tr>
    </w:tbl>
    <w:p w14:paraId="57466067" w14:textId="77777777" w:rsidR="007924B5" w:rsidRPr="0029055C" w:rsidRDefault="007924B5" w:rsidP="007924B5">
      <w:pPr>
        <w:rPr>
          <w:lang w:eastAsia="en-US"/>
        </w:rPr>
        <w:sectPr w:rsidR="007924B5" w:rsidRPr="0029055C" w:rsidSect="003154D4">
          <w:headerReference w:type="default" r:id="rId18"/>
          <w:footerReference w:type="default" r:id="rId19"/>
          <w:pgSz w:w="16838" w:h="11906" w:orient="landscape" w:code="9"/>
          <w:pgMar w:top="1814" w:right="1418" w:bottom="1134" w:left="1418" w:header="567" w:footer="284" w:gutter="0"/>
          <w:cols w:space="708"/>
          <w:docGrid w:linePitch="360"/>
        </w:sectPr>
      </w:pPr>
    </w:p>
    <w:p w14:paraId="41ED3D7D" w14:textId="77777777" w:rsidR="004437C3" w:rsidRPr="0029055C" w:rsidRDefault="004437C3" w:rsidP="004437C3">
      <w:pPr>
        <w:pStyle w:val="Heading1"/>
      </w:pPr>
      <w:bookmarkStart w:id="10" w:name="_Toc519758759"/>
      <w:r w:rsidRPr="0029055C">
        <w:lastRenderedPageBreak/>
        <w:t>Αποτύπωση των αναμενόμενων επιπτώσεων της τροποποίησης του ΕΠ ΜΔΤ</w:t>
      </w:r>
      <w:bookmarkEnd w:id="10"/>
    </w:p>
    <w:p w14:paraId="455CB7BB" w14:textId="77777777" w:rsidR="00507AF3" w:rsidRPr="0029055C" w:rsidRDefault="00507AF3" w:rsidP="003328FF">
      <w:pPr>
        <w:spacing w:line="280" w:lineRule="atLeast"/>
        <w:rPr>
          <w:sz w:val="22"/>
        </w:rPr>
      </w:pPr>
      <w:r w:rsidRPr="0029055C">
        <w:rPr>
          <w:sz w:val="22"/>
        </w:rPr>
        <w:t xml:space="preserve">Η προτεινόμενη </w:t>
      </w:r>
      <w:r w:rsidR="00EA3A80" w:rsidRPr="0029055C">
        <w:rPr>
          <w:sz w:val="22"/>
        </w:rPr>
        <w:t>Α</w:t>
      </w:r>
      <w:r w:rsidRPr="0029055C">
        <w:rPr>
          <w:sz w:val="22"/>
        </w:rPr>
        <w:t>ναθεώρηση δεν</w:t>
      </w:r>
      <w:r w:rsidR="002622EA" w:rsidRPr="0029055C">
        <w:rPr>
          <w:sz w:val="22"/>
        </w:rPr>
        <w:t xml:space="preserve"> διαφοροποιεί ουσιαστικά </w:t>
      </w:r>
      <w:r w:rsidRPr="0029055C">
        <w:rPr>
          <w:sz w:val="22"/>
        </w:rPr>
        <w:t>τη φύση</w:t>
      </w:r>
      <w:r w:rsidR="002622EA" w:rsidRPr="0029055C">
        <w:rPr>
          <w:sz w:val="22"/>
        </w:rPr>
        <w:t xml:space="preserve"> </w:t>
      </w:r>
      <w:r w:rsidRPr="0029055C">
        <w:rPr>
          <w:sz w:val="22"/>
        </w:rPr>
        <w:t>/</w:t>
      </w:r>
      <w:r w:rsidR="002622EA" w:rsidRPr="0029055C">
        <w:rPr>
          <w:sz w:val="22"/>
        </w:rPr>
        <w:t xml:space="preserve"> </w:t>
      </w:r>
      <w:r w:rsidRPr="0029055C">
        <w:rPr>
          <w:sz w:val="22"/>
        </w:rPr>
        <w:t xml:space="preserve">είδος  των παρεμβάσεων του Προγράμματος, οι οποίες </w:t>
      </w:r>
      <w:r w:rsidR="00EA3A80" w:rsidRPr="0029055C">
        <w:rPr>
          <w:sz w:val="22"/>
        </w:rPr>
        <w:t xml:space="preserve">στην πλειονότητά τους αποτελούν οριζόντιες συστημικές παρεμβάσεις </w:t>
      </w:r>
      <w:r w:rsidRPr="0029055C">
        <w:rPr>
          <w:sz w:val="22"/>
        </w:rPr>
        <w:t xml:space="preserve">που </w:t>
      </w:r>
      <w:r w:rsidR="00EA3A80" w:rsidRPr="0029055C">
        <w:rPr>
          <w:sz w:val="22"/>
        </w:rPr>
        <w:t>στοχεύουν στην ενίσχυση της αποτελεσματικότητας και αποδοτικότητας των δημοσίων φορέων και στην εξασφάλιση της ενιαίας λειτουργίας του δημοσίου τομέα προς όφελος του κράτους, των πολιτών και των επιχειρήσεων</w:t>
      </w:r>
      <w:r w:rsidRPr="0029055C">
        <w:rPr>
          <w:sz w:val="22"/>
        </w:rPr>
        <w:t>.</w:t>
      </w:r>
    </w:p>
    <w:p w14:paraId="11015A2D" w14:textId="77777777" w:rsidR="00507AF3" w:rsidRPr="0029055C" w:rsidRDefault="00507AF3" w:rsidP="003328FF">
      <w:pPr>
        <w:spacing w:line="280" w:lineRule="atLeast"/>
        <w:rPr>
          <w:sz w:val="22"/>
        </w:rPr>
      </w:pPr>
      <w:r w:rsidRPr="0029055C">
        <w:rPr>
          <w:sz w:val="22"/>
        </w:rPr>
        <w:t xml:space="preserve">Η </w:t>
      </w:r>
      <w:r w:rsidRPr="0029055C">
        <w:rPr>
          <w:b/>
          <w:sz w:val="22"/>
        </w:rPr>
        <w:t>βασική στρατηγική στόχευση</w:t>
      </w:r>
      <w:r w:rsidRPr="0029055C">
        <w:rPr>
          <w:sz w:val="22"/>
        </w:rPr>
        <w:t xml:space="preserve"> του Προγράμματος</w:t>
      </w:r>
      <w:r w:rsidR="003328FF" w:rsidRPr="0029055C">
        <w:rPr>
          <w:sz w:val="22"/>
        </w:rPr>
        <w:t>:</w:t>
      </w:r>
      <w:r w:rsidRPr="0029055C">
        <w:rPr>
          <w:sz w:val="22"/>
        </w:rPr>
        <w:t xml:space="preserve"> </w:t>
      </w:r>
      <w:r w:rsidR="003328FF" w:rsidRPr="0029055C">
        <w:rPr>
          <w:i/>
          <w:sz w:val="22"/>
        </w:rPr>
        <w:t>«η ελληνική ΔΔ να καταστεί συνεκτική, καλά συντονισμένη, ευέλικτη, εξωστρεφής και προσανατολισμένη στο αποτέλεσμα, αποκαθιστώντας τη σχέση εμπιστοσύνης του κράτους με τους πολίτες και τις επιχειρήσεις, παρέχοντας πολιτοκεντρικές και συνεχώς αναβαθμιζόμενες υπηρεσίες, αποτελώντας έτσι έναν από τους βασικούς πυλώνες για την ανάκαμψη της χώρας»</w:t>
      </w:r>
      <w:r w:rsidRPr="0029055C">
        <w:rPr>
          <w:sz w:val="22"/>
        </w:rPr>
        <w:t xml:space="preserve">, </w:t>
      </w:r>
      <w:r w:rsidRPr="0029055C">
        <w:rPr>
          <w:b/>
          <w:sz w:val="22"/>
        </w:rPr>
        <w:t>παραμένει αμετάβλητη</w:t>
      </w:r>
      <w:r w:rsidRPr="0029055C">
        <w:rPr>
          <w:sz w:val="22"/>
        </w:rPr>
        <w:t xml:space="preserve">. </w:t>
      </w:r>
    </w:p>
    <w:p w14:paraId="7BED30A2" w14:textId="77777777" w:rsidR="003328FF" w:rsidRPr="0029055C" w:rsidRDefault="003328FF" w:rsidP="003328FF">
      <w:pPr>
        <w:spacing w:line="280" w:lineRule="atLeast"/>
        <w:rPr>
          <w:sz w:val="22"/>
          <w:szCs w:val="21"/>
        </w:rPr>
      </w:pPr>
      <w:r w:rsidRPr="0029055C">
        <w:rPr>
          <w:sz w:val="22"/>
          <w:szCs w:val="21"/>
        </w:rPr>
        <w:t xml:space="preserve">Η προτεινόμενη αναθεώρηση του ΕΠ ΜΔΤ βασίζεται πρωτίστως σε αναπτυξιακούς και δευτερευόντως σε διαχειριστικούς στόχους, προς το σκοπό να αξιοποιηθεί κατά το μέγιστο δυνατό το συγκεκριμένο Πρόγραμμα στην εθνική προσπάθεια για την αποτελεσματική εφαρμογή διαρθρωτικών μεταρρυθμίσεων στο Δημόσιο Τομέα. </w:t>
      </w:r>
    </w:p>
    <w:p w14:paraId="556FB135" w14:textId="77777777" w:rsidR="003328FF" w:rsidRPr="0029055C" w:rsidRDefault="003328FF" w:rsidP="003328FF">
      <w:pPr>
        <w:spacing w:line="280" w:lineRule="atLeast"/>
        <w:rPr>
          <w:sz w:val="22"/>
        </w:rPr>
      </w:pPr>
      <w:r w:rsidRPr="0029055C">
        <w:rPr>
          <w:sz w:val="22"/>
        </w:rPr>
        <w:t xml:space="preserve">Πιο συγκεκριμένα, η προτεινόμενη αναθεώρηση του Προγράμματος αναμένεται να συμβάλει: </w:t>
      </w:r>
    </w:p>
    <w:p w14:paraId="38EE2FEC" w14:textId="77777777" w:rsidR="003328FF" w:rsidRPr="0029055C" w:rsidRDefault="002622EA" w:rsidP="00890994">
      <w:pPr>
        <w:pStyle w:val="ListParagraph"/>
        <w:numPr>
          <w:ilvl w:val="0"/>
          <w:numId w:val="29"/>
        </w:numPr>
        <w:spacing w:line="280" w:lineRule="atLeast"/>
        <w:ind w:left="714" w:hanging="357"/>
        <w:contextualSpacing w:val="0"/>
        <w:rPr>
          <w:sz w:val="22"/>
          <w:szCs w:val="21"/>
        </w:rPr>
      </w:pPr>
      <w:r w:rsidRPr="0029055C">
        <w:rPr>
          <w:sz w:val="22"/>
          <w:szCs w:val="21"/>
        </w:rPr>
        <w:t>Σ</w:t>
      </w:r>
      <w:r w:rsidR="003328FF" w:rsidRPr="0029055C">
        <w:rPr>
          <w:sz w:val="22"/>
          <w:szCs w:val="21"/>
        </w:rPr>
        <w:t>τη διασφάλιση της αποτελεσματικής και αποδοτικής υλοποίησης του Προγράμματος με τον περιορισμό δράσεων στην υλοποίηση των οποίων παρουσιάζονται σημαντικές δυσχέρειες</w:t>
      </w:r>
      <w:r w:rsidR="00BB1DEC" w:rsidRPr="0029055C">
        <w:rPr>
          <w:sz w:val="22"/>
          <w:szCs w:val="21"/>
        </w:rPr>
        <w:t>,</w:t>
      </w:r>
      <w:r w:rsidR="003328FF" w:rsidRPr="0029055C">
        <w:rPr>
          <w:sz w:val="22"/>
          <w:szCs w:val="21"/>
        </w:rPr>
        <w:t xml:space="preserve"> που καθιστούν αβέβαιη τη λειτουργική ολοκλήρωσή τους εντός της τρέχουσας Προγραμματικής Περιόδου</w:t>
      </w:r>
      <w:r w:rsidRPr="0029055C">
        <w:rPr>
          <w:sz w:val="22"/>
          <w:szCs w:val="21"/>
        </w:rPr>
        <w:t>.</w:t>
      </w:r>
    </w:p>
    <w:p w14:paraId="24B13944" w14:textId="77777777" w:rsidR="002622EA" w:rsidRPr="0029055C" w:rsidRDefault="002622EA" w:rsidP="00890994">
      <w:pPr>
        <w:pStyle w:val="ListParagraph"/>
        <w:numPr>
          <w:ilvl w:val="0"/>
          <w:numId w:val="29"/>
        </w:numPr>
        <w:spacing w:line="280" w:lineRule="atLeast"/>
        <w:ind w:left="714" w:hanging="357"/>
        <w:contextualSpacing w:val="0"/>
        <w:rPr>
          <w:sz w:val="22"/>
          <w:szCs w:val="21"/>
        </w:rPr>
      </w:pPr>
      <w:r w:rsidRPr="0029055C">
        <w:rPr>
          <w:sz w:val="22"/>
          <w:szCs w:val="21"/>
        </w:rPr>
        <w:t xml:space="preserve">Στην ενίσχυση </w:t>
      </w:r>
      <w:r w:rsidR="00890994" w:rsidRPr="0029055C">
        <w:rPr>
          <w:sz w:val="22"/>
          <w:szCs w:val="21"/>
        </w:rPr>
        <w:t>της παρέμβασης του Προγράμματος στον τομέα της ανάπτυξης των γνώσεων, δεξιοτήτων και ικανοτήτων του Ανθρώπινου Δυναμικού του Δημόσιου Τομέα</w:t>
      </w:r>
      <w:r w:rsidRPr="0029055C">
        <w:rPr>
          <w:sz w:val="22"/>
          <w:szCs w:val="21"/>
        </w:rPr>
        <w:t>.</w:t>
      </w:r>
    </w:p>
    <w:p w14:paraId="3DEEB8F3" w14:textId="77777777" w:rsidR="00890994" w:rsidRPr="0029055C" w:rsidRDefault="00890994" w:rsidP="00890994">
      <w:pPr>
        <w:pStyle w:val="ListParagraph"/>
        <w:numPr>
          <w:ilvl w:val="0"/>
          <w:numId w:val="29"/>
        </w:numPr>
        <w:spacing w:line="280" w:lineRule="atLeast"/>
        <w:ind w:left="714" w:hanging="357"/>
        <w:contextualSpacing w:val="0"/>
        <w:rPr>
          <w:sz w:val="22"/>
          <w:szCs w:val="21"/>
        </w:rPr>
      </w:pPr>
      <w:r w:rsidRPr="0029055C">
        <w:rPr>
          <w:sz w:val="22"/>
          <w:szCs w:val="21"/>
        </w:rPr>
        <w:t>Στη διασφάλιση της χρηματοδότησης της λειτουργίας των σχολών ΕΚΔΔΑ και ΕΣΔι.</w:t>
      </w:r>
    </w:p>
    <w:p w14:paraId="0A3A148D" w14:textId="5D6BBC61" w:rsidR="002622EA" w:rsidRPr="0029055C" w:rsidRDefault="00BB1DEC" w:rsidP="00890994">
      <w:pPr>
        <w:pStyle w:val="ListParagraph"/>
        <w:numPr>
          <w:ilvl w:val="0"/>
          <w:numId w:val="29"/>
        </w:numPr>
        <w:spacing w:line="280" w:lineRule="atLeast"/>
        <w:ind w:left="714" w:hanging="357"/>
        <w:contextualSpacing w:val="0"/>
        <w:rPr>
          <w:sz w:val="22"/>
          <w:szCs w:val="21"/>
        </w:rPr>
      </w:pPr>
      <w:r w:rsidRPr="0029055C">
        <w:rPr>
          <w:sz w:val="22"/>
          <w:szCs w:val="21"/>
        </w:rPr>
        <w:t xml:space="preserve">Στη διασφάλιση της αποτελεσματικότερης παρακολούθησης και συντονισμού της υλοποίησης του </w:t>
      </w:r>
      <w:r w:rsidR="00416A7D" w:rsidRPr="0029055C">
        <w:rPr>
          <w:sz w:val="22"/>
          <w:szCs w:val="21"/>
        </w:rPr>
        <w:t>Μ</w:t>
      </w:r>
      <w:r w:rsidRPr="0029055C">
        <w:rPr>
          <w:sz w:val="22"/>
          <w:szCs w:val="21"/>
        </w:rPr>
        <w:t xml:space="preserve">εγάλου </w:t>
      </w:r>
      <w:r w:rsidR="00416A7D" w:rsidRPr="0029055C">
        <w:rPr>
          <w:sz w:val="22"/>
          <w:szCs w:val="21"/>
        </w:rPr>
        <w:t>Έ</w:t>
      </w:r>
      <w:r w:rsidRPr="0029055C">
        <w:rPr>
          <w:sz w:val="22"/>
          <w:szCs w:val="21"/>
        </w:rPr>
        <w:t>ργου «ΣΥΖΕΥΞΙΣ ΙΙ», με τη συγκέντρωση των απαιτούμενων πόρων για την υλοποίησή του στο ΕΠ ΜΔΤ.</w:t>
      </w:r>
    </w:p>
    <w:p w14:paraId="713329A1" w14:textId="77777777" w:rsidR="00EA3A80" w:rsidRPr="0029055C" w:rsidRDefault="00573064" w:rsidP="00507AF3">
      <w:pPr>
        <w:spacing w:line="280" w:lineRule="atLeast"/>
        <w:rPr>
          <w:sz w:val="22"/>
          <w:szCs w:val="21"/>
        </w:rPr>
      </w:pPr>
      <w:r w:rsidRPr="0029055C">
        <w:rPr>
          <w:sz w:val="22"/>
          <w:szCs w:val="21"/>
        </w:rPr>
        <w:t>Με την προτεινόμενη αναθεώρηση δεν τροποποιείται η δομή του Προγράμματος, το οποίο εξακολουθεί να αποτελείται από πέντε (5) Θεματικούς Άξονες, κάθε ένας από τους οποίους περιλαμβάνει 3 Άξονες Προτεραιότητας (</w:t>
      </w:r>
      <w:r w:rsidR="00176CAC" w:rsidRPr="0029055C">
        <w:rPr>
          <w:sz w:val="22"/>
          <w:szCs w:val="21"/>
        </w:rPr>
        <w:t>δύο ΑΠ για τις</w:t>
      </w:r>
      <w:r w:rsidRPr="0029055C">
        <w:rPr>
          <w:sz w:val="22"/>
          <w:szCs w:val="21"/>
        </w:rPr>
        <w:t xml:space="preserve"> Περ</w:t>
      </w:r>
      <w:r w:rsidR="00176CAC" w:rsidRPr="0029055C">
        <w:rPr>
          <w:sz w:val="22"/>
          <w:szCs w:val="21"/>
        </w:rPr>
        <w:t xml:space="preserve">ιφέρειες Στερεάς Ελλάδας και </w:t>
      </w:r>
      <w:r w:rsidRPr="0029055C">
        <w:rPr>
          <w:sz w:val="22"/>
          <w:szCs w:val="21"/>
        </w:rPr>
        <w:t xml:space="preserve"> </w:t>
      </w:r>
      <w:r w:rsidR="00176CAC" w:rsidRPr="0029055C">
        <w:rPr>
          <w:sz w:val="22"/>
          <w:szCs w:val="21"/>
        </w:rPr>
        <w:t>Νοτίου Αιγαίου, λόγω του διαφορετικού ποσοστού κοινοτικής χρηματοδότησης, και ένας για τις υπόλοιπες 11 Περιφέρειες).</w:t>
      </w:r>
    </w:p>
    <w:p w14:paraId="52D0FF79" w14:textId="262F9D0C" w:rsidR="00176CAC" w:rsidRPr="0029055C" w:rsidRDefault="00176CAC" w:rsidP="00507AF3">
      <w:pPr>
        <w:spacing w:line="280" w:lineRule="atLeast"/>
        <w:rPr>
          <w:sz w:val="22"/>
          <w:szCs w:val="21"/>
        </w:rPr>
      </w:pPr>
      <w:r w:rsidRPr="0029055C">
        <w:rPr>
          <w:sz w:val="22"/>
          <w:szCs w:val="21"/>
        </w:rPr>
        <w:t>Παράλληλα, το ΕΠ ΜΔΤ εξακολουθεί να περιλαμβάνει 2 Επενδυτικές Προτεραιότητες και 7 Ειδικούς Στόχους (εκτός των ΑΠ Τεχνικής Βοήθειας), στους οποίους εντάσσονται 13 Κατηγορίες Δράσης / Παρέμβασης.</w:t>
      </w:r>
    </w:p>
    <w:p w14:paraId="36E593B5" w14:textId="5CA5A269" w:rsidR="00F20C55" w:rsidRPr="0029055C" w:rsidRDefault="00176CAC" w:rsidP="00507AF3">
      <w:pPr>
        <w:spacing w:line="280" w:lineRule="atLeast"/>
        <w:rPr>
          <w:sz w:val="22"/>
          <w:szCs w:val="21"/>
        </w:rPr>
      </w:pPr>
      <w:r w:rsidRPr="0029055C">
        <w:rPr>
          <w:sz w:val="22"/>
          <w:szCs w:val="21"/>
        </w:rPr>
        <w:t xml:space="preserve">Η χρηματοδοτική βαρύτητα των παρεμβάσεων που χρηματοδοτούνται από το ΕΚΤ στο σύνολο του ΕΠ, </w:t>
      </w:r>
      <w:r w:rsidRPr="0029055C">
        <w:rPr>
          <w:b/>
          <w:sz w:val="22"/>
          <w:szCs w:val="21"/>
        </w:rPr>
        <w:t>μειώνεται από 55,</w:t>
      </w:r>
      <w:r w:rsidR="00615184" w:rsidRPr="0029055C">
        <w:rPr>
          <w:b/>
          <w:sz w:val="22"/>
          <w:szCs w:val="21"/>
        </w:rPr>
        <w:t>83</w:t>
      </w:r>
      <w:r w:rsidRPr="0029055C">
        <w:rPr>
          <w:b/>
          <w:sz w:val="22"/>
          <w:szCs w:val="21"/>
        </w:rPr>
        <w:t xml:space="preserve">% σε </w:t>
      </w:r>
      <w:r w:rsidR="00615184" w:rsidRPr="0029055C">
        <w:rPr>
          <w:b/>
          <w:sz w:val="22"/>
          <w:szCs w:val="21"/>
        </w:rPr>
        <w:t>48,32%</w:t>
      </w:r>
      <w:r w:rsidRPr="0029055C">
        <w:rPr>
          <w:sz w:val="22"/>
          <w:szCs w:val="21"/>
        </w:rPr>
        <w:t>, λ</w:t>
      </w:r>
      <w:r w:rsidR="00F20C55" w:rsidRPr="0029055C">
        <w:rPr>
          <w:sz w:val="22"/>
          <w:szCs w:val="21"/>
        </w:rPr>
        <w:t>όγ</w:t>
      </w:r>
      <w:r w:rsidRPr="0029055C">
        <w:rPr>
          <w:sz w:val="22"/>
          <w:szCs w:val="21"/>
        </w:rPr>
        <w:t xml:space="preserve">ω της προσθήκης </w:t>
      </w:r>
      <w:r w:rsidR="00615184" w:rsidRPr="0029055C">
        <w:rPr>
          <w:sz w:val="22"/>
          <w:szCs w:val="21"/>
        </w:rPr>
        <w:t xml:space="preserve">πόρων ύψους 62.204.800 από το ΕΤΠΑ </w:t>
      </w:r>
      <w:r w:rsidRPr="0029055C">
        <w:rPr>
          <w:sz w:val="22"/>
          <w:szCs w:val="21"/>
        </w:rPr>
        <w:t xml:space="preserve">για τη χρηματοδότηση του </w:t>
      </w:r>
      <w:r w:rsidR="00277424" w:rsidRPr="0029055C">
        <w:rPr>
          <w:sz w:val="22"/>
          <w:szCs w:val="21"/>
        </w:rPr>
        <w:t>Μ</w:t>
      </w:r>
      <w:r w:rsidRPr="0029055C">
        <w:rPr>
          <w:sz w:val="22"/>
          <w:szCs w:val="21"/>
        </w:rPr>
        <w:t xml:space="preserve">εγάλου </w:t>
      </w:r>
      <w:r w:rsidR="00277424" w:rsidRPr="0029055C">
        <w:rPr>
          <w:sz w:val="22"/>
          <w:szCs w:val="21"/>
        </w:rPr>
        <w:t>Έ</w:t>
      </w:r>
      <w:r w:rsidRPr="0029055C">
        <w:rPr>
          <w:sz w:val="22"/>
          <w:szCs w:val="21"/>
        </w:rPr>
        <w:t>ργου «ΣΥΖΕΥΞΙΣ ΙΙ</w:t>
      </w:r>
      <w:r w:rsidR="00F20C55" w:rsidRPr="0029055C">
        <w:rPr>
          <w:sz w:val="22"/>
          <w:szCs w:val="21"/>
        </w:rPr>
        <w:t>».</w:t>
      </w:r>
      <w:r w:rsidR="00D53A75" w:rsidRPr="0029055C">
        <w:rPr>
          <w:sz w:val="22"/>
          <w:szCs w:val="21"/>
        </w:rPr>
        <w:t xml:space="preserve"> </w:t>
      </w:r>
    </w:p>
    <w:p w14:paraId="20605CEC" w14:textId="751A3F42" w:rsidR="00DD7F0C" w:rsidRPr="0029055C" w:rsidRDefault="00DD7F0C" w:rsidP="00507AF3">
      <w:pPr>
        <w:spacing w:line="280" w:lineRule="atLeast"/>
        <w:rPr>
          <w:sz w:val="22"/>
          <w:szCs w:val="21"/>
        </w:rPr>
      </w:pPr>
      <w:r w:rsidRPr="0029055C">
        <w:rPr>
          <w:sz w:val="22"/>
          <w:szCs w:val="21"/>
        </w:rPr>
        <w:t xml:space="preserve">Η κατανομή των πρόσθετων πόρων ΕΤΠΑ στους </w:t>
      </w:r>
      <w:r w:rsidR="00A8078E">
        <w:rPr>
          <w:sz w:val="22"/>
          <w:szCs w:val="21"/>
        </w:rPr>
        <w:t xml:space="preserve">Άξονες Προτεραιότητας </w:t>
      </w:r>
      <w:r w:rsidRPr="0029055C">
        <w:rPr>
          <w:sz w:val="22"/>
          <w:szCs w:val="21"/>
        </w:rPr>
        <w:t xml:space="preserve">του Θεματικού Άξονα ΙΙ πραγματοποιείται με βάση την υφιστάμενη κατανομή των πόρων ΕΤΠΑ στις Κατηγορίες Περιφερειών, με αποτέλεσμα οι κλείδες </w:t>
      </w:r>
      <w:r w:rsidR="00357B6E">
        <w:rPr>
          <w:sz w:val="22"/>
          <w:szCs w:val="21"/>
        </w:rPr>
        <w:t>επιμερισμού του προϋπολογισμού τ</w:t>
      </w:r>
      <w:r w:rsidRPr="0029055C">
        <w:rPr>
          <w:sz w:val="22"/>
          <w:szCs w:val="21"/>
        </w:rPr>
        <w:t>ου ΘΑ ΙΙ να μην μεταβληθούν.</w:t>
      </w:r>
    </w:p>
    <w:p w14:paraId="2BD99F3B" w14:textId="3B319004" w:rsidR="00DD7F0C" w:rsidRPr="0029055C" w:rsidRDefault="00DD7F0C" w:rsidP="00507AF3">
      <w:pPr>
        <w:spacing w:line="280" w:lineRule="atLeast"/>
        <w:rPr>
          <w:sz w:val="22"/>
          <w:szCs w:val="21"/>
        </w:rPr>
      </w:pPr>
      <w:r w:rsidRPr="00357B6E">
        <w:rPr>
          <w:sz w:val="22"/>
          <w:szCs w:val="21"/>
        </w:rPr>
        <w:t>Επιπρόσθετα, οι εσωτερικές ανακατανομές των πόρων ΕΚΤ μετα</w:t>
      </w:r>
      <w:r w:rsidR="00A8078E" w:rsidRPr="00357B6E">
        <w:rPr>
          <w:sz w:val="22"/>
          <w:szCs w:val="21"/>
        </w:rPr>
        <w:t>ξύ των Θεματικών Αξόνων Ι και ΙΙΙ πραγματοποιούνται με τέτοιο τρόπο</w:t>
      </w:r>
      <w:r w:rsidR="00357B6E" w:rsidRPr="00357B6E">
        <w:rPr>
          <w:sz w:val="22"/>
          <w:szCs w:val="21"/>
        </w:rPr>
        <w:t>,</w:t>
      </w:r>
      <w:r w:rsidR="00A8078E" w:rsidRPr="00357B6E">
        <w:rPr>
          <w:sz w:val="22"/>
          <w:szCs w:val="21"/>
        </w:rPr>
        <w:t xml:space="preserve"> ώστε να μην διαταραχθεί η κατανομή των πόρων του ΕΚΤ στις </w:t>
      </w:r>
      <w:r w:rsidR="00A8078E" w:rsidRPr="00357B6E">
        <w:rPr>
          <w:sz w:val="22"/>
          <w:szCs w:val="21"/>
        </w:rPr>
        <w:lastRenderedPageBreak/>
        <w:t>Κατηγορίες Περιφερει</w:t>
      </w:r>
      <w:r w:rsidR="00357B6E" w:rsidRPr="00357B6E">
        <w:rPr>
          <w:sz w:val="22"/>
          <w:szCs w:val="21"/>
        </w:rPr>
        <w:t>ών, με αποτέλεσμα οι κλείδες επιμερισμού του προϋπολογισμού των ΘΑ Ι και ΙΙΙ να παραμείνουν αμετάβλητες.</w:t>
      </w:r>
    </w:p>
    <w:p w14:paraId="56BE5793" w14:textId="77777777" w:rsidR="00F20C55" w:rsidRPr="0029055C" w:rsidRDefault="00F20C55" w:rsidP="00F20C55">
      <w:pPr>
        <w:spacing w:line="280" w:lineRule="atLeast"/>
        <w:rPr>
          <w:sz w:val="22"/>
          <w:szCs w:val="21"/>
        </w:rPr>
      </w:pPr>
      <w:r w:rsidRPr="0029055C">
        <w:rPr>
          <w:sz w:val="22"/>
          <w:szCs w:val="21"/>
        </w:rPr>
        <w:t xml:space="preserve">Το ΕΠ ΜΔΤ εξακολουθεί να εμφανίζει </w:t>
      </w:r>
      <w:r w:rsidRPr="0029055C">
        <w:rPr>
          <w:b/>
          <w:sz w:val="22"/>
          <w:szCs w:val="21"/>
        </w:rPr>
        <w:t>ισχυρή εσωτερική συνοχή</w:t>
      </w:r>
      <w:r w:rsidRPr="0029055C">
        <w:rPr>
          <w:sz w:val="22"/>
          <w:szCs w:val="21"/>
        </w:rPr>
        <w:t xml:space="preserve"> μεταξύ των Θεματικών Στόχων, των Επενδυτικών Προτεραιοτήτων, των Ειδικών Στόχων, των δεικτών αποτελέσματος, των Κατηγοριών Δράσης και των δεικτών εκροών που έχουν επιλεγεί για την παρακολούθηση και την αξιολόγηση των δράσεων αυτών. </w:t>
      </w:r>
    </w:p>
    <w:p w14:paraId="5F3284A2" w14:textId="5B26C322" w:rsidR="00195088" w:rsidRPr="0029055C" w:rsidRDefault="00D53A75" w:rsidP="005C573F">
      <w:pPr>
        <w:spacing w:line="280" w:lineRule="atLeast"/>
        <w:rPr>
          <w:sz w:val="22"/>
          <w:szCs w:val="21"/>
        </w:rPr>
      </w:pPr>
      <w:r w:rsidRPr="0029055C">
        <w:rPr>
          <w:sz w:val="22"/>
          <w:szCs w:val="21"/>
        </w:rPr>
        <w:t>Με την προτεινόμενη αναθεώρηση του Προγράμματος</w:t>
      </w:r>
      <w:r w:rsidR="00195088" w:rsidRPr="0029055C">
        <w:rPr>
          <w:sz w:val="22"/>
          <w:szCs w:val="21"/>
        </w:rPr>
        <w:t xml:space="preserve">, </w:t>
      </w:r>
      <w:r w:rsidR="0045153E" w:rsidRPr="0029055C">
        <w:rPr>
          <w:sz w:val="22"/>
          <w:szCs w:val="21"/>
        </w:rPr>
        <w:t xml:space="preserve">καταργούνται </w:t>
      </w:r>
      <w:r w:rsidR="005C573F" w:rsidRPr="0029055C">
        <w:rPr>
          <w:sz w:val="22"/>
          <w:szCs w:val="21"/>
        </w:rPr>
        <w:t xml:space="preserve">τέσσερις </w:t>
      </w:r>
      <w:r w:rsidR="0045153E" w:rsidRPr="0029055C">
        <w:rPr>
          <w:sz w:val="22"/>
          <w:szCs w:val="21"/>
        </w:rPr>
        <w:t>(</w:t>
      </w:r>
      <w:r w:rsidR="005C573F" w:rsidRPr="0029055C">
        <w:rPr>
          <w:sz w:val="22"/>
          <w:szCs w:val="21"/>
        </w:rPr>
        <w:t>4</w:t>
      </w:r>
      <w:r w:rsidR="0045153E" w:rsidRPr="0029055C">
        <w:rPr>
          <w:sz w:val="22"/>
          <w:szCs w:val="21"/>
        </w:rPr>
        <w:t>) δείκτες εκροών</w:t>
      </w:r>
      <w:r w:rsidR="005C573F" w:rsidRPr="0029055C">
        <w:rPr>
          <w:sz w:val="22"/>
          <w:szCs w:val="21"/>
        </w:rPr>
        <w:t xml:space="preserve"> (εκ των οποίων</w:t>
      </w:r>
      <w:r w:rsidR="00561F78" w:rsidRPr="0029055C">
        <w:rPr>
          <w:sz w:val="22"/>
          <w:szCs w:val="21"/>
        </w:rPr>
        <w:t xml:space="preserve"> ένας αποτελεί και δείκτη του Πλαισίου Επιδόσεων και </w:t>
      </w:r>
      <w:r w:rsidR="005C573F" w:rsidRPr="0029055C">
        <w:rPr>
          <w:sz w:val="22"/>
          <w:szCs w:val="21"/>
        </w:rPr>
        <w:t>δύο αποτελούν δείκτες των ΑΠ της Τεχνικής Βοήθειας) και ένας (1) δείκτης αποτελέσματος, ενώ παράλληλα</w:t>
      </w:r>
      <w:r w:rsidR="0045153E" w:rsidRPr="0029055C">
        <w:rPr>
          <w:sz w:val="22"/>
          <w:szCs w:val="21"/>
        </w:rPr>
        <w:t xml:space="preserve"> προστίθεται ένα νέος δείκτης εκροής</w:t>
      </w:r>
      <w:r w:rsidR="005C573F" w:rsidRPr="0029055C">
        <w:rPr>
          <w:sz w:val="22"/>
          <w:szCs w:val="21"/>
        </w:rPr>
        <w:t xml:space="preserve">. Με τις </w:t>
      </w:r>
      <w:r w:rsidR="00195088" w:rsidRPr="0029055C">
        <w:rPr>
          <w:sz w:val="22"/>
          <w:szCs w:val="21"/>
        </w:rPr>
        <w:t>τροποποι</w:t>
      </w:r>
      <w:r w:rsidR="005C573F" w:rsidRPr="0029055C">
        <w:rPr>
          <w:sz w:val="22"/>
          <w:szCs w:val="21"/>
        </w:rPr>
        <w:t xml:space="preserve">ήσεις αυτές </w:t>
      </w:r>
      <w:r w:rsidR="00195088" w:rsidRPr="0029055C">
        <w:rPr>
          <w:sz w:val="22"/>
          <w:szCs w:val="21"/>
        </w:rPr>
        <w:t xml:space="preserve"> </w:t>
      </w:r>
      <w:r w:rsidR="0045153E" w:rsidRPr="0029055C">
        <w:rPr>
          <w:sz w:val="22"/>
          <w:szCs w:val="21"/>
        </w:rPr>
        <w:t xml:space="preserve">το σύστημα δεικτών του Προγράμματος </w:t>
      </w:r>
      <w:r w:rsidRPr="0029055C">
        <w:rPr>
          <w:sz w:val="22"/>
          <w:szCs w:val="21"/>
        </w:rPr>
        <w:t xml:space="preserve">περιλαμβάνει συνολικά </w:t>
      </w:r>
      <w:r w:rsidR="005C573F" w:rsidRPr="0029055C">
        <w:rPr>
          <w:b/>
          <w:sz w:val="22"/>
          <w:szCs w:val="21"/>
        </w:rPr>
        <w:t>39</w:t>
      </w:r>
      <w:r w:rsidRPr="0029055C">
        <w:rPr>
          <w:b/>
          <w:sz w:val="22"/>
          <w:szCs w:val="21"/>
        </w:rPr>
        <w:t xml:space="preserve"> δείκτες</w:t>
      </w:r>
      <w:r w:rsidRPr="0029055C">
        <w:rPr>
          <w:sz w:val="22"/>
          <w:szCs w:val="21"/>
        </w:rPr>
        <w:t xml:space="preserve"> στους </w:t>
      </w:r>
      <w:r w:rsidR="00277424" w:rsidRPr="0029055C">
        <w:rPr>
          <w:sz w:val="22"/>
          <w:szCs w:val="21"/>
        </w:rPr>
        <w:t>θ</w:t>
      </w:r>
      <w:r w:rsidRPr="0029055C">
        <w:rPr>
          <w:sz w:val="22"/>
          <w:szCs w:val="21"/>
        </w:rPr>
        <w:t>εματικούς</w:t>
      </w:r>
      <w:r w:rsidR="005C573F" w:rsidRPr="0029055C">
        <w:rPr>
          <w:sz w:val="22"/>
          <w:szCs w:val="21"/>
        </w:rPr>
        <w:t xml:space="preserve"> Άξονες Προτεραιότητας</w:t>
      </w:r>
      <w:r w:rsidRPr="0029055C">
        <w:rPr>
          <w:sz w:val="22"/>
          <w:szCs w:val="21"/>
        </w:rPr>
        <w:t xml:space="preserve"> 1 έως 9, εκ των οποίων οι </w:t>
      </w:r>
      <w:r w:rsidRPr="0029055C">
        <w:rPr>
          <w:b/>
          <w:sz w:val="22"/>
          <w:szCs w:val="21"/>
        </w:rPr>
        <w:t>1</w:t>
      </w:r>
      <w:r w:rsidR="005C573F" w:rsidRPr="0029055C">
        <w:rPr>
          <w:b/>
          <w:sz w:val="22"/>
          <w:szCs w:val="21"/>
        </w:rPr>
        <w:t>4</w:t>
      </w:r>
      <w:r w:rsidRPr="0029055C">
        <w:rPr>
          <w:sz w:val="22"/>
          <w:szCs w:val="21"/>
        </w:rPr>
        <w:t xml:space="preserve"> είναι </w:t>
      </w:r>
      <w:r w:rsidRPr="0029055C">
        <w:rPr>
          <w:b/>
          <w:sz w:val="22"/>
          <w:szCs w:val="21"/>
        </w:rPr>
        <w:t>δείκτες αποτελέσματος</w:t>
      </w:r>
      <w:r w:rsidRPr="0029055C">
        <w:rPr>
          <w:sz w:val="22"/>
          <w:szCs w:val="21"/>
        </w:rPr>
        <w:t xml:space="preserve"> και οι </w:t>
      </w:r>
      <w:r w:rsidRPr="0029055C">
        <w:rPr>
          <w:b/>
          <w:sz w:val="22"/>
          <w:szCs w:val="21"/>
        </w:rPr>
        <w:t>2</w:t>
      </w:r>
      <w:r w:rsidR="005C573F" w:rsidRPr="0029055C">
        <w:rPr>
          <w:b/>
          <w:sz w:val="22"/>
          <w:szCs w:val="21"/>
        </w:rPr>
        <w:t>5</w:t>
      </w:r>
      <w:r w:rsidRPr="0029055C">
        <w:rPr>
          <w:b/>
          <w:sz w:val="22"/>
          <w:szCs w:val="21"/>
        </w:rPr>
        <w:t xml:space="preserve"> δείκτες εκρο</w:t>
      </w:r>
      <w:r w:rsidR="005C573F" w:rsidRPr="0029055C">
        <w:rPr>
          <w:b/>
          <w:sz w:val="22"/>
          <w:szCs w:val="21"/>
        </w:rPr>
        <w:t>ής</w:t>
      </w:r>
      <w:r w:rsidRPr="0029055C">
        <w:rPr>
          <w:sz w:val="22"/>
          <w:szCs w:val="21"/>
        </w:rPr>
        <w:t xml:space="preserve">. Επιπρόσθετα το ΕΠ </w:t>
      </w:r>
      <w:r w:rsidR="005C573F" w:rsidRPr="0029055C">
        <w:rPr>
          <w:sz w:val="22"/>
          <w:szCs w:val="21"/>
        </w:rPr>
        <w:t xml:space="preserve">ΜΔΤ </w:t>
      </w:r>
      <w:r w:rsidRPr="0029055C">
        <w:rPr>
          <w:sz w:val="22"/>
          <w:szCs w:val="21"/>
        </w:rPr>
        <w:t xml:space="preserve">περιλαμβάνει από </w:t>
      </w:r>
      <w:r w:rsidR="005C573F" w:rsidRPr="0029055C">
        <w:rPr>
          <w:b/>
          <w:sz w:val="22"/>
          <w:szCs w:val="21"/>
        </w:rPr>
        <w:t>4</w:t>
      </w:r>
      <w:r w:rsidRPr="0029055C">
        <w:rPr>
          <w:b/>
          <w:sz w:val="22"/>
          <w:szCs w:val="21"/>
        </w:rPr>
        <w:t xml:space="preserve"> δείκτες εκροών</w:t>
      </w:r>
      <w:r w:rsidRPr="0029055C">
        <w:rPr>
          <w:sz w:val="22"/>
          <w:szCs w:val="21"/>
        </w:rPr>
        <w:t xml:space="preserve"> για την παρακολούθηση των παρεμβάσεων </w:t>
      </w:r>
      <w:r w:rsidR="00277424" w:rsidRPr="0029055C">
        <w:rPr>
          <w:sz w:val="22"/>
          <w:szCs w:val="21"/>
        </w:rPr>
        <w:t>Τ</w:t>
      </w:r>
      <w:r w:rsidRPr="0029055C">
        <w:rPr>
          <w:sz w:val="22"/>
          <w:szCs w:val="21"/>
        </w:rPr>
        <w:t xml:space="preserve">εχνικής </w:t>
      </w:r>
      <w:r w:rsidR="00277424" w:rsidRPr="0029055C">
        <w:rPr>
          <w:sz w:val="22"/>
          <w:szCs w:val="21"/>
        </w:rPr>
        <w:t>Β</w:t>
      </w:r>
      <w:r w:rsidRPr="0029055C">
        <w:rPr>
          <w:sz w:val="22"/>
          <w:szCs w:val="21"/>
        </w:rPr>
        <w:t xml:space="preserve">οήθειας του ΕΚΤ και του ΕΤΠΑ. </w:t>
      </w:r>
    </w:p>
    <w:p w14:paraId="301719B6" w14:textId="7918DA6C" w:rsidR="00A218CE" w:rsidRPr="0029055C" w:rsidRDefault="00A218CE" w:rsidP="005C573F">
      <w:pPr>
        <w:spacing w:line="280" w:lineRule="atLeast"/>
        <w:rPr>
          <w:sz w:val="22"/>
          <w:szCs w:val="21"/>
        </w:rPr>
      </w:pPr>
      <w:r w:rsidRPr="0029055C">
        <w:rPr>
          <w:sz w:val="22"/>
          <w:szCs w:val="21"/>
        </w:rPr>
        <w:t>Το σύστημα δεικτών του ΕΠ ΜΔΤ</w:t>
      </w:r>
      <w:r w:rsidR="004A2667" w:rsidRPr="0029055C">
        <w:rPr>
          <w:sz w:val="22"/>
          <w:szCs w:val="21"/>
        </w:rPr>
        <w:t>,</w:t>
      </w:r>
      <w:r w:rsidRPr="0029055C">
        <w:rPr>
          <w:sz w:val="22"/>
          <w:szCs w:val="21"/>
        </w:rPr>
        <w:t xml:space="preserve"> έτσι όπως διαμορφώνεται με την 2η Αναθεώρηση του Προγράμματος, </w:t>
      </w:r>
      <w:r w:rsidR="004A2667" w:rsidRPr="0029055C">
        <w:rPr>
          <w:sz w:val="22"/>
          <w:szCs w:val="21"/>
        </w:rPr>
        <w:t>διατηρεί την καταλληλότητα και αντιπροσωπευτικότητά του, δεδομένου ότι</w:t>
      </w:r>
      <w:r w:rsidR="00277424" w:rsidRPr="0029055C">
        <w:rPr>
          <w:sz w:val="22"/>
          <w:szCs w:val="21"/>
        </w:rPr>
        <w:t>,</w:t>
      </w:r>
      <w:r w:rsidR="004A2667" w:rsidRPr="0029055C">
        <w:rPr>
          <w:sz w:val="22"/>
          <w:szCs w:val="21"/>
        </w:rPr>
        <w:t xml:space="preserve"> εξακολουθεί να καλύπτει μεγάλο μέρος της διαθέσιμης χρηματοδότησης</w:t>
      </w:r>
      <w:r w:rsidR="00AC462E" w:rsidRPr="0029055C">
        <w:rPr>
          <w:sz w:val="22"/>
          <w:szCs w:val="21"/>
        </w:rPr>
        <w:t xml:space="preserve"> και</w:t>
      </w:r>
      <w:r w:rsidR="004A2667" w:rsidRPr="0029055C">
        <w:rPr>
          <w:sz w:val="22"/>
          <w:szCs w:val="21"/>
        </w:rPr>
        <w:t xml:space="preserve"> ποσοτικοποι</w:t>
      </w:r>
      <w:r w:rsidR="00AC462E" w:rsidRPr="0029055C">
        <w:rPr>
          <w:sz w:val="22"/>
          <w:szCs w:val="21"/>
        </w:rPr>
        <w:t>εί</w:t>
      </w:r>
      <w:r w:rsidR="004A2667" w:rsidRPr="0029055C">
        <w:rPr>
          <w:sz w:val="22"/>
          <w:szCs w:val="21"/>
        </w:rPr>
        <w:t xml:space="preserve"> την πλειονότητα των δράσεων που περιλαμβάνονται στους επιμέρους Θεματικούς Άξονες.</w:t>
      </w:r>
      <w:r w:rsidRPr="0029055C">
        <w:rPr>
          <w:sz w:val="22"/>
          <w:szCs w:val="21"/>
        </w:rPr>
        <w:t xml:space="preserve"> </w:t>
      </w:r>
    </w:p>
    <w:p w14:paraId="01423350" w14:textId="77777777" w:rsidR="00195088" w:rsidRPr="0029055C" w:rsidRDefault="00561F78" w:rsidP="00507AF3">
      <w:pPr>
        <w:spacing w:line="280" w:lineRule="atLeast"/>
        <w:rPr>
          <w:sz w:val="22"/>
          <w:szCs w:val="21"/>
        </w:rPr>
      </w:pPr>
      <w:r w:rsidRPr="0029055C">
        <w:rPr>
          <w:sz w:val="22"/>
          <w:szCs w:val="21"/>
        </w:rPr>
        <w:t xml:space="preserve">Το Πλαίσιο Επιδόσεων του ΕΠ ΜΔΤ τροποποιείται στο πλαίσιο της 2ης αναθεώρησης του Προγράμματος, προκειμένου να ενσωματωθούν οι αλλαγές στη στοχοθεσία των δεικτών εκροής που αποτελούν και δείκτες του Πλαισίου Επιδόσεων (5 δείκτες), καθώς και η κατάργηση του δείκτη εκροής </w:t>
      </w:r>
      <w:r w:rsidRPr="0029055C">
        <w:rPr>
          <w:i/>
          <w:sz w:val="22"/>
          <w:szCs w:val="21"/>
        </w:rPr>
        <w:t>Τ4634 «Αριθμός μελετών για τη βελτίωση των πολιτικών ανθρωπίνου δυναμικού του δημόσιου τομέα»</w:t>
      </w:r>
      <w:r w:rsidRPr="0029055C">
        <w:rPr>
          <w:sz w:val="22"/>
          <w:szCs w:val="21"/>
        </w:rPr>
        <w:t xml:space="preserve">.   </w:t>
      </w:r>
    </w:p>
    <w:p w14:paraId="63B72F85" w14:textId="498050BA" w:rsidR="00561F78" w:rsidRPr="0029055C" w:rsidRDefault="00561F78" w:rsidP="00507AF3">
      <w:pPr>
        <w:spacing w:line="280" w:lineRule="atLeast"/>
        <w:rPr>
          <w:sz w:val="22"/>
          <w:szCs w:val="21"/>
        </w:rPr>
      </w:pPr>
      <w:r w:rsidRPr="0029055C">
        <w:rPr>
          <w:sz w:val="22"/>
          <w:szCs w:val="21"/>
        </w:rPr>
        <w:t>Πλέον</w:t>
      </w:r>
      <w:r w:rsidR="00277424" w:rsidRPr="0029055C">
        <w:rPr>
          <w:sz w:val="22"/>
          <w:szCs w:val="21"/>
        </w:rPr>
        <w:t>,</w:t>
      </w:r>
      <w:r w:rsidRPr="0029055C">
        <w:rPr>
          <w:sz w:val="22"/>
          <w:szCs w:val="21"/>
        </w:rPr>
        <w:t xml:space="preserve"> στο </w:t>
      </w:r>
      <w:r w:rsidRPr="0029055C">
        <w:rPr>
          <w:b/>
          <w:sz w:val="22"/>
          <w:szCs w:val="21"/>
        </w:rPr>
        <w:t>Πλαίσιο Επιδόσεων του ΕΠ ΜΔΤ περιλαμβάνονται 9 δείκτες εκροής</w:t>
      </w:r>
      <w:r w:rsidRPr="0029055C">
        <w:rPr>
          <w:sz w:val="22"/>
          <w:szCs w:val="21"/>
        </w:rPr>
        <w:t>, καθώς και ο υποχρεωτικός οικονομικός δείκτης F100 ανά Άξονα Προτεραιότητας του Προγράμματος.</w:t>
      </w:r>
    </w:p>
    <w:p w14:paraId="05A6E8A6" w14:textId="0A972936" w:rsidR="007924B5" w:rsidRPr="0029055C" w:rsidRDefault="007924B5" w:rsidP="007924B5">
      <w:pPr>
        <w:spacing w:line="280" w:lineRule="atLeast"/>
        <w:rPr>
          <w:b/>
          <w:sz w:val="22"/>
        </w:rPr>
      </w:pPr>
      <w:r w:rsidRPr="0085139F">
        <w:rPr>
          <w:sz w:val="22"/>
        </w:rPr>
        <w:t xml:space="preserve">Με βάση τα στοιχεία που παρατίθενται </w:t>
      </w:r>
      <w:r w:rsidR="00C24930" w:rsidRPr="0085139F">
        <w:rPr>
          <w:sz w:val="22"/>
        </w:rPr>
        <w:t xml:space="preserve">στον Πίνακα </w:t>
      </w:r>
      <w:r w:rsidR="0085139F" w:rsidRPr="0085139F">
        <w:rPr>
          <w:sz w:val="22"/>
        </w:rPr>
        <w:t>13</w:t>
      </w:r>
      <w:r w:rsidR="00C24930" w:rsidRPr="0085139F">
        <w:rPr>
          <w:sz w:val="22"/>
        </w:rPr>
        <w:t xml:space="preserve"> της Ενότητας 1.2.3 </w:t>
      </w:r>
      <w:r w:rsidRPr="0085139F">
        <w:rPr>
          <w:sz w:val="22"/>
        </w:rPr>
        <w:t xml:space="preserve">τεκμηριώνεται ότι οι </w:t>
      </w:r>
      <w:r w:rsidRPr="0085139F">
        <w:rPr>
          <w:b/>
          <w:sz w:val="22"/>
        </w:rPr>
        <w:t>δείκτες εκροών που καθορίζονται στο Πλαίσιο Επιδόσεων αντιστοιχούν σε ποσό άνω του 50% του προϋπολογισμού των επιμέρους Αξόνων Προτεραιότητας του Προγράμματος</w:t>
      </w:r>
      <w:r w:rsidR="00615184" w:rsidRPr="0085139F">
        <w:rPr>
          <w:b/>
          <w:sz w:val="22"/>
        </w:rPr>
        <w:t>.</w:t>
      </w:r>
    </w:p>
    <w:p w14:paraId="6F37D363" w14:textId="77777777" w:rsidR="00615184" w:rsidRPr="0029055C" w:rsidRDefault="00615184" w:rsidP="007924B5">
      <w:pPr>
        <w:spacing w:line="280" w:lineRule="atLeast"/>
        <w:rPr>
          <w:szCs w:val="21"/>
        </w:rPr>
      </w:pPr>
    </w:p>
    <w:p w14:paraId="4BB567D0" w14:textId="77777777" w:rsidR="00176CAC" w:rsidRPr="0029055C" w:rsidRDefault="00176CAC" w:rsidP="00507AF3">
      <w:pPr>
        <w:spacing w:line="280" w:lineRule="atLeast"/>
        <w:rPr>
          <w:sz w:val="22"/>
          <w:szCs w:val="21"/>
        </w:rPr>
      </w:pPr>
    </w:p>
    <w:p w14:paraId="095C714E" w14:textId="77777777" w:rsidR="004437C3" w:rsidRPr="0029055C" w:rsidRDefault="00F42D0D" w:rsidP="004437C3">
      <w:pPr>
        <w:pStyle w:val="Heading1"/>
      </w:pPr>
      <w:bookmarkStart w:id="11" w:name="_Toc519758760"/>
      <w:r w:rsidRPr="0029055C">
        <w:lastRenderedPageBreak/>
        <w:t xml:space="preserve">Συνοπτική </w:t>
      </w:r>
      <w:r w:rsidR="004437C3" w:rsidRPr="0029055C">
        <w:t xml:space="preserve">Αποτύπωση των </w:t>
      </w:r>
      <w:r w:rsidRPr="0029055C">
        <w:t xml:space="preserve">συμπερασμάτων της Αξιολόγησης του </w:t>
      </w:r>
      <w:r w:rsidR="004437C3" w:rsidRPr="0029055C">
        <w:t>ΕΠ ΜΔΤ</w:t>
      </w:r>
      <w:bookmarkEnd w:id="11"/>
    </w:p>
    <w:p w14:paraId="3A736F8A" w14:textId="77777777" w:rsidR="004437C3" w:rsidRPr="0029055C" w:rsidRDefault="004437C3" w:rsidP="00473DE1">
      <w:pPr>
        <w:spacing w:before="0" w:after="0" w:line="240" w:lineRule="auto"/>
        <w:rPr>
          <w:sz w:val="6"/>
          <w:szCs w:val="21"/>
        </w:rPr>
      </w:pPr>
    </w:p>
    <w:p w14:paraId="798ACF6E" w14:textId="77777777" w:rsidR="00D32E72" w:rsidRPr="0029055C" w:rsidRDefault="00D32E72" w:rsidP="00D0290A">
      <w:pPr>
        <w:pStyle w:val="Heading2"/>
        <w:spacing w:before="120"/>
      </w:pPr>
      <w:bookmarkStart w:id="12" w:name="_Toc519758761"/>
      <w:r w:rsidRPr="0029055C">
        <w:t>Πορεία Υλοποίησης του ΕΠ ΜΔΤ</w:t>
      </w:r>
      <w:bookmarkEnd w:id="12"/>
      <w:r w:rsidRPr="0029055C">
        <w:t xml:space="preserve"> </w:t>
      </w:r>
    </w:p>
    <w:p w14:paraId="5D44A80B" w14:textId="77777777" w:rsidR="00FE02BD" w:rsidRPr="0029055C" w:rsidRDefault="00FE02BD" w:rsidP="00C25F64">
      <w:pPr>
        <w:spacing w:line="300" w:lineRule="atLeast"/>
        <w:rPr>
          <w:sz w:val="22"/>
          <w:lang w:eastAsia="en-US"/>
        </w:rPr>
      </w:pPr>
      <w:r w:rsidRPr="0029055C">
        <w:rPr>
          <w:sz w:val="22"/>
          <w:lang w:eastAsia="en-US"/>
        </w:rPr>
        <w:t>Στην παρούσα ενότητα παρουσιάζεται συνοπτικά η πορεία υλοποίησης του Προγράμματος σε όρους οικονομικού και φυσικού αντικειμένου (δείκτες) ανά Θεματικό Άξονα.</w:t>
      </w:r>
    </w:p>
    <w:p w14:paraId="2DEF9C38" w14:textId="77777777" w:rsidR="00FE02BD" w:rsidRPr="0029055C" w:rsidRDefault="00FE02BD" w:rsidP="00D0290A">
      <w:pPr>
        <w:pStyle w:val="Heading3"/>
        <w:spacing w:before="120"/>
      </w:pPr>
      <w:bookmarkStart w:id="13" w:name="_Toc519758762"/>
      <w:r w:rsidRPr="0029055C">
        <w:t xml:space="preserve">Θεματικός Άξονας </w:t>
      </w:r>
      <w:r w:rsidR="001B3747" w:rsidRPr="0029055C">
        <w:t>Ι</w:t>
      </w:r>
      <w:r w:rsidRPr="0029055C">
        <w:t xml:space="preserve"> «Διοικητική και οργανωτική μεταρρύθμιση για την αύξηση της αποδοτικότητας και αποτελεσματικότητας του Δημοσίου Τομέα» - Ταμείο ΕΚΤ (Άξονες Προτεραιότητας 1, 2 &amp; 3)</w:t>
      </w:r>
      <w:bookmarkEnd w:id="13"/>
    </w:p>
    <w:p w14:paraId="5C48CB3C" w14:textId="77777777" w:rsidR="00FE02BD" w:rsidRPr="0029055C" w:rsidRDefault="00FE02BD" w:rsidP="0085139F">
      <w:pPr>
        <w:spacing w:line="280" w:lineRule="atLeast"/>
        <w:rPr>
          <w:sz w:val="22"/>
        </w:rPr>
      </w:pPr>
      <w:r w:rsidRPr="0029055C">
        <w:rPr>
          <w:sz w:val="22"/>
        </w:rPr>
        <w:t xml:space="preserve">Ο Θεματικός Άξονας </w:t>
      </w:r>
      <w:r w:rsidR="001B3747" w:rsidRPr="0029055C">
        <w:rPr>
          <w:sz w:val="22"/>
        </w:rPr>
        <w:t>Ι</w:t>
      </w:r>
      <w:r w:rsidRPr="0029055C">
        <w:rPr>
          <w:sz w:val="22"/>
        </w:rPr>
        <w:t xml:space="preserve"> του Προγράμματος στοχεύει στην ενίσχυση της αποτελεσματικότητας και αποδοτικότητας των δημοσίων φορέων και στην εξασφάλιση της ενιαίας λειτουργίας του δημοσίου τομέα προς όφελος του κράτους, των πολιτών και των επιχειρήσεων. </w:t>
      </w:r>
      <w:r w:rsidR="00C25F64" w:rsidRPr="0029055C">
        <w:rPr>
          <w:sz w:val="22"/>
        </w:rPr>
        <w:t xml:space="preserve">Ο ΘΑ </w:t>
      </w:r>
      <w:r w:rsidR="001B3747" w:rsidRPr="0029055C">
        <w:rPr>
          <w:sz w:val="22"/>
        </w:rPr>
        <w:t>Ι</w:t>
      </w:r>
      <w:r w:rsidR="00C25F64" w:rsidRPr="0029055C">
        <w:rPr>
          <w:sz w:val="22"/>
        </w:rPr>
        <w:t xml:space="preserve"> αφορά δράσεις που χρηματοδοτούνται στο πλαίσιο του Θεματικού Στόχου 11 (Ταμείο ΕΚΤ) για:</w:t>
      </w:r>
    </w:p>
    <w:p w14:paraId="6FA9B428" w14:textId="77777777" w:rsidR="00C25F64" w:rsidRPr="0029055C" w:rsidRDefault="00C25F64" w:rsidP="0085139F">
      <w:pPr>
        <w:pStyle w:val="ListParagraph"/>
        <w:numPr>
          <w:ilvl w:val="0"/>
          <w:numId w:val="15"/>
        </w:numPr>
        <w:spacing w:line="280" w:lineRule="atLeast"/>
        <w:ind w:left="714" w:hanging="357"/>
        <w:contextualSpacing w:val="0"/>
        <w:rPr>
          <w:sz w:val="22"/>
        </w:rPr>
      </w:pPr>
      <w:r w:rsidRPr="0029055C">
        <w:rPr>
          <w:sz w:val="22"/>
        </w:rPr>
        <w:t xml:space="preserve">την ενίσχυση του συντονισμού των φορέων του δημοσίου τομέα, </w:t>
      </w:r>
    </w:p>
    <w:p w14:paraId="5C7149EE" w14:textId="77777777" w:rsidR="00C25F64" w:rsidRPr="0029055C" w:rsidRDefault="00C25F64" w:rsidP="0085139F">
      <w:pPr>
        <w:pStyle w:val="ListParagraph"/>
        <w:numPr>
          <w:ilvl w:val="0"/>
          <w:numId w:val="15"/>
        </w:numPr>
        <w:spacing w:line="280" w:lineRule="atLeast"/>
        <w:ind w:left="714" w:hanging="357"/>
        <w:contextualSpacing w:val="0"/>
        <w:rPr>
          <w:sz w:val="22"/>
        </w:rPr>
      </w:pPr>
      <w:r w:rsidRPr="0029055C">
        <w:rPr>
          <w:sz w:val="22"/>
        </w:rPr>
        <w:t>την ενίσχυση της επιτελικής ικανότητας της κεντρικής κυβέρνησης,</w:t>
      </w:r>
    </w:p>
    <w:p w14:paraId="012E22C8" w14:textId="77777777" w:rsidR="00C25F64" w:rsidRPr="0029055C" w:rsidRDefault="00C25F64" w:rsidP="0085139F">
      <w:pPr>
        <w:pStyle w:val="ListParagraph"/>
        <w:numPr>
          <w:ilvl w:val="0"/>
          <w:numId w:val="15"/>
        </w:numPr>
        <w:spacing w:line="280" w:lineRule="atLeast"/>
        <w:ind w:left="714" w:hanging="357"/>
        <w:contextualSpacing w:val="0"/>
        <w:rPr>
          <w:sz w:val="22"/>
        </w:rPr>
      </w:pPr>
      <w:r w:rsidRPr="0029055C">
        <w:rPr>
          <w:sz w:val="22"/>
        </w:rPr>
        <w:t>την επαναοριοθέτηση αρμοδιοτήτων τόσο οριζόντια, όσο και κάθετα μεταξύ των τεσσάρων  επιπέδων άσκησης της εκτελεστικής εξουσίας (κεντρική διοίκηση, αποκεντρωμένη διοίκηση, τοπική αυτοδιοίκηση α’ και β’ βαθμού),</w:t>
      </w:r>
    </w:p>
    <w:p w14:paraId="61F8F4AC" w14:textId="77777777" w:rsidR="00C25F64" w:rsidRPr="0029055C" w:rsidRDefault="00C25F64" w:rsidP="0085139F">
      <w:pPr>
        <w:pStyle w:val="ListParagraph"/>
        <w:numPr>
          <w:ilvl w:val="0"/>
          <w:numId w:val="15"/>
        </w:numPr>
        <w:spacing w:line="280" w:lineRule="atLeast"/>
        <w:ind w:left="714" w:hanging="357"/>
        <w:contextualSpacing w:val="0"/>
        <w:rPr>
          <w:sz w:val="22"/>
        </w:rPr>
      </w:pPr>
      <w:r w:rsidRPr="0029055C">
        <w:rPr>
          <w:sz w:val="22"/>
        </w:rPr>
        <w:t>τη λειτουργική αναδιοργάνωση και την απλοποίηση διαδικασιών των φορέων του δημοσίου τομέα,</w:t>
      </w:r>
    </w:p>
    <w:p w14:paraId="26CF5629" w14:textId="77777777" w:rsidR="00C25F64" w:rsidRPr="0029055C" w:rsidRDefault="00C25F64" w:rsidP="0085139F">
      <w:pPr>
        <w:pStyle w:val="ListParagraph"/>
        <w:numPr>
          <w:ilvl w:val="0"/>
          <w:numId w:val="15"/>
        </w:numPr>
        <w:spacing w:line="280" w:lineRule="atLeast"/>
        <w:ind w:left="714" w:hanging="357"/>
        <w:contextualSpacing w:val="0"/>
        <w:rPr>
          <w:sz w:val="22"/>
        </w:rPr>
      </w:pPr>
      <w:r w:rsidRPr="0029055C">
        <w:rPr>
          <w:sz w:val="22"/>
        </w:rPr>
        <w:t>τη λειτουργία των δημοσίων φορέων με γνώμονα το αποτέλεσμα και την επίτευξη τεθέντων στόχων με βασικές αρχές την διαφάνεια και την λογοδοσία.</w:t>
      </w:r>
    </w:p>
    <w:p w14:paraId="7B292281" w14:textId="4A4332BC" w:rsidR="004437C3" w:rsidRPr="0029055C" w:rsidRDefault="00C25F64" w:rsidP="0085139F">
      <w:pPr>
        <w:spacing w:line="280" w:lineRule="atLeast"/>
        <w:rPr>
          <w:sz w:val="22"/>
        </w:rPr>
      </w:pPr>
      <w:r w:rsidRPr="0029055C">
        <w:rPr>
          <w:sz w:val="22"/>
        </w:rPr>
        <w:t>Η συγχρηματοδοτούμενη δημόσια δαπάνη του Θ</w:t>
      </w:r>
      <w:r w:rsidR="00E146A7" w:rsidRPr="0029055C">
        <w:rPr>
          <w:sz w:val="22"/>
        </w:rPr>
        <w:t xml:space="preserve">εματικού Άξονα </w:t>
      </w:r>
      <w:r w:rsidR="001B3747" w:rsidRPr="0029055C">
        <w:rPr>
          <w:sz w:val="22"/>
        </w:rPr>
        <w:t>Ι</w:t>
      </w:r>
      <w:r w:rsidRPr="0029055C">
        <w:rPr>
          <w:sz w:val="22"/>
        </w:rPr>
        <w:t xml:space="preserve"> ανέρχεται σε </w:t>
      </w:r>
      <w:r w:rsidR="00E146A7" w:rsidRPr="0029055C">
        <w:rPr>
          <w:b/>
          <w:sz w:val="22"/>
        </w:rPr>
        <w:t>167.242.215</w:t>
      </w:r>
      <w:r w:rsidRPr="0029055C">
        <w:rPr>
          <w:b/>
          <w:sz w:val="22"/>
        </w:rPr>
        <w:t xml:space="preserve"> €</w:t>
      </w:r>
      <w:r w:rsidRPr="0029055C">
        <w:rPr>
          <w:sz w:val="22"/>
        </w:rPr>
        <w:t xml:space="preserve"> και αντιπροσωπεύει το </w:t>
      </w:r>
      <w:r w:rsidR="00E146A7" w:rsidRPr="0029055C">
        <w:rPr>
          <w:b/>
          <w:sz w:val="22"/>
        </w:rPr>
        <w:t>32,39</w:t>
      </w:r>
      <w:r w:rsidRPr="0029055C">
        <w:rPr>
          <w:b/>
          <w:sz w:val="22"/>
        </w:rPr>
        <w:t>%</w:t>
      </w:r>
      <w:r w:rsidRPr="0029055C">
        <w:rPr>
          <w:sz w:val="22"/>
        </w:rPr>
        <w:t xml:space="preserve"> του </w:t>
      </w:r>
      <w:r w:rsidR="00E146A7" w:rsidRPr="0029055C">
        <w:rPr>
          <w:sz w:val="22"/>
        </w:rPr>
        <w:t xml:space="preserve">συνολικού </w:t>
      </w:r>
      <w:r w:rsidRPr="0029055C">
        <w:rPr>
          <w:sz w:val="22"/>
        </w:rPr>
        <w:t xml:space="preserve">προϋπολογισμού του Προγράμματος. Η συνολική </w:t>
      </w:r>
      <w:r w:rsidRPr="0029055C">
        <w:rPr>
          <w:b/>
          <w:sz w:val="22"/>
        </w:rPr>
        <w:t>ε</w:t>
      </w:r>
      <w:r w:rsidR="008B3367" w:rsidRPr="0029055C">
        <w:rPr>
          <w:b/>
          <w:sz w:val="22"/>
        </w:rPr>
        <w:t>ξειδίκευση</w:t>
      </w:r>
      <w:r w:rsidRPr="0029055C">
        <w:rPr>
          <w:sz w:val="22"/>
        </w:rPr>
        <w:t xml:space="preserve"> του </w:t>
      </w:r>
      <w:r w:rsidR="00AE5F57" w:rsidRPr="0029055C">
        <w:rPr>
          <w:sz w:val="22"/>
        </w:rPr>
        <w:t xml:space="preserve">Θεματικού Άξονα </w:t>
      </w:r>
      <w:r w:rsidR="001B3747" w:rsidRPr="0029055C">
        <w:rPr>
          <w:sz w:val="22"/>
        </w:rPr>
        <w:t>Ι</w:t>
      </w:r>
      <w:r w:rsidRPr="0029055C">
        <w:rPr>
          <w:sz w:val="22"/>
        </w:rPr>
        <w:t xml:space="preserve"> ανέρχεται στο </w:t>
      </w:r>
      <w:r w:rsidR="00AE5F57" w:rsidRPr="0029055C">
        <w:rPr>
          <w:b/>
          <w:sz w:val="22"/>
        </w:rPr>
        <w:t>7</w:t>
      </w:r>
      <w:r w:rsidRPr="0029055C">
        <w:rPr>
          <w:b/>
          <w:sz w:val="22"/>
        </w:rPr>
        <w:t>8%</w:t>
      </w:r>
      <w:r w:rsidR="00AE5F57" w:rsidRPr="0029055C">
        <w:rPr>
          <w:sz w:val="22"/>
        </w:rPr>
        <w:t>,</w:t>
      </w:r>
      <w:r w:rsidR="00AE5F57" w:rsidRPr="0029055C">
        <w:rPr>
          <w:b/>
          <w:sz w:val="22"/>
        </w:rPr>
        <w:t xml:space="preserve"> </w:t>
      </w:r>
      <w:r w:rsidR="00AE5F57" w:rsidRPr="0029055C">
        <w:rPr>
          <w:sz w:val="22"/>
        </w:rPr>
        <w:t>έχουν εκδοθεί</w:t>
      </w:r>
      <w:r w:rsidR="00AE5F57" w:rsidRPr="0029055C">
        <w:rPr>
          <w:b/>
          <w:sz w:val="22"/>
        </w:rPr>
        <w:t xml:space="preserve"> 13 Προσκλήσεις</w:t>
      </w:r>
      <w:r w:rsidR="00AE5F57" w:rsidRPr="0029055C">
        <w:rPr>
          <w:sz w:val="22"/>
        </w:rPr>
        <w:t xml:space="preserve"> συνολικού προϋπολογισμού 127.322.302 € (</w:t>
      </w:r>
      <w:r w:rsidR="00AE5F57" w:rsidRPr="0029055C">
        <w:rPr>
          <w:b/>
          <w:sz w:val="22"/>
        </w:rPr>
        <w:t>76,13%</w:t>
      </w:r>
      <w:r w:rsidR="00AE5F57" w:rsidRPr="0029055C">
        <w:rPr>
          <w:sz w:val="22"/>
        </w:rPr>
        <w:t xml:space="preserve"> του εγκεκριμένου π/υ του </w:t>
      </w:r>
      <w:r w:rsidR="00AE5F57" w:rsidRPr="0085139F">
        <w:rPr>
          <w:sz w:val="22"/>
        </w:rPr>
        <w:t>ΘΑ)</w:t>
      </w:r>
      <w:r w:rsidRPr="0085139F">
        <w:rPr>
          <w:sz w:val="22"/>
        </w:rPr>
        <w:t xml:space="preserve"> και η πρόοδος υλοποίησης του οικονομικού αντικειμένου του ανά </w:t>
      </w:r>
      <w:r w:rsidR="008B3367" w:rsidRPr="0085139F">
        <w:rPr>
          <w:sz w:val="22"/>
        </w:rPr>
        <w:t xml:space="preserve">Ειδικό Στόχο </w:t>
      </w:r>
      <w:r w:rsidR="00297202" w:rsidRPr="0085139F">
        <w:rPr>
          <w:sz w:val="22"/>
        </w:rPr>
        <w:t xml:space="preserve">παρουσιάζεται στο ακόλουθο </w:t>
      </w:r>
      <w:r w:rsidR="000B4A14" w:rsidRPr="0085139F">
        <w:rPr>
          <w:sz w:val="22"/>
        </w:rPr>
        <w:t>Διάγραμμα</w:t>
      </w:r>
      <w:r w:rsidR="00297202" w:rsidRPr="0085139F">
        <w:rPr>
          <w:sz w:val="22"/>
        </w:rPr>
        <w:t xml:space="preserve">, ενώ αναλυτικότερα ανά Ειδικό Στόχο </w:t>
      </w:r>
      <w:r w:rsidR="008B3367" w:rsidRPr="0085139F">
        <w:rPr>
          <w:sz w:val="22"/>
        </w:rPr>
        <w:t xml:space="preserve">και Κατηγορία Δράσης </w:t>
      </w:r>
      <w:r w:rsidRPr="0085139F">
        <w:rPr>
          <w:sz w:val="22"/>
        </w:rPr>
        <w:t>παρατίθεται στον Πίνακα</w:t>
      </w:r>
      <w:r w:rsidR="00815C35" w:rsidRPr="0085139F">
        <w:rPr>
          <w:sz w:val="22"/>
        </w:rPr>
        <w:t xml:space="preserve"> </w:t>
      </w:r>
      <w:r w:rsidR="0085139F" w:rsidRPr="0085139F">
        <w:rPr>
          <w:sz w:val="22"/>
        </w:rPr>
        <w:t>14</w:t>
      </w:r>
      <w:r w:rsidR="00815C35" w:rsidRPr="0085139F">
        <w:rPr>
          <w:sz w:val="22"/>
        </w:rPr>
        <w:t>.</w:t>
      </w:r>
    </w:p>
    <w:p w14:paraId="741DB73B" w14:textId="77777777" w:rsidR="00297202" w:rsidRPr="0029055C" w:rsidRDefault="000B4A14" w:rsidP="000B4A14">
      <w:pPr>
        <w:pStyle w:val="Caption"/>
        <w:rPr>
          <w:rFonts w:cstheme="minorHAnsi"/>
          <w:b w:val="0"/>
          <w:sz w:val="22"/>
        </w:rPr>
      </w:pPr>
      <w:r w:rsidRPr="0029055C">
        <w:rPr>
          <w:sz w:val="22"/>
        </w:rPr>
        <w:t xml:space="preserve">Διάγραμμα </w:t>
      </w:r>
      <w:r w:rsidRPr="0029055C">
        <w:rPr>
          <w:sz w:val="22"/>
        </w:rPr>
        <w:fldChar w:fldCharType="begin"/>
      </w:r>
      <w:r w:rsidRPr="0029055C">
        <w:rPr>
          <w:sz w:val="22"/>
        </w:rPr>
        <w:instrText xml:space="preserve"> SEQ Διάγραμμα \* ARABIC </w:instrText>
      </w:r>
      <w:r w:rsidRPr="0029055C">
        <w:rPr>
          <w:sz w:val="22"/>
        </w:rPr>
        <w:fldChar w:fldCharType="separate"/>
      </w:r>
      <w:r w:rsidR="00292BCA">
        <w:rPr>
          <w:noProof/>
          <w:sz w:val="22"/>
        </w:rPr>
        <w:t>1</w:t>
      </w:r>
      <w:r w:rsidRPr="0029055C">
        <w:rPr>
          <w:sz w:val="22"/>
        </w:rPr>
        <w:fldChar w:fldCharType="end"/>
      </w:r>
      <w:r w:rsidRPr="0029055C">
        <w:rPr>
          <w:sz w:val="22"/>
        </w:rPr>
        <w:t xml:space="preserve">. </w:t>
      </w:r>
      <w:r w:rsidR="00297202" w:rsidRPr="0029055C">
        <w:rPr>
          <w:rFonts w:cstheme="minorHAnsi"/>
          <w:b w:val="0"/>
          <w:sz w:val="22"/>
        </w:rPr>
        <w:t xml:space="preserve">Πρόοδος οικονομικού αντικειμένου του ΘΑ </w:t>
      </w:r>
      <w:r w:rsidR="001B3747" w:rsidRPr="0029055C">
        <w:rPr>
          <w:rFonts w:cstheme="minorHAnsi"/>
          <w:b w:val="0"/>
          <w:sz w:val="22"/>
        </w:rPr>
        <w:t>Ι</w:t>
      </w:r>
      <w:r w:rsidR="00297202" w:rsidRPr="0029055C">
        <w:rPr>
          <w:rFonts w:cstheme="minorHAnsi"/>
          <w:b w:val="0"/>
          <w:sz w:val="22"/>
        </w:rPr>
        <w:t xml:space="preserve"> ανά Ειδικό Στόχο (ποσά σε ΔΔ, εκ. €) </w:t>
      </w:r>
    </w:p>
    <w:p w14:paraId="330B42C1" w14:textId="77777777" w:rsidR="00F4095D" w:rsidRPr="0029055C" w:rsidRDefault="00F4095D" w:rsidP="00D0290A">
      <w:pPr>
        <w:spacing w:after="60" w:line="240" w:lineRule="auto"/>
      </w:pPr>
      <w:r w:rsidRPr="0029055C">
        <w:rPr>
          <w:noProof/>
        </w:rPr>
        <w:drawing>
          <wp:inline distT="0" distB="0" distL="0" distR="0" wp14:anchorId="0E081E7F" wp14:editId="6886B9AA">
            <wp:extent cx="5759450" cy="2647950"/>
            <wp:effectExtent l="0" t="0" r="1270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0CA461" w14:textId="77777777" w:rsidR="00D0290A" w:rsidRPr="0029055C" w:rsidRDefault="00D0290A" w:rsidP="00D0290A">
      <w:pPr>
        <w:spacing w:before="0" w:after="0" w:line="240" w:lineRule="auto"/>
        <w:rPr>
          <w:i/>
          <w:color w:val="215868" w:themeColor="accent5" w:themeShade="80"/>
        </w:rPr>
      </w:pPr>
      <w:r w:rsidRPr="0029055C">
        <w:rPr>
          <w:i/>
          <w:color w:val="215868" w:themeColor="accent5" w:themeShade="80"/>
        </w:rPr>
        <w:t>Πηγή: ΟΠΣ 01.06.2018</w:t>
      </w:r>
    </w:p>
    <w:p w14:paraId="4A0AF4E7" w14:textId="77777777" w:rsidR="00D0290A" w:rsidRPr="0029055C" w:rsidRDefault="00D0290A" w:rsidP="00D0290A">
      <w:pPr>
        <w:spacing w:before="0" w:after="0" w:line="240" w:lineRule="auto"/>
        <w:sectPr w:rsidR="00D0290A" w:rsidRPr="0029055C" w:rsidSect="003154D4">
          <w:headerReference w:type="default" r:id="rId21"/>
          <w:footerReference w:type="default" r:id="rId22"/>
          <w:pgSz w:w="11906" w:h="16838" w:code="9"/>
          <w:pgMar w:top="1814" w:right="1418" w:bottom="1134" w:left="1418" w:header="567" w:footer="284" w:gutter="0"/>
          <w:cols w:space="708"/>
          <w:docGrid w:linePitch="360"/>
        </w:sectPr>
      </w:pPr>
    </w:p>
    <w:p w14:paraId="21622FB1" w14:textId="77777777" w:rsidR="00035E82" w:rsidRPr="0029055C" w:rsidRDefault="00035E82" w:rsidP="00027964">
      <w:pPr>
        <w:pStyle w:val="Caption"/>
        <w:spacing w:before="240" w:after="120" w:line="280" w:lineRule="atLeast"/>
        <w:rPr>
          <w:b w:val="0"/>
          <w:sz w:val="22"/>
          <w:szCs w:val="22"/>
        </w:rPr>
      </w:pPr>
      <w:bookmarkStart w:id="14" w:name="_Ref517259707"/>
      <w:r w:rsidRPr="0029055C">
        <w:rPr>
          <w:sz w:val="22"/>
          <w:szCs w:val="22"/>
        </w:rPr>
        <w:lastRenderedPageBreak/>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14</w:t>
      </w:r>
      <w:r w:rsidRPr="0029055C">
        <w:rPr>
          <w:sz w:val="22"/>
          <w:szCs w:val="22"/>
        </w:rPr>
        <w:fldChar w:fldCharType="end"/>
      </w:r>
      <w:bookmarkEnd w:id="14"/>
      <w:r w:rsidRPr="0029055C">
        <w:rPr>
          <w:b w:val="0"/>
          <w:sz w:val="22"/>
          <w:szCs w:val="22"/>
        </w:rPr>
        <w:t xml:space="preserve">. </w:t>
      </w:r>
      <w:r w:rsidR="00C25F64" w:rsidRPr="0029055C">
        <w:rPr>
          <w:b w:val="0"/>
          <w:sz w:val="22"/>
          <w:szCs w:val="22"/>
        </w:rPr>
        <w:t>Πρόοδος οικονομικού αν</w:t>
      </w:r>
      <w:r w:rsidR="00C2054E" w:rsidRPr="0029055C">
        <w:rPr>
          <w:b w:val="0"/>
          <w:sz w:val="22"/>
          <w:szCs w:val="22"/>
        </w:rPr>
        <w:t>τικειμένου του Θεματικού Άξονα</w:t>
      </w:r>
      <w:r w:rsidR="00C25F64" w:rsidRPr="0029055C">
        <w:rPr>
          <w:b w:val="0"/>
          <w:sz w:val="22"/>
          <w:szCs w:val="22"/>
        </w:rPr>
        <w:t xml:space="preserve"> </w:t>
      </w:r>
      <w:r w:rsidR="001B3747" w:rsidRPr="0029055C">
        <w:rPr>
          <w:b w:val="0"/>
          <w:sz w:val="22"/>
          <w:szCs w:val="22"/>
        </w:rPr>
        <w:t>Ι</w:t>
      </w:r>
      <w:r w:rsidR="00815C35" w:rsidRPr="0029055C">
        <w:rPr>
          <w:b w:val="0"/>
          <w:sz w:val="22"/>
          <w:szCs w:val="22"/>
        </w:rPr>
        <w:t xml:space="preserve"> </w:t>
      </w:r>
      <w:r w:rsidR="00C25F64" w:rsidRPr="0029055C">
        <w:rPr>
          <w:b w:val="0"/>
          <w:sz w:val="22"/>
          <w:szCs w:val="22"/>
        </w:rPr>
        <w:t xml:space="preserve">ανά </w:t>
      </w:r>
      <w:r w:rsidR="00DD4E0D" w:rsidRPr="0029055C">
        <w:rPr>
          <w:b w:val="0"/>
          <w:sz w:val="22"/>
          <w:szCs w:val="22"/>
        </w:rPr>
        <w:t>Ειδικό Στόχο και Κατηγορία Δράσης</w:t>
      </w:r>
      <w:r w:rsidR="00C25F64" w:rsidRPr="0029055C">
        <w:rPr>
          <w:b w:val="0"/>
          <w:sz w:val="22"/>
          <w:szCs w:val="22"/>
        </w:rPr>
        <w:t xml:space="preserve"> </w:t>
      </w:r>
      <w:r w:rsidR="00A9020B" w:rsidRPr="0029055C">
        <w:rPr>
          <w:b w:val="0"/>
          <w:sz w:val="22"/>
          <w:szCs w:val="22"/>
        </w:rPr>
        <w:t>(ποσά σε Δημόσια Δαπάνη)</w:t>
      </w:r>
    </w:p>
    <w:tbl>
      <w:tblPr>
        <w:tblW w:w="5000" w:type="pct"/>
        <w:jc w:val="center"/>
        <w:tblLayout w:type="fixed"/>
        <w:tblCellMar>
          <w:left w:w="28" w:type="dxa"/>
          <w:right w:w="28" w:type="dxa"/>
        </w:tblCellMar>
        <w:tblLook w:val="04A0" w:firstRow="1" w:lastRow="0" w:firstColumn="1" w:lastColumn="0" w:noHBand="0" w:noVBand="1"/>
      </w:tblPr>
      <w:tblGrid>
        <w:gridCol w:w="1700"/>
        <w:gridCol w:w="1627"/>
        <w:gridCol w:w="1627"/>
        <w:gridCol w:w="1452"/>
        <w:gridCol w:w="1570"/>
        <w:gridCol w:w="1357"/>
        <w:gridCol w:w="1553"/>
        <w:gridCol w:w="1553"/>
        <w:gridCol w:w="1553"/>
      </w:tblGrid>
      <w:tr w:rsidR="00484C81" w:rsidRPr="0029055C" w14:paraId="12C44F0B" w14:textId="77777777" w:rsidTr="00484C81">
        <w:trPr>
          <w:jc w:val="center"/>
        </w:trPr>
        <w:tc>
          <w:tcPr>
            <w:tcW w:w="607" w:type="pct"/>
            <w:tcBorders>
              <w:top w:val="single" w:sz="4" w:space="0" w:color="92CDDC"/>
              <w:left w:val="single" w:sz="4" w:space="0" w:color="92CDDC"/>
              <w:bottom w:val="single" w:sz="12" w:space="0" w:color="92CDDC"/>
              <w:right w:val="single" w:sz="4" w:space="0" w:color="92CDDC"/>
            </w:tcBorders>
            <w:shd w:val="clear" w:color="auto" w:fill="auto"/>
            <w:vAlign w:val="center"/>
            <w:hideMark/>
          </w:tcPr>
          <w:p w14:paraId="4ECC50BF" w14:textId="77777777" w:rsidR="00815C35" w:rsidRPr="0029055C" w:rsidRDefault="00815C35" w:rsidP="00484C81">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Ειδικός Στόχος / Κατηγορία Δράσης</w:t>
            </w:r>
          </w:p>
        </w:tc>
        <w:tc>
          <w:tcPr>
            <w:tcW w:w="581" w:type="pct"/>
            <w:tcBorders>
              <w:top w:val="single" w:sz="4" w:space="0" w:color="92CDDC"/>
              <w:left w:val="nil"/>
              <w:bottom w:val="single" w:sz="12" w:space="0" w:color="92CDDC"/>
              <w:right w:val="single" w:sz="4" w:space="0" w:color="92CDDC"/>
            </w:tcBorders>
            <w:shd w:val="clear" w:color="auto" w:fill="auto"/>
            <w:vAlign w:val="center"/>
            <w:hideMark/>
          </w:tcPr>
          <w:p w14:paraId="0F42991D" w14:textId="77777777" w:rsidR="00815C35" w:rsidRPr="0029055C" w:rsidRDefault="00815C35" w:rsidP="00484C81">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Προϋπολογισμός</w:t>
            </w:r>
            <w:r w:rsidRPr="0029055C">
              <w:rPr>
                <w:rFonts w:asciiTheme="minorHAnsi" w:hAnsiTheme="minorHAnsi" w:cstheme="minorHAnsi"/>
                <w:color w:val="31849B"/>
                <w:szCs w:val="20"/>
              </w:rPr>
              <w:t xml:space="preserve"> </w:t>
            </w:r>
            <w:r w:rsidRPr="0029055C">
              <w:rPr>
                <w:rFonts w:asciiTheme="minorHAnsi" w:hAnsiTheme="minorHAnsi" w:cstheme="minorHAnsi"/>
                <w:color w:val="31849B"/>
                <w:szCs w:val="20"/>
              </w:rPr>
              <w:br/>
              <w:t>(με βάση την 1η Αναθεώρηση)</w:t>
            </w:r>
          </w:p>
        </w:tc>
        <w:tc>
          <w:tcPr>
            <w:tcW w:w="581" w:type="pct"/>
            <w:tcBorders>
              <w:top w:val="single" w:sz="4" w:space="0" w:color="92CDDC"/>
              <w:left w:val="nil"/>
              <w:bottom w:val="single" w:sz="12" w:space="0" w:color="92CDDC"/>
              <w:right w:val="single" w:sz="4" w:space="0" w:color="92CDDC"/>
            </w:tcBorders>
            <w:shd w:val="clear" w:color="auto" w:fill="auto"/>
            <w:noWrap/>
            <w:vAlign w:val="center"/>
            <w:hideMark/>
          </w:tcPr>
          <w:p w14:paraId="08F8AC54" w14:textId="77777777" w:rsidR="00815C35" w:rsidRPr="0029055C" w:rsidRDefault="00815C35" w:rsidP="00484C81">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Εξειδίκευση</w:t>
            </w:r>
          </w:p>
        </w:tc>
        <w:tc>
          <w:tcPr>
            <w:tcW w:w="519" w:type="pct"/>
            <w:tcBorders>
              <w:top w:val="single" w:sz="4" w:space="0" w:color="92CDDC"/>
              <w:left w:val="nil"/>
              <w:bottom w:val="single" w:sz="12" w:space="0" w:color="92CDDC"/>
              <w:right w:val="single" w:sz="4" w:space="0" w:color="92CDDC"/>
            </w:tcBorders>
            <w:shd w:val="clear" w:color="auto" w:fill="auto"/>
            <w:vAlign w:val="center"/>
            <w:hideMark/>
          </w:tcPr>
          <w:p w14:paraId="46F7CE3C" w14:textId="77777777" w:rsidR="00815C35" w:rsidRPr="0029055C" w:rsidRDefault="00815C35" w:rsidP="00484C81">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Αριθμός Προσκλήσεων*</w:t>
            </w:r>
          </w:p>
        </w:tc>
        <w:tc>
          <w:tcPr>
            <w:tcW w:w="561" w:type="pct"/>
            <w:tcBorders>
              <w:top w:val="single" w:sz="4" w:space="0" w:color="92CDDC"/>
              <w:left w:val="nil"/>
              <w:bottom w:val="single" w:sz="12" w:space="0" w:color="92CDDC"/>
              <w:right w:val="single" w:sz="4" w:space="0" w:color="92CDDC"/>
            </w:tcBorders>
            <w:shd w:val="clear" w:color="auto" w:fill="auto"/>
            <w:vAlign w:val="center"/>
            <w:hideMark/>
          </w:tcPr>
          <w:p w14:paraId="2BAFA4B9" w14:textId="77777777" w:rsidR="00815C35" w:rsidRPr="0029055C" w:rsidRDefault="00815C35" w:rsidP="00484C81">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Π/Υ Προσκλήσεων</w:t>
            </w:r>
          </w:p>
        </w:tc>
        <w:tc>
          <w:tcPr>
            <w:tcW w:w="485" w:type="pct"/>
            <w:tcBorders>
              <w:top w:val="single" w:sz="4" w:space="0" w:color="92CDDC"/>
              <w:left w:val="nil"/>
              <w:bottom w:val="single" w:sz="12" w:space="0" w:color="92CDDC"/>
              <w:right w:val="single" w:sz="4" w:space="0" w:color="92CDDC"/>
            </w:tcBorders>
            <w:shd w:val="clear" w:color="auto" w:fill="auto"/>
            <w:vAlign w:val="center"/>
            <w:hideMark/>
          </w:tcPr>
          <w:p w14:paraId="0C4F0748" w14:textId="77777777" w:rsidR="00815C35" w:rsidRPr="0029055C" w:rsidRDefault="00815C35" w:rsidP="00484C81">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Αριθμός Ενταγμένων Έργων**</w:t>
            </w:r>
          </w:p>
        </w:tc>
        <w:tc>
          <w:tcPr>
            <w:tcW w:w="555" w:type="pct"/>
            <w:tcBorders>
              <w:top w:val="single" w:sz="4" w:space="0" w:color="92CDDC"/>
              <w:left w:val="nil"/>
              <w:bottom w:val="single" w:sz="12" w:space="0" w:color="92CDDC"/>
              <w:right w:val="single" w:sz="4" w:space="0" w:color="92CDDC"/>
            </w:tcBorders>
            <w:shd w:val="clear" w:color="auto" w:fill="auto"/>
            <w:noWrap/>
            <w:vAlign w:val="center"/>
            <w:hideMark/>
          </w:tcPr>
          <w:p w14:paraId="4ED6FFDD" w14:textId="77777777" w:rsidR="00815C35" w:rsidRPr="0029055C" w:rsidRDefault="00815C35" w:rsidP="00484C81">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Π/Υ Εντάξεων</w:t>
            </w:r>
          </w:p>
        </w:tc>
        <w:tc>
          <w:tcPr>
            <w:tcW w:w="555" w:type="pct"/>
            <w:tcBorders>
              <w:top w:val="single" w:sz="4" w:space="0" w:color="92CDDC"/>
              <w:left w:val="nil"/>
              <w:bottom w:val="single" w:sz="12" w:space="0" w:color="92CDDC"/>
              <w:right w:val="single" w:sz="4" w:space="0" w:color="92CDDC"/>
            </w:tcBorders>
            <w:shd w:val="clear" w:color="auto" w:fill="auto"/>
            <w:vAlign w:val="center"/>
            <w:hideMark/>
          </w:tcPr>
          <w:p w14:paraId="2922AFA8" w14:textId="77777777" w:rsidR="00815C35" w:rsidRPr="0029055C" w:rsidRDefault="00815C35" w:rsidP="00484C81">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Νομικές Δεσμεύσεις</w:t>
            </w:r>
          </w:p>
        </w:tc>
        <w:tc>
          <w:tcPr>
            <w:tcW w:w="555" w:type="pct"/>
            <w:tcBorders>
              <w:top w:val="single" w:sz="4" w:space="0" w:color="92CDDC"/>
              <w:left w:val="nil"/>
              <w:bottom w:val="single" w:sz="12" w:space="0" w:color="92CDDC"/>
              <w:right w:val="single" w:sz="4" w:space="0" w:color="92CDDC"/>
            </w:tcBorders>
            <w:shd w:val="clear" w:color="auto" w:fill="auto"/>
            <w:vAlign w:val="center"/>
            <w:hideMark/>
          </w:tcPr>
          <w:p w14:paraId="32B988DD" w14:textId="77777777" w:rsidR="00815C35" w:rsidRPr="0029055C" w:rsidRDefault="00815C35" w:rsidP="00484C81">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Πιστοποιημένες Δαπάνες</w:t>
            </w:r>
          </w:p>
        </w:tc>
      </w:tr>
      <w:tr w:rsidR="00484C81" w:rsidRPr="0029055C" w14:paraId="02FE22C5" w14:textId="77777777" w:rsidTr="00484C81">
        <w:trPr>
          <w:jc w:val="center"/>
        </w:trPr>
        <w:tc>
          <w:tcPr>
            <w:tcW w:w="607" w:type="pct"/>
            <w:tcBorders>
              <w:top w:val="nil"/>
              <w:left w:val="single" w:sz="4" w:space="0" w:color="92CDDC"/>
              <w:bottom w:val="single" w:sz="4" w:space="0" w:color="92CDDC"/>
              <w:right w:val="single" w:sz="4" w:space="0" w:color="92CDDC"/>
            </w:tcBorders>
            <w:shd w:val="clear" w:color="000000" w:fill="DAEEF3"/>
            <w:noWrap/>
            <w:vAlign w:val="center"/>
            <w:hideMark/>
          </w:tcPr>
          <w:p w14:paraId="10191AC9" w14:textId="77777777" w:rsidR="00815C35" w:rsidRPr="0029055C" w:rsidRDefault="00815C35" w:rsidP="00484C81">
            <w:pPr>
              <w:spacing w:before="80" w:after="80" w:line="240" w:lineRule="auto"/>
              <w:jc w:val="left"/>
              <w:rPr>
                <w:rFonts w:asciiTheme="minorHAnsi" w:hAnsiTheme="minorHAnsi" w:cstheme="minorHAnsi"/>
                <w:b/>
                <w:bCs/>
                <w:color w:val="31869B"/>
                <w:szCs w:val="20"/>
              </w:rPr>
            </w:pPr>
            <w:r w:rsidRPr="0029055C">
              <w:rPr>
                <w:rFonts w:asciiTheme="minorHAnsi" w:hAnsiTheme="minorHAnsi" w:cstheme="minorHAnsi"/>
                <w:b/>
                <w:bCs/>
                <w:color w:val="31869B"/>
                <w:szCs w:val="20"/>
              </w:rPr>
              <w:t>Α.1</w:t>
            </w:r>
          </w:p>
        </w:tc>
        <w:tc>
          <w:tcPr>
            <w:tcW w:w="581" w:type="pct"/>
            <w:tcBorders>
              <w:top w:val="nil"/>
              <w:left w:val="nil"/>
              <w:bottom w:val="single" w:sz="4" w:space="0" w:color="92CDDC"/>
              <w:right w:val="single" w:sz="4" w:space="0" w:color="92CDDC"/>
            </w:tcBorders>
            <w:shd w:val="clear" w:color="000000" w:fill="DAEEF3"/>
            <w:noWrap/>
            <w:vAlign w:val="center"/>
            <w:hideMark/>
          </w:tcPr>
          <w:p w14:paraId="2E2556EE"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21.000.000,00</w:t>
            </w:r>
          </w:p>
        </w:tc>
        <w:tc>
          <w:tcPr>
            <w:tcW w:w="581" w:type="pct"/>
            <w:tcBorders>
              <w:top w:val="nil"/>
              <w:left w:val="nil"/>
              <w:bottom w:val="single" w:sz="4" w:space="0" w:color="92CDDC"/>
              <w:right w:val="single" w:sz="4" w:space="0" w:color="92CDDC"/>
            </w:tcBorders>
            <w:shd w:val="clear" w:color="000000" w:fill="DAEEF3"/>
            <w:noWrap/>
            <w:vAlign w:val="center"/>
            <w:hideMark/>
          </w:tcPr>
          <w:p w14:paraId="6984ADFE"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29.768.015,00</w:t>
            </w:r>
          </w:p>
        </w:tc>
        <w:tc>
          <w:tcPr>
            <w:tcW w:w="519" w:type="pct"/>
            <w:tcBorders>
              <w:top w:val="nil"/>
              <w:left w:val="nil"/>
              <w:bottom w:val="single" w:sz="4" w:space="0" w:color="92CDDC"/>
              <w:right w:val="single" w:sz="4" w:space="0" w:color="92CDDC"/>
            </w:tcBorders>
            <w:shd w:val="clear" w:color="000000" w:fill="DAEEF3"/>
            <w:noWrap/>
            <w:vAlign w:val="center"/>
            <w:hideMark/>
          </w:tcPr>
          <w:p w14:paraId="2213D8B2" w14:textId="77777777" w:rsidR="00815C35" w:rsidRPr="0029055C" w:rsidRDefault="00815C35" w:rsidP="00484C81">
            <w:pPr>
              <w:spacing w:before="80" w:after="80" w:line="240" w:lineRule="auto"/>
              <w:jc w:val="center"/>
              <w:rPr>
                <w:rFonts w:asciiTheme="minorHAnsi" w:hAnsiTheme="minorHAnsi" w:cstheme="minorHAnsi"/>
                <w:b/>
                <w:bCs/>
                <w:color w:val="31869B"/>
                <w:szCs w:val="20"/>
              </w:rPr>
            </w:pPr>
            <w:r w:rsidRPr="0029055C">
              <w:rPr>
                <w:rFonts w:asciiTheme="minorHAnsi" w:hAnsiTheme="minorHAnsi" w:cstheme="minorHAnsi"/>
                <w:b/>
                <w:bCs/>
                <w:color w:val="31869B"/>
                <w:szCs w:val="20"/>
              </w:rPr>
              <w:t>5</w:t>
            </w:r>
          </w:p>
        </w:tc>
        <w:tc>
          <w:tcPr>
            <w:tcW w:w="561" w:type="pct"/>
            <w:tcBorders>
              <w:top w:val="nil"/>
              <w:left w:val="nil"/>
              <w:bottom w:val="single" w:sz="4" w:space="0" w:color="92CDDC"/>
              <w:right w:val="single" w:sz="4" w:space="0" w:color="92CDDC"/>
            </w:tcBorders>
            <w:shd w:val="clear" w:color="000000" w:fill="DAEEF3"/>
            <w:noWrap/>
            <w:vAlign w:val="center"/>
            <w:hideMark/>
          </w:tcPr>
          <w:p w14:paraId="6E6CDBF5"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28.332.222,50</w:t>
            </w:r>
          </w:p>
        </w:tc>
        <w:tc>
          <w:tcPr>
            <w:tcW w:w="485" w:type="pct"/>
            <w:tcBorders>
              <w:top w:val="nil"/>
              <w:left w:val="nil"/>
              <w:bottom w:val="single" w:sz="4" w:space="0" w:color="92CDDC"/>
              <w:right w:val="single" w:sz="4" w:space="0" w:color="92CDDC"/>
            </w:tcBorders>
            <w:shd w:val="clear" w:color="000000" w:fill="DAEEF3"/>
            <w:noWrap/>
            <w:vAlign w:val="center"/>
            <w:hideMark/>
          </w:tcPr>
          <w:p w14:paraId="613F4827" w14:textId="77777777" w:rsidR="00815C35" w:rsidRPr="0029055C" w:rsidRDefault="00815C35" w:rsidP="00484C81">
            <w:pPr>
              <w:spacing w:before="80" w:after="80" w:line="240" w:lineRule="auto"/>
              <w:jc w:val="center"/>
              <w:rPr>
                <w:rFonts w:asciiTheme="minorHAnsi" w:hAnsiTheme="minorHAnsi" w:cstheme="minorHAnsi"/>
                <w:b/>
                <w:bCs/>
                <w:color w:val="31869B"/>
                <w:szCs w:val="20"/>
              </w:rPr>
            </w:pPr>
            <w:r w:rsidRPr="0029055C">
              <w:rPr>
                <w:rFonts w:asciiTheme="minorHAnsi" w:hAnsiTheme="minorHAnsi" w:cstheme="minorHAnsi"/>
                <w:b/>
                <w:bCs/>
                <w:color w:val="31869B"/>
                <w:szCs w:val="20"/>
              </w:rPr>
              <w:t>9</w:t>
            </w:r>
          </w:p>
        </w:tc>
        <w:tc>
          <w:tcPr>
            <w:tcW w:w="555" w:type="pct"/>
            <w:tcBorders>
              <w:top w:val="nil"/>
              <w:left w:val="nil"/>
              <w:bottom w:val="single" w:sz="4" w:space="0" w:color="92CDDC"/>
              <w:right w:val="single" w:sz="4" w:space="0" w:color="92CDDC"/>
            </w:tcBorders>
            <w:shd w:val="clear" w:color="000000" w:fill="DAEEF3"/>
            <w:noWrap/>
            <w:vAlign w:val="center"/>
            <w:hideMark/>
          </w:tcPr>
          <w:p w14:paraId="53BFEDA3" w14:textId="77777777" w:rsidR="00815C35" w:rsidRPr="0029055C" w:rsidRDefault="00815C35" w:rsidP="00484C81">
            <w:pPr>
              <w:spacing w:before="80" w:after="80" w:line="240" w:lineRule="auto"/>
              <w:jc w:val="center"/>
              <w:rPr>
                <w:rFonts w:asciiTheme="minorHAnsi" w:hAnsiTheme="minorHAnsi" w:cstheme="minorHAnsi"/>
                <w:b/>
                <w:bCs/>
                <w:color w:val="31869B"/>
                <w:szCs w:val="20"/>
              </w:rPr>
            </w:pPr>
            <w:r w:rsidRPr="0029055C">
              <w:rPr>
                <w:rFonts w:asciiTheme="minorHAnsi" w:hAnsiTheme="minorHAnsi" w:cstheme="minorHAnsi"/>
                <w:b/>
                <w:bCs/>
                <w:color w:val="31869B"/>
                <w:szCs w:val="20"/>
              </w:rPr>
              <w:t>19.726.885,26</w:t>
            </w:r>
          </w:p>
        </w:tc>
        <w:tc>
          <w:tcPr>
            <w:tcW w:w="555" w:type="pct"/>
            <w:tcBorders>
              <w:top w:val="nil"/>
              <w:left w:val="nil"/>
              <w:bottom w:val="single" w:sz="4" w:space="0" w:color="92CDDC"/>
              <w:right w:val="single" w:sz="4" w:space="0" w:color="92CDDC"/>
            </w:tcBorders>
            <w:shd w:val="clear" w:color="000000" w:fill="DAEEF3"/>
            <w:noWrap/>
            <w:vAlign w:val="center"/>
            <w:hideMark/>
          </w:tcPr>
          <w:p w14:paraId="050C6E85"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15.221.342,78</w:t>
            </w:r>
          </w:p>
        </w:tc>
        <w:tc>
          <w:tcPr>
            <w:tcW w:w="555" w:type="pct"/>
            <w:tcBorders>
              <w:top w:val="nil"/>
              <w:left w:val="nil"/>
              <w:bottom w:val="single" w:sz="4" w:space="0" w:color="92CDDC"/>
              <w:right w:val="single" w:sz="4" w:space="0" w:color="92CDDC"/>
            </w:tcBorders>
            <w:shd w:val="clear" w:color="000000" w:fill="DAEEF3"/>
            <w:noWrap/>
            <w:vAlign w:val="center"/>
            <w:hideMark/>
          </w:tcPr>
          <w:p w14:paraId="48F891CC"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2.013.982,94</w:t>
            </w:r>
          </w:p>
        </w:tc>
      </w:tr>
      <w:tr w:rsidR="00484C81" w:rsidRPr="0029055C" w14:paraId="3D71EE7C" w14:textId="77777777" w:rsidTr="00484C81">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center"/>
            <w:hideMark/>
          </w:tcPr>
          <w:p w14:paraId="6A888301"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Α.1.1</w:t>
            </w:r>
          </w:p>
        </w:tc>
        <w:tc>
          <w:tcPr>
            <w:tcW w:w="581" w:type="pct"/>
            <w:tcBorders>
              <w:top w:val="nil"/>
              <w:left w:val="nil"/>
              <w:bottom w:val="single" w:sz="4" w:space="0" w:color="92CDDC"/>
              <w:right w:val="single" w:sz="4" w:space="0" w:color="92CDDC"/>
            </w:tcBorders>
            <w:shd w:val="clear" w:color="auto" w:fill="auto"/>
            <w:noWrap/>
            <w:vAlign w:val="center"/>
            <w:hideMark/>
          </w:tcPr>
          <w:p w14:paraId="1216BA59"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8.000.000,00</w:t>
            </w:r>
          </w:p>
        </w:tc>
        <w:tc>
          <w:tcPr>
            <w:tcW w:w="581" w:type="pct"/>
            <w:tcBorders>
              <w:top w:val="nil"/>
              <w:left w:val="nil"/>
              <w:bottom w:val="single" w:sz="4" w:space="0" w:color="92CDDC"/>
              <w:right w:val="single" w:sz="4" w:space="0" w:color="92CDDC"/>
            </w:tcBorders>
            <w:shd w:val="clear" w:color="auto" w:fill="auto"/>
            <w:noWrap/>
            <w:vAlign w:val="center"/>
            <w:hideMark/>
          </w:tcPr>
          <w:p w14:paraId="0CF7B1EA"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22.291.090,00</w:t>
            </w:r>
          </w:p>
        </w:tc>
        <w:tc>
          <w:tcPr>
            <w:tcW w:w="519" w:type="pct"/>
            <w:tcBorders>
              <w:top w:val="nil"/>
              <w:left w:val="nil"/>
              <w:bottom w:val="single" w:sz="4" w:space="0" w:color="92CDDC"/>
              <w:right w:val="single" w:sz="4" w:space="0" w:color="92CDDC"/>
            </w:tcBorders>
            <w:shd w:val="clear" w:color="auto" w:fill="auto"/>
            <w:noWrap/>
            <w:vAlign w:val="center"/>
            <w:hideMark/>
          </w:tcPr>
          <w:p w14:paraId="15711FB9"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4</w:t>
            </w:r>
          </w:p>
        </w:tc>
        <w:tc>
          <w:tcPr>
            <w:tcW w:w="561" w:type="pct"/>
            <w:tcBorders>
              <w:top w:val="nil"/>
              <w:left w:val="nil"/>
              <w:bottom w:val="single" w:sz="4" w:space="0" w:color="92CDDC"/>
              <w:right w:val="single" w:sz="4" w:space="0" w:color="92CDDC"/>
            </w:tcBorders>
            <w:shd w:val="clear" w:color="auto" w:fill="auto"/>
            <w:noWrap/>
            <w:vAlign w:val="center"/>
            <w:hideMark/>
          </w:tcPr>
          <w:p w14:paraId="2FDABB26"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21.611.090,00</w:t>
            </w:r>
          </w:p>
        </w:tc>
        <w:tc>
          <w:tcPr>
            <w:tcW w:w="485" w:type="pct"/>
            <w:tcBorders>
              <w:top w:val="nil"/>
              <w:left w:val="nil"/>
              <w:bottom w:val="single" w:sz="4" w:space="0" w:color="92CDDC"/>
              <w:right w:val="single" w:sz="4" w:space="0" w:color="92CDDC"/>
            </w:tcBorders>
            <w:shd w:val="clear" w:color="auto" w:fill="auto"/>
            <w:noWrap/>
            <w:vAlign w:val="center"/>
            <w:hideMark/>
          </w:tcPr>
          <w:p w14:paraId="754A6A75"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6</w:t>
            </w:r>
          </w:p>
        </w:tc>
        <w:tc>
          <w:tcPr>
            <w:tcW w:w="555" w:type="pct"/>
            <w:tcBorders>
              <w:top w:val="nil"/>
              <w:left w:val="nil"/>
              <w:bottom w:val="single" w:sz="4" w:space="0" w:color="92CDDC"/>
              <w:right w:val="single" w:sz="4" w:space="0" w:color="92CDDC"/>
            </w:tcBorders>
            <w:shd w:val="clear" w:color="auto" w:fill="auto"/>
            <w:noWrap/>
            <w:vAlign w:val="center"/>
            <w:hideMark/>
          </w:tcPr>
          <w:p w14:paraId="42E2F98C"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18.208.704,86</w:t>
            </w:r>
          </w:p>
        </w:tc>
        <w:tc>
          <w:tcPr>
            <w:tcW w:w="555" w:type="pct"/>
            <w:tcBorders>
              <w:top w:val="nil"/>
              <w:left w:val="nil"/>
              <w:bottom w:val="single" w:sz="4" w:space="0" w:color="92CDDC"/>
              <w:right w:val="single" w:sz="4" w:space="0" w:color="92CDDC"/>
            </w:tcBorders>
            <w:shd w:val="clear" w:color="auto" w:fill="auto"/>
            <w:noWrap/>
            <w:vAlign w:val="center"/>
            <w:hideMark/>
          </w:tcPr>
          <w:p w14:paraId="188C5132"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14.132.782,78</w:t>
            </w:r>
          </w:p>
        </w:tc>
        <w:tc>
          <w:tcPr>
            <w:tcW w:w="555" w:type="pct"/>
            <w:tcBorders>
              <w:top w:val="nil"/>
              <w:left w:val="nil"/>
              <w:bottom w:val="single" w:sz="4" w:space="0" w:color="92CDDC"/>
              <w:right w:val="single" w:sz="4" w:space="0" w:color="92CDDC"/>
            </w:tcBorders>
            <w:shd w:val="clear" w:color="auto" w:fill="auto"/>
            <w:noWrap/>
            <w:vAlign w:val="center"/>
            <w:hideMark/>
          </w:tcPr>
          <w:p w14:paraId="5A139CC4"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925.787,59</w:t>
            </w:r>
          </w:p>
        </w:tc>
      </w:tr>
      <w:tr w:rsidR="00484C81" w:rsidRPr="0029055C" w14:paraId="1BF7BF08" w14:textId="77777777" w:rsidTr="00484C81">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center"/>
            <w:hideMark/>
          </w:tcPr>
          <w:p w14:paraId="56D6D85F"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Α.1.2</w:t>
            </w:r>
          </w:p>
        </w:tc>
        <w:tc>
          <w:tcPr>
            <w:tcW w:w="581" w:type="pct"/>
            <w:tcBorders>
              <w:top w:val="nil"/>
              <w:left w:val="nil"/>
              <w:bottom w:val="single" w:sz="4" w:space="0" w:color="92CDDC"/>
              <w:right w:val="single" w:sz="4" w:space="0" w:color="92CDDC"/>
            </w:tcBorders>
            <w:shd w:val="clear" w:color="auto" w:fill="auto"/>
            <w:noWrap/>
            <w:vAlign w:val="center"/>
            <w:hideMark/>
          </w:tcPr>
          <w:p w14:paraId="0B379FBD"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13.000.000,00</w:t>
            </w:r>
          </w:p>
        </w:tc>
        <w:tc>
          <w:tcPr>
            <w:tcW w:w="581" w:type="pct"/>
            <w:tcBorders>
              <w:top w:val="nil"/>
              <w:left w:val="nil"/>
              <w:bottom w:val="single" w:sz="4" w:space="0" w:color="92CDDC"/>
              <w:right w:val="single" w:sz="4" w:space="0" w:color="92CDDC"/>
            </w:tcBorders>
            <w:shd w:val="clear" w:color="auto" w:fill="auto"/>
            <w:noWrap/>
            <w:vAlign w:val="center"/>
            <w:hideMark/>
          </w:tcPr>
          <w:p w14:paraId="6FF7C65C"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7.476.925,00</w:t>
            </w:r>
          </w:p>
        </w:tc>
        <w:tc>
          <w:tcPr>
            <w:tcW w:w="519" w:type="pct"/>
            <w:tcBorders>
              <w:top w:val="nil"/>
              <w:left w:val="nil"/>
              <w:bottom w:val="single" w:sz="4" w:space="0" w:color="92CDDC"/>
              <w:right w:val="single" w:sz="4" w:space="0" w:color="92CDDC"/>
            </w:tcBorders>
            <w:shd w:val="clear" w:color="auto" w:fill="auto"/>
            <w:noWrap/>
            <w:vAlign w:val="center"/>
            <w:hideMark/>
          </w:tcPr>
          <w:p w14:paraId="0F81BA2D"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1</w:t>
            </w:r>
          </w:p>
        </w:tc>
        <w:tc>
          <w:tcPr>
            <w:tcW w:w="561" w:type="pct"/>
            <w:tcBorders>
              <w:top w:val="nil"/>
              <w:left w:val="nil"/>
              <w:bottom w:val="single" w:sz="4" w:space="0" w:color="92CDDC"/>
              <w:right w:val="single" w:sz="4" w:space="0" w:color="92CDDC"/>
            </w:tcBorders>
            <w:shd w:val="clear" w:color="auto" w:fill="auto"/>
            <w:noWrap/>
            <w:vAlign w:val="center"/>
            <w:hideMark/>
          </w:tcPr>
          <w:p w14:paraId="7ED00279"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6.721.132,50</w:t>
            </w:r>
          </w:p>
        </w:tc>
        <w:tc>
          <w:tcPr>
            <w:tcW w:w="485" w:type="pct"/>
            <w:tcBorders>
              <w:top w:val="nil"/>
              <w:left w:val="nil"/>
              <w:bottom w:val="single" w:sz="4" w:space="0" w:color="92CDDC"/>
              <w:right w:val="single" w:sz="4" w:space="0" w:color="92CDDC"/>
            </w:tcBorders>
            <w:shd w:val="clear" w:color="auto" w:fill="auto"/>
            <w:noWrap/>
            <w:vAlign w:val="center"/>
            <w:hideMark/>
          </w:tcPr>
          <w:p w14:paraId="0CFBC9A8"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3</w:t>
            </w:r>
          </w:p>
        </w:tc>
        <w:tc>
          <w:tcPr>
            <w:tcW w:w="555" w:type="pct"/>
            <w:tcBorders>
              <w:top w:val="nil"/>
              <w:left w:val="nil"/>
              <w:bottom w:val="single" w:sz="4" w:space="0" w:color="92CDDC"/>
              <w:right w:val="single" w:sz="4" w:space="0" w:color="92CDDC"/>
            </w:tcBorders>
            <w:shd w:val="clear" w:color="auto" w:fill="auto"/>
            <w:noWrap/>
            <w:vAlign w:val="center"/>
            <w:hideMark/>
          </w:tcPr>
          <w:p w14:paraId="3273E283"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1.518.180,40</w:t>
            </w:r>
          </w:p>
        </w:tc>
        <w:tc>
          <w:tcPr>
            <w:tcW w:w="555" w:type="pct"/>
            <w:tcBorders>
              <w:top w:val="nil"/>
              <w:left w:val="nil"/>
              <w:bottom w:val="single" w:sz="4" w:space="0" w:color="92CDDC"/>
              <w:right w:val="single" w:sz="4" w:space="0" w:color="92CDDC"/>
            </w:tcBorders>
            <w:shd w:val="clear" w:color="auto" w:fill="auto"/>
            <w:noWrap/>
            <w:vAlign w:val="center"/>
            <w:hideMark/>
          </w:tcPr>
          <w:p w14:paraId="22C58313"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1.088.560,00</w:t>
            </w:r>
          </w:p>
        </w:tc>
        <w:tc>
          <w:tcPr>
            <w:tcW w:w="555" w:type="pct"/>
            <w:tcBorders>
              <w:top w:val="nil"/>
              <w:left w:val="nil"/>
              <w:bottom w:val="single" w:sz="4" w:space="0" w:color="92CDDC"/>
              <w:right w:val="single" w:sz="4" w:space="0" w:color="92CDDC"/>
            </w:tcBorders>
            <w:shd w:val="clear" w:color="auto" w:fill="auto"/>
            <w:noWrap/>
            <w:vAlign w:val="center"/>
            <w:hideMark/>
          </w:tcPr>
          <w:p w14:paraId="0E422E52"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1.088.195,35</w:t>
            </w:r>
          </w:p>
        </w:tc>
      </w:tr>
      <w:tr w:rsidR="00484C81" w:rsidRPr="0029055C" w14:paraId="79895D94" w14:textId="77777777" w:rsidTr="00484C81">
        <w:trPr>
          <w:jc w:val="center"/>
        </w:trPr>
        <w:tc>
          <w:tcPr>
            <w:tcW w:w="607" w:type="pct"/>
            <w:tcBorders>
              <w:top w:val="nil"/>
              <w:left w:val="single" w:sz="4" w:space="0" w:color="92CDDC"/>
              <w:bottom w:val="single" w:sz="4" w:space="0" w:color="92CDDC"/>
              <w:right w:val="single" w:sz="4" w:space="0" w:color="92CDDC"/>
            </w:tcBorders>
            <w:shd w:val="clear" w:color="000000" w:fill="DAEEF3"/>
            <w:noWrap/>
            <w:vAlign w:val="center"/>
            <w:hideMark/>
          </w:tcPr>
          <w:p w14:paraId="0A685513" w14:textId="77777777" w:rsidR="00815C35" w:rsidRPr="0029055C" w:rsidRDefault="00815C35" w:rsidP="00484C81">
            <w:pPr>
              <w:spacing w:before="80" w:after="80" w:line="240" w:lineRule="auto"/>
              <w:jc w:val="left"/>
              <w:rPr>
                <w:rFonts w:asciiTheme="minorHAnsi" w:hAnsiTheme="minorHAnsi" w:cstheme="minorHAnsi"/>
                <w:b/>
                <w:bCs/>
                <w:color w:val="31869B"/>
                <w:szCs w:val="20"/>
              </w:rPr>
            </w:pPr>
            <w:r w:rsidRPr="0029055C">
              <w:rPr>
                <w:rFonts w:asciiTheme="minorHAnsi" w:hAnsiTheme="minorHAnsi" w:cstheme="minorHAnsi"/>
                <w:b/>
                <w:bCs/>
                <w:color w:val="31869B"/>
                <w:szCs w:val="20"/>
              </w:rPr>
              <w:t>Α.2</w:t>
            </w:r>
          </w:p>
        </w:tc>
        <w:tc>
          <w:tcPr>
            <w:tcW w:w="581" w:type="pct"/>
            <w:tcBorders>
              <w:top w:val="nil"/>
              <w:left w:val="nil"/>
              <w:bottom w:val="single" w:sz="4" w:space="0" w:color="92CDDC"/>
              <w:right w:val="single" w:sz="4" w:space="0" w:color="92CDDC"/>
            </w:tcBorders>
            <w:shd w:val="clear" w:color="000000" w:fill="DAEEF3"/>
            <w:noWrap/>
            <w:vAlign w:val="center"/>
            <w:hideMark/>
          </w:tcPr>
          <w:p w14:paraId="5F947219"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131.593.935,00</w:t>
            </w:r>
          </w:p>
        </w:tc>
        <w:tc>
          <w:tcPr>
            <w:tcW w:w="581" w:type="pct"/>
            <w:tcBorders>
              <w:top w:val="nil"/>
              <w:left w:val="nil"/>
              <w:bottom w:val="single" w:sz="4" w:space="0" w:color="92CDDC"/>
              <w:right w:val="single" w:sz="4" w:space="0" w:color="92CDDC"/>
            </w:tcBorders>
            <w:shd w:val="clear" w:color="000000" w:fill="DAEEF3"/>
            <w:noWrap/>
            <w:vAlign w:val="center"/>
            <w:hideMark/>
          </w:tcPr>
          <w:p w14:paraId="5CEA0BC3"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94.617.716,59</w:t>
            </w:r>
          </w:p>
        </w:tc>
        <w:tc>
          <w:tcPr>
            <w:tcW w:w="519" w:type="pct"/>
            <w:tcBorders>
              <w:top w:val="nil"/>
              <w:left w:val="nil"/>
              <w:bottom w:val="single" w:sz="4" w:space="0" w:color="92CDDC"/>
              <w:right w:val="single" w:sz="4" w:space="0" w:color="92CDDC"/>
            </w:tcBorders>
            <w:shd w:val="clear" w:color="000000" w:fill="DAEEF3"/>
            <w:noWrap/>
            <w:vAlign w:val="center"/>
            <w:hideMark/>
          </w:tcPr>
          <w:p w14:paraId="19D21A26" w14:textId="77777777" w:rsidR="00815C35" w:rsidRPr="0029055C" w:rsidRDefault="00815C35" w:rsidP="00484C81">
            <w:pPr>
              <w:spacing w:before="80" w:after="80" w:line="240" w:lineRule="auto"/>
              <w:jc w:val="center"/>
              <w:rPr>
                <w:rFonts w:asciiTheme="minorHAnsi" w:hAnsiTheme="minorHAnsi" w:cstheme="minorHAnsi"/>
                <w:b/>
                <w:bCs/>
                <w:color w:val="31869B"/>
                <w:szCs w:val="20"/>
              </w:rPr>
            </w:pPr>
            <w:r w:rsidRPr="0029055C">
              <w:rPr>
                <w:rFonts w:asciiTheme="minorHAnsi" w:hAnsiTheme="minorHAnsi" w:cstheme="minorHAnsi"/>
                <w:b/>
                <w:bCs/>
                <w:color w:val="31869B"/>
                <w:szCs w:val="20"/>
              </w:rPr>
              <w:t>13</w:t>
            </w:r>
          </w:p>
        </w:tc>
        <w:tc>
          <w:tcPr>
            <w:tcW w:w="561" w:type="pct"/>
            <w:tcBorders>
              <w:top w:val="nil"/>
              <w:left w:val="nil"/>
              <w:bottom w:val="single" w:sz="4" w:space="0" w:color="92CDDC"/>
              <w:right w:val="single" w:sz="4" w:space="0" w:color="92CDDC"/>
            </w:tcBorders>
            <w:shd w:val="clear" w:color="000000" w:fill="DAEEF3"/>
            <w:noWrap/>
            <w:vAlign w:val="center"/>
            <w:hideMark/>
          </w:tcPr>
          <w:p w14:paraId="2C41E345"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93.425.792,50</w:t>
            </w:r>
          </w:p>
        </w:tc>
        <w:tc>
          <w:tcPr>
            <w:tcW w:w="485" w:type="pct"/>
            <w:tcBorders>
              <w:top w:val="nil"/>
              <w:left w:val="nil"/>
              <w:bottom w:val="single" w:sz="4" w:space="0" w:color="92CDDC"/>
              <w:right w:val="single" w:sz="4" w:space="0" w:color="92CDDC"/>
            </w:tcBorders>
            <w:shd w:val="clear" w:color="000000" w:fill="DAEEF3"/>
            <w:noWrap/>
            <w:vAlign w:val="center"/>
            <w:hideMark/>
          </w:tcPr>
          <w:p w14:paraId="76B8A222" w14:textId="77777777" w:rsidR="00815C35" w:rsidRPr="0029055C" w:rsidRDefault="00815C35" w:rsidP="00484C81">
            <w:pPr>
              <w:spacing w:before="80" w:after="80" w:line="240" w:lineRule="auto"/>
              <w:jc w:val="center"/>
              <w:rPr>
                <w:rFonts w:asciiTheme="minorHAnsi" w:hAnsiTheme="minorHAnsi" w:cstheme="minorHAnsi"/>
                <w:b/>
                <w:bCs/>
                <w:color w:val="31869B"/>
                <w:szCs w:val="20"/>
              </w:rPr>
            </w:pPr>
            <w:r w:rsidRPr="0029055C">
              <w:rPr>
                <w:rFonts w:asciiTheme="minorHAnsi" w:hAnsiTheme="minorHAnsi" w:cstheme="minorHAnsi"/>
                <w:b/>
                <w:bCs/>
                <w:color w:val="31869B"/>
                <w:szCs w:val="20"/>
              </w:rPr>
              <w:t>31</w:t>
            </w:r>
          </w:p>
        </w:tc>
        <w:tc>
          <w:tcPr>
            <w:tcW w:w="555" w:type="pct"/>
            <w:tcBorders>
              <w:top w:val="nil"/>
              <w:left w:val="nil"/>
              <w:bottom w:val="single" w:sz="4" w:space="0" w:color="92CDDC"/>
              <w:right w:val="single" w:sz="4" w:space="0" w:color="92CDDC"/>
            </w:tcBorders>
            <w:shd w:val="clear" w:color="000000" w:fill="DAEEF3"/>
            <w:noWrap/>
            <w:vAlign w:val="center"/>
            <w:hideMark/>
          </w:tcPr>
          <w:p w14:paraId="2430EAEA" w14:textId="77777777" w:rsidR="00815C35" w:rsidRPr="0029055C" w:rsidRDefault="00815C35" w:rsidP="00484C81">
            <w:pPr>
              <w:spacing w:before="80" w:after="80" w:line="240" w:lineRule="auto"/>
              <w:jc w:val="center"/>
              <w:rPr>
                <w:rFonts w:asciiTheme="minorHAnsi" w:hAnsiTheme="minorHAnsi" w:cstheme="minorHAnsi"/>
                <w:b/>
                <w:bCs/>
                <w:color w:val="31869B"/>
                <w:szCs w:val="20"/>
              </w:rPr>
            </w:pPr>
            <w:r w:rsidRPr="0029055C">
              <w:rPr>
                <w:rFonts w:asciiTheme="minorHAnsi" w:hAnsiTheme="minorHAnsi" w:cstheme="minorHAnsi"/>
                <w:b/>
                <w:bCs/>
                <w:color w:val="31869B"/>
                <w:szCs w:val="20"/>
              </w:rPr>
              <w:t>68.105.555,59</w:t>
            </w:r>
          </w:p>
        </w:tc>
        <w:tc>
          <w:tcPr>
            <w:tcW w:w="555" w:type="pct"/>
            <w:tcBorders>
              <w:top w:val="nil"/>
              <w:left w:val="nil"/>
              <w:bottom w:val="single" w:sz="4" w:space="0" w:color="92CDDC"/>
              <w:right w:val="single" w:sz="4" w:space="0" w:color="92CDDC"/>
            </w:tcBorders>
            <w:shd w:val="clear" w:color="000000" w:fill="DAEEF3"/>
            <w:noWrap/>
            <w:vAlign w:val="center"/>
            <w:hideMark/>
          </w:tcPr>
          <w:p w14:paraId="03B0D087"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47.121.054,95</w:t>
            </w:r>
          </w:p>
        </w:tc>
        <w:tc>
          <w:tcPr>
            <w:tcW w:w="555" w:type="pct"/>
            <w:tcBorders>
              <w:top w:val="nil"/>
              <w:left w:val="nil"/>
              <w:bottom w:val="single" w:sz="4" w:space="0" w:color="92CDDC"/>
              <w:right w:val="single" w:sz="4" w:space="0" w:color="92CDDC"/>
            </w:tcBorders>
            <w:shd w:val="clear" w:color="000000" w:fill="DAEEF3"/>
            <w:noWrap/>
            <w:vAlign w:val="center"/>
            <w:hideMark/>
          </w:tcPr>
          <w:p w14:paraId="313C8364"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4.465.504,04</w:t>
            </w:r>
          </w:p>
        </w:tc>
      </w:tr>
      <w:tr w:rsidR="00484C81" w:rsidRPr="0029055C" w14:paraId="0E2A5CCB" w14:textId="77777777" w:rsidTr="00484C81">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center"/>
            <w:hideMark/>
          </w:tcPr>
          <w:p w14:paraId="25D7F732"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Α.2.1</w:t>
            </w:r>
          </w:p>
        </w:tc>
        <w:tc>
          <w:tcPr>
            <w:tcW w:w="581" w:type="pct"/>
            <w:tcBorders>
              <w:top w:val="nil"/>
              <w:left w:val="nil"/>
              <w:bottom w:val="single" w:sz="4" w:space="0" w:color="92CDDC"/>
              <w:right w:val="single" w:sz="4" w:space="0" w:color="92CDDC"/>
            </w:tcBorders>
            <w:shd w:val="clear" w:color="auto" w:fill="auto"/>
            <w:noWrap/>
            <w:vAlign w:val="center"/>
            <w:hideMark/>
          </w:tcPr>
          <w:p w14:paraId="6932F986"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47.500.000,00</w:t>
            </w:r>
          </w:p>
        </w:tc>
        <w:tc>
          <w:tcPr>
            <w:tcW w:w="581" w:type="pct"/>
            <w:tcBorders>
              <w:top w:val="nil"/>
              <w:left w:val="nil"/>
              <w:bottom w:val="single" w:sz="4" w:space="0" w:color="92CDDC"/>
              <w:right w:val="single" w:sz="4" w:space="0" w:color="92CDDC"/>
            </w:tcBorders>
            <w:shd w:val="clear" w:color="auto" w:fill="auto"/>
            <w:noWrap/>
            <w:vAlign w:val="center"/>
            <w:hideMark/>
          </w:tcPr>
          <w:p w14:paraId="639B8B01"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35.350.203,02</w:t>
            </w:r>
          </w:p>
        </w:tc>
        <w:tc>
          <w:tcPr>
            <w:tcW w:w="519" w:type="pct"/>
            <w:tcBorders>
              <w:top w:val="nil"/>
              <w:left w:val="nil"/>
              <w:bottom w:val="single" w:sz="4" w:space="0" w:color="92CDDC"/>
              <w:right w:val="single" w:sz="4" w:space="0" w:color="92CDDC"/>
            </w:tcBorders>
            <w:shd w:val="clear" w:color="auto" w:fill="auto"/>
            <w:noWrap/>
            <w:vAlign w:val="center"/>
            <w:hideMark/>
          </w:tcPr>
          <w:p w14:paraId="613092D5"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8</w:t>
            </w:r>
          </w:p>
        </w:tc>
        <w:tc>
          <w:tcPr>
            <w:tcW w:w="561" w:type="pct"/>
            <w:tcBorders>
              <w:top w:val="nil"/>
              <w:left w:val="nil"/>
              <w:bottom w:val="single" w:sz="4" w:space="0" w:color="92CDDC"/>
              <w:right w:val="single" w:sz="4" w:space="0" w:color="92CDDC"/>
            </w:tcBorders>
            <w:shd w:val="clear" w:color="auto" w:fill="auto"/>
            <w:noWrap/>
            <w:vAlign w:val="center"/>
            <w:hideMark/>
          </w:tcPr>
          <w:p w14:paraId="1F7DDDAE"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33.347.050,25</w:t>
            </w:r>
          </w:p>
        </w:tc>
        <w:tc>
          <w:tcPr>
            <w:tcW w:w="485" w:type="pct"/>
            <w:tcBorders>
              <w:top w:val="nil"/>
              <w:left w:val="nil"/>
              <w:bottom w:val="single" w:sz="4" w:space="0" w:color="92CDDC"/>
              <w:right w:val="single" w:sz="4" w:space="0" w:color="92CDDC"/>
            </w:tcBorders>
            <w:shd w:val="clear" w:color="auto" w:fill="auto"/>
            <w:noWrap/>
            <w:vAlign w:val="center"/>
            <w:hideMark/>
          </w:tcPr>
          <w:p w14:paraId="3AAE300E"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16</w:t>
            </w:r>
          </w:p>
        </w:tc>
        <w:tc>
          <w:tcPr>
            <w:tcW w:w="555" w:type="pct"/>
            <w:tcBorders>
              <w:top w:val="nil"/>
              <w:left w:val="nil"/>
              <w:bottom w:val="single" w:sz="4" w:space="0" w:color="92CDDC"/>
              <w:right w:val="single" w:sz="4" w:space="0" w:color="92CDDC"/>
            </w:tcBorders>
            <w:shd w:val="clear" w:color="auto" w:fill="auto"/>
            <w:noWrap/>
            <w:vAlign w:val="center"/>
            <w:hideMark/>
          </w:tcPr>
          <w:p w14:paraId="47766CBE"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14.953.340,43</w:t>
            </w:r>
          </w:p>
        </w:tc>
        <w:tc>
          <w:tcPr>
            <w:tcW w:w="555" w:type="pct"/>
            <w:tcBorders>
              <w:top w:val="nil"/>
              <w:left w:val="nil"/>
              <w:bottom w:val="single" w:sz="4" w:space="0" w:color="92CDDC"/>
              <w:right w:val="single" w:sz="4" w:space="0" w:color="92CDDC"/>
            </w:tcBorders>
            <w:shd w:val="clear" w:color="auto" w:fill="auto"/>
            <w:noWrap/>
            <w:vAlign w:val="center"/>
            <w:hideMark/>
          </w:tcPr>
          <w:p w14:paraId="25367ED4"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5.344.660,18</w:t>
            </w:r>
          </w:p>
        </w:tc>
        <w:tc>
          <w:tcPr>
            <w:tcW w:w="555" w:type="pct"/>
            <w:tcBorders>
              <w:top w:val="nil"/>
              <w:left w:val="nil"/>
              <w:bottom w:val="single" w:sz="4" w:space="0" w:color="92CDDC"/>
              <w:right w:val="single" w:sz="4" w:space="0" w:color="92CDDC"/>
            </w:tcBorders>
            <w:shd w:val="clear" w:color="auto" w:fill="auto"/>
            <w:noWrap/>
            <w:vAlign w:val="center"/>
            <w:hideMark/>
          </w:tcPr>
          <w:p w14:paraId="36AC61A2"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1.952.423,96</w:t>
            </w:r>
          </w:p>
        </w:tc>
      </w:tr>
      <w:tr w:rsidR="00484C81" w:rsidRPr="0029055C" w14:paraId="34A28F83" w14:textId="77777777" w:rsidTr="00484C81">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center"/>
            <w:hideMark/>
          </w:tcPr>
          <w:p w14:paraId="0A36A287"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Α.2.2</w:t>
            </w:r>
          </w:p>
        </w:tc>
        <w:tc>
          <w:tcPr>
            <w:tcW w:w="581" w:type="pct"/>
            <w:tcBorders>
              <w:top w:val="nil"/>
              <w:left w:val="nil"/>
              <w:bottom w:val="single" w:sz="4" w:space="0" w:color="92CDDC"/>
              <w:right w:val="single" w:sz="4" w:space="0" w:color="92CDDC"/>
            </w:tcBorders>
            <w:shd w:val="clear" w:color="auto" w:fill="auto"/>
            <w:noWrap/>
            <w:vAlign w:val="center"/>
            <w:hideMark/>
          </w:tcPr>
          <w:p w14:paraId="6D05D328"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84.093.935,00</w:t>
            </w:r>
          </w:p>
        </w:tc>
        <w:tc>
          <w:tcPr>
            <w:tcW w:w="581" w:type="pct"/>
            <w:tcBorders>
              <w:top w:val="nil"/>
              <w:left w:val="nil"/>
              <w:bottom w:val="single" w:sz="4" w:space="0" w:color="92CDDC"/>
              <w:right w:val="single" w:sz="4" w:space="0" w:color="92CDDC"/>
            </w:tcBorders>
            <w:shd w:val="clear" w:color="auto" w:fill="auto"/>
            <w:noWrap/>
            <w:vAlign w:val="center"/>
            <w:hideMark/>
          </w:tcPr>
          <w:p w14:paraId="138295A1"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59.267.513,57</w:t>
            </w:r>
          </w:p>
        </w:tc>
        <w:tc>
          <w:tcPr>
            <w:tcW w:w="519" w:type="pct"/>
            <w:tcBorders>
              <w:top w:val="nil"/>
              <w:left w:val="nil"/>
              <w:bottom w:val="single" w:sz="4" w:space="0" w:color="92CDDC"/>
              <w:right w:val="single" w:sz="4" w:space="0" w:color="92CDDC"/>
            </w:tcBorders>
            <w:shd w:val="clear" w:color="auto" w:fill="auto"/>
            <w:noWrap/>
            <w:vAlign w:val="center"/>
            <w:hideMark/>
          </w:tcPr>
          <w:p w14:paraId="13B2EAC7"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5</w:t>
            </w:r>
          </w:p>
        </w:tc>
        <w:tc>
          <w:tcPr>
            <w:tcW w:w="561" w:type="pct"/>
            <w:tcBorders>
              <w:top w:val="nil"/>
              <w:left w:val="nil"/>
              <w:bottom w:val="single" w:sz="4" w:space="0" w:color="92CDDC"/>
              <w:right w:val="single" w:sz="4" w:space="0" w:color="92CDDC"/>
            </w:tcBorders>
            <w:shd w:val="clear" w:color="auto" w:fill="auto"/>
            <w:noWrap/>
            <w:vAlign w:val="center"/>
            <w:hideMark/>
          </w:tcPr>
          <w:p w14:paraId="51E58AFD"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60.078.742,25</w:t>
            </w:r>
          </w:p>
        </w:tc>
        <w:tc>
          <w:tcPr>
            <w:tcW w:w="485" w:type="pct"/>
            <w:tcBorders>
              <w:top w:val="nil"/>
              <w:left w:val="nil"/>
              <w:bottom w:val="single" w:sz="4" w:space="0" w:color="92CDDC"/>
              <w:right w:val="single" w:sz="4" w:space="0" w:color="92CDDC"/>
            </w:tcBorders>
            <w:shd w:val="clear" w:color="auto" w:fill="auto"/>
            <w:noWrap/>
            <w:vAlign w:val="center"/>
            <w:hideMark/>
          </w:tcPr>
          <w:p w14:paraId="6E11FCAD"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15</w:t>
            </w:r>
          </w:p>
        </w:tc>
        <w:tc>
          <w:tcPr>
            <w:tcW w:w="555" w:type="pct"/>
            <w:tcBorders>
              <w:top w:val="nil"/>
              <w:left w:val="nil"/>
              <w:bottom w:val="single" w:sz="4" w:space="0" w:color="92CDDC"/>
              <w:right w:val="single" w:sz="4" w:space="0" w:color="92CDDC"/>
            </w:tcBorders>
            <w:shd w:val="clear" w:color="auto" w:fill="auto"/>
            <w:noWrap/>
            <w:vAlign w:val="center"/>
            <w:hideMark/>
          </w:tcPr>
          <w:p w14:paraId="431760D9"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53.152.215,16</w:t>
            </w:r>
          </w:p>
        </w:tc>
        <w:tc>
          <w:tcPr>
            <w:tcW w:w="555" w:type="pct"/>
            <w:tcBorders>
              <w:top w:val="nil"/>
              <w:left w:val="nil"/>
              <w:bottom w:val="single" w:sz="4" w:space="0" w:color="92CDDC"/>
              <w:right w:val="single" w:sz="4" w:space="0" w:color="92CDDC"/>
            </w:tcBorders>
            <w:shd w:val="clear" w:color="auto" w:fill="auto"/>
            <w:noWrap/>
            <w:vAlign w:val="center"/>
            <w:hideMark/>
          </w:tcPr>
          <w:p w14:paraId="72EB432A"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41.776.394,77</w:t>
            </w:r>
          </w:p>
        </w:tc>
        <w:tc>
          <w:tcPr>
            <w:tcW w:w="555" w:type="pct"/>
            <w:tcBorders>
              <w:top w:val="nil"/>
              <w:left w:val="nil"/>
              <w:bottom w:val="single" w:sz="4" w:space="0" w:color="92CDDC"/>
              <w:right w:val="single" w:sz="4" w:space="0" w:color="92CDDC"/>
            </w:tcBorders>
            <w:shd w:val="clear" w:color="auto" w:fill="auto"/>
            <w:noWrap/>
            <w:vAlign w:val="center"/>
            <w:hideMark/>
          </w:tcPr>
          <w:p w14:paraId="467C9666"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2.513.080,08</w:t>
            </w:r>
          </w:p>
        </w:tc>
      </w:tr>
      <w:tr w:rsidR="00484C81" w:rsidRPr="0029055C" w14:paraId="0682DE36" w14:textId="77777777" w:rsidTr="00484C81">
        <w:trPr>
          <w:jc w:val="center"/>
        </w:trPr>
        <w:tc>
          <w:tcPr>
            <w:tcW w:w="607" w:type="pct"/>
            <w:tcBorders>
              <w:top w:val="nil"/>
              <w:left w:val="single" w:sz="4" w:space="0" w:color="92CDDC"/>
              <w:bottom w:val="single" w:sz="4" w:space="0" w:color="92CDDC"/>
              <w:right w:val="single" w:sz="4" w:space="0" w:color="92CDDC"/>
            </w:tcBorders>
            <w:shd w:val="clear" w:color="000000" w:fill="DAEEF3"/>
            <w:noWrap/>
            <w:vAlign w:val="center"/>
            <w:hideMark/>
          </w:tcPr>
          <w:p w14:paraId="5B6860DE" w14:textId="77777777" w:rsidR="00815C35" w:rsidRPr="0029055C" w:rsidRDefault="00815C35" w:rsidP="00484C81">
            <w:pPr>
              <w:spacing w:before="80" w:after="80" w:line="240" w:lineRule="auto"/>
              <w:jc w:val="left"/>
              <w:rPr>
                <w:rFonts w:asciiTheme="minorHAnsi" w:hAnsiTheme="minorHAnsi" w:cstheme="minorHAnsi"/>
                <w:b/>
                <w:bCs/>
                <w:color w:val="31869B"/>
                <w:szCs w:val="20"/>
              </w:rPr>
            </w:pPr>
            <w:r w:rsidRPr="0029055C">
              <w:rPr>
                <w:rFonts w:asciiTheme="minorHAnsi" w:hAnsiTheme="minorHAnsi" w:cstheme="minorHAnsi"/>
                <w:b/>
                <w:bCs/>
                <w:color w:val="31869B"/>
                <w:szCs w:val="20"/>
              </w:rPr>
              <w:t>Α.3</w:t>
            </w:r>
          </w:p>
        </w:tc>
        <w:tc>
          <w:tcPr>
            <w:tcW w:w="581" w:type="pct"/>
            <w:tcBorders>
              <w:top w:val="nil"/>
              <w:left w:val="nil"/>
              <w:bottom w:val="single" w:sz="4" w:space="0" w:color="92CDDC"/>
              <w:right w:val="single" w:sz="4" w:space="0" w:color="92CDDC"/>
            </w:tcBorders>
            <w:shd w:val="clear" w:color="000000" w:fill="DAEEF3"/>
            <w:noWrap/>
            <w:vAlign w:val="center"/>
            <w:hideMark/>
          </w:tcPr>
          <w:p w14:paraId="4E58FB0A"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14.648.280,00</w:t>
            </w:r>
          </w:p>
        </w:tc>
        <w:tc>
          <w:tcPr>
            <w:tcW w:w="581" w:type="pct"/>
            <w:tcBorders>
              <w:top w:val="nil"/>
              <w:left w:val="nil"/>
              <w:bottom w:val="single" w:sz="4" w:space="0" w:color="92CDDC"/>
              <w:right w:val="single" w:sz="4" w:space="0" w:color="92CDDC"/>
            </w:tcBorders>
            <w:shd w:val="clear" w:color="000000" w:fill="DAEEF3"/>
            <w:noWrap/>
            <w:vAlign w:val="center"/>
            <w:hideMark/>
          </w:tcPr>
          <w:p w14:paraId="46A39908"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6.139.287,00</w:t>
            </w:r>
          </w:p>
        </w:tc>
        <w:tc>
          <w:tcPr>
            <w:tcW w:w="519" w:type="pct"/>
            <w:tcBorders>
              <w:top w:val="nil"/>
              <w:left w:val="nil"/>
              <w:bottom w:val="single" w:sz="4" w:space="0" w:color="92CDDC"/>
              <w:right w:val="single" w:sz="4" w:space="0" w:color="92CDDC"/>
            </w:tcBorders>
            <w:shd w:val="clear" w:color="000000" w:fill="DAEEF3"/>
            <w:noWrap/>
            <w:vAlign w:val="center"/>
            <w:hideMark/>
          </w:tcPr>
          <w:p w14:paraId="0D329F0D" w14:textId="77777777" w:rsidR="00815C35" w:rsidRPr="0029055C" w:rsidRDefault="00815C35" w:rsidP="00484C81">
            <w:pPr>
              <w:spacing w:before="80" w:after="80" w:line="240" w:lineRule="auto"/>
              <w:jc w:val="center"/>
              <w:rPr>
                <w:rFonts w:asciiTheme="minorHAnsi" w:hAnsiTheme="minorHAnsi" w:cstheme="minorHAnsi"/>
                <w:b/>
                <w:bCs/>
                <w:color w:val="31869B"/>
                <w:szCs w:val="20"/>
              </w:rPr>
            </w:pPr>
            <w:r w:rsidRPr="0029055C">
              <w:rPr>
                <w:rFonts w:asciiTheme="minorHAnsi" w:hAnsiTheme="minorHAnsi" w:cstheme="minorHAnsi"/>
                <w:b/>
                <w:bCs/>
                <w:color w:val="31869B"/>
                <w:szCs w:val="20"/>
              </w:rPr>
              <w:t>4</w:t>
            </w:r>
          </w:p>
        </w:tc>
        <w:tc>
          <w:tcPr>
            <w:tcW w:w="561" w:type="pct"/>
            <w:tcBorders>
              <w:top w:val="nil"/>
              <w:left w:val="nil"/>
              <w:bottom w:val="single" w:sz="4" w:space="0" w:color="92CDDC"/>
              <w:right w:val="single" w:sz="4" w:space="0" w:color="92CDDC"/>
            </w:tcBorders>
            <w:shd w:val="clear" w:color="000000" w:fill="DAEEF3"/>
            <w:noWrap/>
            <w:vAlign w:val="center"/>
            <w:hideMark/>
          </w:tcPr>
          <w:p w14:paraId="6A0C72B6"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5.564.287,00</w:t>
            </w:r>
          </w:p>
        </w:tc>
        <w:tc>
          <w:tcPr>
            <w:tcW w:w="485" w:type="pct"/>
            <w:tcBorders>
              <w:top w:val="nil"/>
              <w:left w:val="nil"/>
              <w:bottom w:val="single" w:sz="4" w:space="0" w:color="92CDDC"/>
              <w:right w:val="single" w:sz="4" w:space="0" w:color="92CDDC"/>
            </w:tcBorders>
            <w:shd w:val="clear" w:color="000000" w:fill="DAEEF3"/>
            <w:noWrap/>
            <w:vAlign w:val="center"/>
            <w:hideMark/>
          </w:tcPr>
          <w:p w14:paraId="7A99AAC6" w14:textId="77777777" w:rsidR="00815C35" w:rsidRPr="0029055C" w:rsidRDefault="00815C35" w:rsidP="00484C81">
            <w:pPr>
              <w:spacing w:before="80" w:after="80" w:line="240" w:lineRule="auto"/>
              <w:jc w:val="center"/>
              <w:rPr>
                <w:rFonts w:asciiTheme="minorHAnsi" w:hAnsiTheme="minorHAnsi" w:cstheme="minorHAnsi"/>
                <w:b/>
                <w:bCs/>
                <w:color w:val="31869B"/>
                <w:szCs w:val="20"/>
              </w:rPr>
            </w:pPr>
            <w:r w:rsidRPr="0029055C">
              <w:rPr>
                <w:rFonts w:asciiTheme="minorHAnsi" w:hAnsiTheme="minorHAnsi" w:cstheme="minorHAnsi"/>
                <w:b/>
                <w:bCs/>
                <w:color w:val="31869B"/>
                <w:szCs w:val="20"/>
              </w:rPr>
              <w:t>4</w:t>
            </w:r>
          </w:p>
        </w:tc>
        <w:tc>
          <w:tcPr>
            <w:tcW w:w="555" w:type="pct"/>
            <w:tcBorders>
              <w:top w:val="nil"/>
              <w:left w:val="nil"/>
              <w:bottom w:val="single" w:sz="4" w:space="0" w:color="92CDDC"/>
              <w:right w:val="single" w:sz="4" w:space="0" w:color="92CDDC"/>
            </w:tcBorders>
            <w:shd w:val="clear" w:color="000000" w:fill="DAEEF3"/>
            <w:noWrap/>
            <w:vAlign w:val="center"/>
            <w:hideMark/>
          </w:tcPr>
          <w:p w14:paraId="74395507" w14:textId="77777777" w:rsidR="00815C35" w:rsidRPr="0029055C" w:rsidRDefault="00815C35" w:rsidP="00484C81">
            <w:pPr>
              <w:spacing w:before="80" w:after="80" w:line="240" w:lineRule="auto"/>
              <w:jc w:val="center"/>
              <w:rPr>
                <w:rFonts w:asciiTheme="minorHAnsi" w:hAnsiTheme="minorHAnsi" w:cstheme="minorHAnsi"/>
                <w:b/>
                <w:bCs/>
                <w:color w:val="31869B"/>
                <w:szCs w:val="20"/>
              </w:rPr>
            </w:pPr>
            <w:r w:rsidRPr="0029055C">
              <w:rPr>
                <w:rFonts w:asciiTheme="minorHAnsi" w:hAnsiTheme="minorHAnsi" w:cstheme="minorHAnsi"/>
                <w:b/>
                <w:bCs/>
                <w:color w:val="31869B"/>
                <w:szCs w:val="20"/>
              </w:rPr>
              <w:t>2.451.013,89</w:t>
            </w:r>
          </w:p>
        </w:tc>
        <w:tc>
          <w:tcPr>
            <w:tcW w:w="555" w:type="pct"/>
            <w:tcBorders>
              <w:top w:val="nil"/>
              <w:left w:val="nil"/>
              <w:bottom w:val="single" w:sz="4" w:space="0" w:color="92CDDC"/>
              <w:right w:val="single" w:sz="4" w:space="0" w:color="92CDDC"/>
            </w:tcBorders>
            <w:shd w:val="clear" w:color="000000" w:fill="DAEEF3"/>
            <w:noWrap/>
            <w:vAlign w:val="center"/>
            <w:hideMark/>
          </w:tcPr>
          <w:p w14:paraId="567FEB59"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1.203.634,32</w:t>
            </w:r>
          </w:p>
        </w:tc>
        <w:tc>
          <w:tcPr>
            <w:tcW w:w="555" w:type="pct"/>
            <w:tcBorders>
              <w:top w:val="nil"/>
              <w:left w:val="nil"/>
              <w:bottom w:val="single" w:sz="4" w:space="0" w:color="92CDDC"/>
              <w:right w:val="single" w:sz="4" w:space="0" w:color="92CDDC"/>
            </w:tcBorders>
            <w:shd w:val="clear" w:color="000000" w:fill="DAEEF3"/>
            <w:noWrap/>
            <w:vAlign w:val="center"/>
            <w:hideMark/>
          </w:tcPr>
          <w:p w14:paraId="04748E47"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0,00</w:t>
            </w:r>
          </w:p>
        </w:tc>
      </w:tr>
      <w:tr w:rsidR="00484C81" w:rsidRPr="0029055C" w14:paraId="539B5F1F" w14:textId="77777777" w:rsidTr="00484C81">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center"/>
            <w:hideMark/>
          </w:tcPr>
          <w:p w14:paraId="65937BBB"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Α.3.1</w:t>
            </w:r>
          </w:p>
        </w:tc>
        <w:tc>
          <w:tcPr>
            <w:tcW w:w="581" w:type="pct"/>
            <w:tcBorders>
              <w:top w:val="nil"/>
              <w:left w:val="nil"/>
              <w:bottom w:val="single" w:sz="4" w:space="0" w:color="92CDDC"/>
              <w:right w:val="single" w:sz="4" w:space="0" w:color="92CDDC"/>
            </w:tcBorders>
            <w:shd w:val="clear" w:color="auto" w:fill="auto"/>
            <w:noWrap/>
            <w:vAlign w:val="center"/>
            <w:hideMark/>
          </w:tcPr>
          <w:p w14:paraId="65FEA506"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7.000.000,00</w:t>
            </w:r>
          </w:p>
        </w:tc>
        <w:tc>
          <w:tcPr>
            <w:tcW w:w="581" w:type="pct"/>
            <w:tcBorders>
              <w:top w:val="nil"/>
              <w:left w:val="nil"/>
              <w:bottom w:val="single" w:sz="4" w:space="0" w:color="92CDDC"/>
              <w:right w:val="single" w:sz="4" w:space="0" w:color="92CDDC"/>
            </w:tcBorders>
            <w:shd w:val="clear" w:color="auto" w:fill="auto"/>
            <w:noWrap/>
            <w:vAlign w:val="center"/>
            <w:hideMark/>
          </w:tcPr>
          <w:p w14:paraId="750DCD30"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2.364.287,00</w:t>
            </w:r>
          </w:p>
        </w:tc>
        <w:tc>
          <w:tcPr>
            <w:tcW w:w="519" w:type="pct"/>
            <w:tcBorders>
              <w:top w:val="nil"/>
              <w:left w:val="nil"/>
              <w:bottom w:val="single" w:sz="4" w:space="0" w:color="92CDDC"/>
              <w:right w:val="single" w:sz="4" w:space="0" w:color="92CDDC"/>
            </w:tcBorders>
            <w:shd w:val="clear" w:color="auto" w:fill="auto"/>
            <w:noWrap/>
            <w:vAlign w:val="center"/>
            <w:hideMark/>
          </w:tcPr>
          <w:p w14:paraId="2D85ADDD"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2</w:t>
            </w:r>
          </w:p>
        </w:tc>
        <w:tc>
          <w:tcPr>
            <w:tcW w:w="561" w:type="pct"/>
            <w:tcBorders>
              <w:top w:val="nil"/>
              <w:left w:val="nil"/>
              <w:bottom w:val="single" w:sz="4" w:space="0" w:color="92CDDC"/>
              <w:right w:val="single" w:sz="4" w:space="0" w:color="92CDDC"/>
            </w:tcBorders>
            <w:shd w:val="clear" w:color="auto" w:fill="auto"/>
            <w:noWrap/>
            <w:vAlign w:val="center"/>
            <w:hideMark/>
          </w:tcPr>
          <w:p w14:paraId="7C6BC1D6"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2.364.287,00</w:t>
            </w:r>
          </w:p>
        </w:tc>
        <w:tc>
          <w:tcPr>
            <w:tcW w:w="485" w:type="pct"/>
            <w:tcBorders>
              <w:top w:val="nil"/>
              <w:left w:val="nil"/>
              <w:bottom w:val="single" w:sz="4" w:space="0" w:color="92CDDC"/>
              <w:right w:val="single" w:sz="4" w:space="0" w:color="92CDDC"/>
            </w:tcBorders>
            <w:shd w:val="clear" w:color="auto" w:fill="auto"/>
            <w:noWrap/>
            <w:vAlign w:val="center"/>
            <w:hideMark/>
          </w:tcPr>
          <w:p w14:paraId="4CF824AE"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1</w:t>
            </w:r>
          </w:p>
        </w:tc>
        <w:tc>
          <w:tcPr>
            <w:tcW w:w="555" w:type="pct"/>
            <w:tcBorders>
              <w:top w:val="nil"/>
              <w:left w:val="nil"/>
              <w:bottom w:val="single" w:sz="4" w:space="0" w:color="92CDDC"/>
              <w:right w:val="single" w:sz="4" w:space="0" w:color="92CDDC"/>
            </w:tcBorders>
            <w:shd w:val="clear" w:color="auto" w:fill="auto"/>
            <w:noWrap/>
            <w:vAlign w:val="center"/>
            <w:hideMark/>
          </w:tcPr>
          <w:p w14:paraId="66A3FD74"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181.047,00</w:t>
            </w:r>
          </w:p>
        </w:tc>
        <w:tc>
          <w:tcPr>
            <w:tcW w:w="555" w:type="pct"/>
            <w:tcBorders>
              <w:top w:val="nil"/>
              <w:left w:val="nil"/>
              <w:bottom w:val="single" w:sz="4" w:space="0" w:color="92CDDC"/>
              <w:right w:val="single" w:sz="4" w:space="0" w:color="92CDDC"/>
            </w:tcBorders>
            <w:shd w:val="clear" w:color="auto" w:fill="auto"/>
            <w:noWrap/>
            <w:vAlign w:val="center"/>
            <w:hideMark/>
          </w:tcPr>
          <w:p w14:paraId="3C3F279A"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0,00</w:t>
            </w:r>
          </w:p>
        </w:tc>
        <w:tc>
          <w:tcPr>
            <w:tcW w:w="555" w:type="pct"/>
            <w:tcBorders>
              <w:top w:val="nil"/>
              <w:left w:val="nil"/>
              <w:bottom w:val="single" w:sz="4" w:space="0" w:color="92CDDC"/>
              <w:right w:val="single" w:sz="4" w:space="0" w:color="92CDDC"/>
            </w:tcBorders>
            <w:shd w:val="clear" w:color="auto" w:fill="auto"/>
            <w:noWrap/>
            <w:vAlign w:val="center"/>
            <w:hideMark/>
          </w:tcPr>
          <w:p w14:paraId="5DDF1E54"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0,00</w:t>
            </w:r>
          </w:p>
        </w:tc>
      </w:tr>
      <w:tr w:rsidR="00484C81" w:rsidRPr="0029055C" w14:paraId="57D1C4E1" w14:textId="77777777" w:rsidTr="00484C81">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center"/>
            <w:hideMark/>
          </w:tcPr>
          <w:p w14:paraId="0A9D039A"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Α.3.2</w:t>
            </w:r>
          </w:p>
        </w:tc>
        <w:tc>
          <w:tcPr>
            <w:tcW w:w="581" w:type="pct"/>
            <w:tcBorders>
              <w:top w:val="nil"/>
              <w:left w:val="nil"/>
              <w:bottom w:val="single" w:sz="4" w:space="0" w:color="92CDDC"/>
              <w:right w:val="single" w:sz="4" w:space="0" w:color="92CDDC"/>
            </w:tcBorders>
            <w:shd w:val="clear" w:color="auto" w:fill="auto"/>
            <w:noWrap/>
            <w:vAlign w:val="center"/>
            <w:hideMark/>
          </w:tcPr>
          <w:p w14:paraId="449FEE88"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5.000.000,00</w:t>
            </w:r>
          </w:p>
        </w:tc>
        <w:tc>
          <w:tcPr>
            <w:tcW w:w="581" w:type="pct"/>
            <w:tcBorders>
              <w:top w:val="nil"/>
              <w:left w:val="nil"/>
              <w:bottom w:val="single" w:sz="4" w:space="0" w:color="92CDDC"/>
              <w:right w:val="single" w:sz="4" w:space="0" w:color="92CDDC"/>
            </w:tcBorders>
            <w:shd w:val="clear" w:color="auto" w:fill="auto"/>
            <w:noWrap/>
            <w:vAlign w:val="center"/>
            <w:hideMark/>
          </w:tcPr>
          <w:p w14:paraId="468EAB1A"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1.175.000,00</w:t>
            </w:r>
          </w:p>
        </w:tc>
        <w:tc>
          <w:tcPr>
            <w:tcW w:w="519" w:type="pct"/>
            <w:tcBorders>
              <w:top w:val="nil"/>
              <w:left w:val="nil"/>
              <w:bottom w:val="single" w:sz="4" w:space="0" w:color="92CDDC"/>
              <w:right w:val="single" w:sz="4" w:space="0" w:color="92CDDC"/>
            </w:tcBorders>
            <w:shd w:val="clear" w:color="auto" w:fill="auto"/>
            <w:noWrap/>
            <w:vAlign w:val="center"/>
            <w:hideMark/>
          </w:tcPr>
          <w:p w14:paraId="6A46DA29"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1</w:t>
            </w:r>
          </w:p>
        </w:tc>
        <w:tc>
          <w:tcPr>
            <w:tcW w:w="561" w:type="pct"/>
            <w:tcBorders>
              <w:top w:val="nil"/>
              <w:left w:val="nil"/>
              <w:bottom w:val="single" w:sz="4" w:space="0" w:color="92CDDC"/>
              <w:right w:val="single" w:sz="4" w:space="0" w:color="92CDDC"/>
            </w:tcBorders>
            <w:shd w:val="clear" w:color="auto" w:fill="auto"/>
            <w:noWrap/>
            <w:vAlign w:val="center"/>
            <w:hideMark/>
          </w:tcPr>
          <w:p w14:paraId="3B2C4F4E"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600.000,00</w:t>
            </w:r>
          </w:p>
        </w:tc>
        <w:tc>
          <w:tcPr>
            <w:tcW w:w="485" w:type="pct"/>
            <w:tcBorders>
              <w:top w:val="nil"/>
              <w:left w:val="nil"/>
              <w:bottom w:val="single" w:sz="4" w:space="0" w:color="92CDDC"/>
              <w:right w:val="single" w:sz="4" w:space="0" w:color="92CDDC"/>
            </w:tcBorders>
            <w:shd w:val="clear" w:color="auto" w:fill="auto"/>
            <w:noWrap/>
            <w:vAlign w:val="center"/>
            <w:hideMark/>
          </w:tcPr>
          <w:p w14:paraId="2DEB3935"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1</w:t>
            </w:r>
          </w:p>
        </w:tc>
        <w:tc>
          <w:tcPr>
            <w:tcW w:w="555" w:type="pct"/>
            <w:tcBorders>
              <w:top w:val="nil"/>
              <w:left w:val="nil"/>
              <w:bottom w:val="single" w:sz="4" w:space="0" w:color="92CDDC"/>
              <w:right w:val="single" w:sz="4" w:space="0" w:color="92CDDC"/>
            </w:tcBorders>
            <w:shd w:val="clear" w:color="auto" w:fill="auto"/>
            <w:noWrap/>
            <w:vAlign w:val="center"/>
            <w:hideMark/>
          </w:tcPr>
          <w:p w14:paraId="33FE5FE0"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585.282,73</w:t>
            </w:r>
          </w:p>
        </w:tc>
        <w:tc>
          <w:tcPr>
            <w:tcW w:w="555" w:type="pct"/>
            <w:tcBorders>
              <w:top w:val="nil"/>
              <w:left w:val="nil"/>
              <w:bottom w:val="single" w:sz="4" w:space="0" w:color="92CDDC"/>
              <w:right w:val="single" w:sz="4" w:space="0" w:color="92CDDC"/>
            </w:tcBorders>
            <w:shd w:val="clear" w:color="auto" w:fill="auto"/>
            <w:noWrap/>
            <w:vAlign w:val="center"/>
            <w:hideMark/>
          </w:tcPr>
          <w:p w14:paraId="40B0E200"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103.559,32</w:t>
            </w:r>
          </w:p>
        </w:tc>
        <w:tc>
          <w:tcPr>
            <w:tcW w:w="555" w:type="pct"/>
            <w:tcBorders>
              <w:top w:val="nil"/>
              <w:left w:val="nil"/>
              <w:bottom w:val="single" w:sz="4" w:space="0" w:color="92CDDC"/>
              <w:right w:val="single" w:sz="4" w:space="0" w:color="92CDDC"/>
            </w:tcBorders>
            <w:shd w:val="clear" w:color="auto" w:fill="auto"/>
            <w:noWrap/>
            <w:vAlign w:val="center"/>
            <w:hideMark/>
          </w:tcPr>
          <w:p w14:paraId="5CDAFABB"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0,00</w:t>
            </w:r>
          </w:p>
        </w:tc>
      </w:tr>
      <w:tr w:rsidR="00484C81" w:rsidRPr="0029055C" w14:paraId="5B35AA0B" w14:textId="77777777" w:rsidTr="00484C81">
        <w:trPr>
          <w:jc w:val="center"/>
        </w:trPr>
        <w:tc>
          <w:tcPr>
            <w:tcW w:w="607" w:type="pct"/>
            <w:tcBorders>
              <w:top w:val="nil"/>
              <w:left w:val="single" w:sz="4" w:space="0" w:color="92CDDC"/>
              <w:bottom w:val="single" w:sz="12" w:space="0" w:color="92CDDC"/>
              <w:right w:val="single" w:sz="4" w:space="0" w:color="92CDDC"/>
            </w:tcBorders>
            <w:shd w:val="clear" w:color="auto" w:fill="auto"/>
            <w:noWrap/>
            <w:vAlign w:val="center"/>
            <w:hideMark/>
          </w:tcPr>
          <w:p w14:paraId="257AC9A0"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Α.3.3</w:t>
            </w:r>
          </w:p>
        </w:tc>
        <w:tc>
          <w:tcPr>
            <w:tcW w:w="581" w:type="pct"/>
            <w:tcBorders>
              <w:top w:val="nil"/>
              <w:left w:val="nil"/>
              <w:bottom w:val="single" w:sz="12" w:space="0" w:color="92CDDC"/>
              <w:right w:val="single" w:sz="4" w:space="0" w:color="92CDDC"/>
            </w:tcBorders>
            <w:shd w:val="clear" w:color="auto" w:fill="auto"/>
            <w:noWrap/>
            <w:vAlign w:val="center"/>
            <w:hideMark/>
          </w:tcPr>
          <w:p w14:paraId="7295C973"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2.648.280,00</w:t>
            </w:r>
          </w:p>
        </w:tc>
        <w:tc>
          <w:tcPr>
            <w:tcW w:w="581" w:type="pct"/>
            <w:tcBorders>
              <w:top w:val="nil"/>
              <w:left w:val="nil"/>
              <w:bottom w:val="single" w:sz="12" w:space="0" w:color="92CDDC"/>
              <w:right w:val="single" w:sz="4" w:space="0" w:color="92CDDC"/>
            </w:tcBorders>
            <w:shd w:val="clear" w:color="auto" w:fill="auto"/>
            <w:noWrap/>
            <w:vAlign w:val="center"/>
            <w:hideMark/>
          </w:tcPr>
          <w:p w14:paraId="775E482B"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2.600.000,00</w:t>
            </w:r>
          </w:p>
        </w:tc>
        <w:tc>
          <w:tcPr>
            <w:tcW w:w="519" w:type="pct"/>
            <w:tcBorders>
              <w:top w:val="nil"/>
              <w:left w:val="nil"/>
              <w:bottom w:val="single" w:sz="12" w:space="0" w:color="92CDDC"/>
              <w:right w:val="single" w:sz="4" w:space="0" w:color="92CDDC"/>
            </w:tcBorders>
            <w:shd w:val="clear" w:color="auto" w:fill="auto"/>
            <w:noWrap/>
            <w:vAlign w:val="center"/>
            <w:hideMark/>
          </w:tcPr>
          <w:p w14:paraId="7703A283"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1</w:t>
            </w:r>
          </w:p>
        </w:tc>
        <w:tc>
          <w:tcPr>
            <w:tcW w:w="561" w:type="pct"/>
            <w:tcBorders>
              <w:top w:val="nil"/>
              <w:left w:val="nil"/>
              <w:bottom w:val="single" w:sz="12" w:space="0" w:color="92CDDC"/>
              <w:right w:val="single" w:sz="4" w:space="0" w:color="92CDDC"/>
            </w:tcBorders>
            <w:shd w:val="clear" w:color="auto" w:fill="auto"/>
            <w:noWrap/>
            <w:vAlign w:val="center"/>
            <w:hideMark/>
          </w:tcPr>
          <w:p w14:paraId="617E7665"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2.600.000,00</w:t>
            </w:r>
          </w:p>
        </w:tc>
        <w:tc>
          <w:tcPr>
            <w:tcW w:w="485" w:type="pct"/>
            <w:tcBorders>
              <w:top w:val="nil"/>
              <w:left w:val="nil"/>
              <w:bottom w:val="single" w:sz="12" w:space="0" w:color="92CDDC"/>
              <w:right w:val="single" w:sz="4" w:space="0" w:color="92CDDC"/>
            </w:tcBorders>
            <w:shd w:val="clear" w:color="auto" w:fill="auto"/>
            <w:noWrap/>
            <w:vAlign w:val="center"/>
            <w:hideMark/>
          </w:tcPr>
          <w:p w14:paraId="4B90F5CE"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2</w:t>
            </w:r>
          </w:p>
        </w:tc>
        <w:tc>
          <w:tcPr>
            <w:tcW w:w="555" w:type="pct"/>
            <w:tcBorders>
              <w:top w:val="nil"/>
              <w:left w:val="nil"/>
              <w:bottom w:val="single" w:sz="12" w:space="0" w:color="92CDDC"/>
              <w:right w:val="single" w:sz="4" w:space="0" w:color="92CDDC"/>
            </w:tcBorders>
            <w:shd w:val="clear" w:color="auto" w:fill="auto"/>
            <w:noWrap/>
            <w:vAlign w:val="center"/>
            <w:hideMark/>
          </w:tcPr>
          <w:p w14:paraId="1332B602" w14:textId="77777777" w:rsidR="00815C35" w:rsidRPr="0029055C" w:rsidRDefault="00815C35" w:rsidP="00484C81">
            <w:pPr>
              <w:spacing w:before="80" w:after="80" w:line="240" w:lineRule="auto"/>
              <w:jc w:val="center"/>
              <w:rPr>
                <w:rFonts w:asciiTheme="minorHAnsi" w:hAnsiTheme="minorHAnsi" w:cstheme="minorHAnsi"/>
                <w:color w:val="000000"/>
                <w:szCs w:val="20"/>
              </w:rPr>
            </w:pPr>
            <w:r w:rsidRPr="0029055C">
              <w:rPr>
                <w:rFonts w:asciiTheme="minorHAnsi" w:hAnsiTheme="minorHAnsi" w:cstheme="minorHAnsi"/>
                <w:color w:val="000000"/>
                <w:szCs w:val="20"/>
              </w:rPr>
              <w:t>1.684.684,16</w:t>
            </w:r>
          </w:p>
        </w:tc>
        <w:tc>
          <w:tcPr>
            <w:tcW w:w="555" w:type="pct"/>
            <w:tcBorders>
              <w:top w:val="nil"/>
              <w:left w:val="nil"/>
              <w:bottom w:val="single" w:sz="12" w:space="0" w:color="92CDDC"/>
              <w:right w:val="single" w:sz="4" w:space="0" w:color="92CDDC"/>
            </w:tcBorders>
            <w:shd w:val="clear" w:color="auto" w:fill="auto"/>
            <w:noWrap/>
            <w:vAlign w:val="center"/>
            <w:hideMark/>
          </w:tcPr>
          <w:p w14:paraId="1B7D19DC"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1.100.075,00</w:t>
            </w:r>
          </w:p>
        </w:tc>
        <w:tc>
          <w:tcPr>
            <w:tcW w:w="555" w:type="pct"/>
            <w:tcBorders>
              <w:top w:val="nil"/>
              <w:left w:val="nil"/>
              <w:bottom w:val="single" w:sz="12" w:space="0" w:color="92CDDC"/>
              <w:right w:val="single" w:sz="4" w:space="0" w:color="92CDDC"/>
            </w:tcBorders>
            <w:shd w:val="clear" w:color="auto" w:fill="auto"/>
            <w:noWrap/>
            <w:vAlign w:val="center"/>
            <w:hideMark/>
          </w:tcPr>
          <w:p w14:paraId="2955CA11" w14:textId="77777777" w:rsidR="00815C35" w:rsidRPr="0029055C" w:rsidRDefault="00815C35" w:rsidP="00484C81">
            <w:pPr>
              <w:spacing w:before="80" w:after="80" w:line="240" w:lineRule="auto"/>
              <w:jc w:val="right"/>
              <w:rPr>
                <w:rFonts w:asciiTheme="minorHAnsi" w:hAnsiTheme="minorHAnsi" w:cstheme="minorHAnsi"/>
                <w:color w:val="000000"/>
                <w:szCs w:val="20"/>
              </w:rPr>
            </w:pPr>
            <w:r w:rsidRPr="0029055C">
              <w:rPr>
                <w:rFonts w:asciiTheme="minorHAnsi" w:hAnsiTheme="minorHAnsi" w:cstheme="minorHAnsi"/>
                <w:color w:val="000000"/>
                <w:szCs w:val="20"/>
              </w:rPr>
              <w:t>0,00</w:t>
            </w:r>
          </w:p>
        </w:tc>
      </w:tr>
      <w:tr w:rsidR="00484C81" w:rsidRPr="0029055C" w14:paraId="30B30E06" w14:textId="77777777" w:rsidTr="00484C81">
        <w:trPr>
          <w:jc w:val="center"/>
        </w:trPr>
        <w:tc>
          <w:tcPr>
            <w:tcW w:w="607" w:type="pct"/>
            <w:tcBorders>
              <w:top w:val="single" w:sz="12" w:space="0" w:color="92CDDC"/>
              <w:left w:val="single" w:sz="4" w:space="0" w:color="92CDDC"/>
              <w:bottom w:val="single" w:sz="12" w:space="0" w:color="92CDDC"/>
              <w:right w:val="single" w:sz="4" w:space="0" w:color="92CDDC"/>
            </w:tcBorders>
            <w:shd w:val="clear" w:color="auto" w:fill="auto"/>
            <w:noWrap/>
            <w:vAlign w:val="bottom"/>
            <w:hideMark/>
          </w:tcPr>
          <w:p w14:paraId="34C946DB" w14:textId="77777777" w:rsidR="00815C35" w:rsidRPr="0029055C" w:rsidRDefault="00815C35" w:rsidP="00AC462E">
            <w:pPr>
              <w:spacing w:before="80" w:after="80" w:line="240" w:lineRule="auto"/>
              <w:jc w:val="left"/>
              <w:rPr>
                <w:rFonts w:asciiTheme="minorHAnsi" w:hAnsiTheme="minorHAnsi" w:cstheme="minorHAnsi"/>
                <w:b/>
                <w:bCs/>
                <w:color w:val="31869B"/>
                <w:szCs w:val="20"/>
              </w:rPr>
            </w:pPr>
            <w:r w:rsidRPr="0029055C">
              <w:rPr>
                <w:rFonts w:asciiTheme="minorHAnsi" w:hAnsiTheme="minorHAnsi" w:cstheme="minorHAnsi"/>
                <w:b/>
                <w:bCs/>
                <w:color w:val="31869B"/>
                <w:szCs w:val="20"/>
              </w:rPr>
              <w:t xml:space="preserve">Σύνολο Θεματικού Άξονα </w:t>
            </w:r>
            <w:r w:rsidR="00AC462E" w:rsidRPr="0029055C">
              <w:rPr>
                <w:rFonts w:asciiTheme="minorHAnsi" w:hAnsiTheme="minorHAnsi" w:cstheme="minorHAnsi"/>
                <w:b/>
                <w:bCs/>
                <w:color w:val="31869B"/>
                <w:szCs w:val="20"/>
              </w:rPr>
              <w:t>Ι</w:t>
            </w:r>
          </w:p>
        </w:tc>
        <w:tc>
          <w:tcPr>
            <w:tcW w:w="581" w:type="pct"/>
            <w:tcBorders>
              <w:top w:val="single" w:sz="12" w:space="0" w:color="92CDDC"/>
              <w:left w:val="nil"/>
              <w:bottom w:val="single" w:sz="12" w:space="0" w:color="92CDDC"/>
              <w:right w:val="single" w:sz="4" w:space="0" w:color="92CDDC"/>
            </w:tcBorders>
            <w:shd w:val="clear" w:color="auto" w:fill="auto"/>
            <w:noWrap/>
            <w:vAlign w:val="center"/>
            <w:hideMark/>
          </w:tcPr>
          <w:p w14:paraId="28B017C0"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167.242.215,00</w:t>
            </w:r>
          </w:p>
        </w:tc>
        <w:tc>
          <w:tcPr>
            <w:tcW w:w="581" w:type="pct"/>
            <w:tcBorders>
              <w:top w:val="single" w:sz="12" w:space="0" w:color="92CDDC"/>
              <w:left w:val="nil"/>
              <w:bottom w:val="single" w:sz="12" w:space="0" w:color="92CDDC"/>
              <w:right w:val="single" w:sz="4" w:space="0" w:color="92CDDC"/>
            </w:tcBorders>
            <w:shd w:val="clear" w:color="auto" w:fill="auto"/>
            <w:noWrap/>
            <w:vAlign w:val="center"/>
            <w:hideMark/>
          </w:tcPr>
          <w:p w14:paraId="068BF293"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130.525.018,59</w:t>
            </w:r>
          </w:p>
        </w:tc>
        <w:tc>
          <w:tcPr>
            <w:tcW w:w="519" w:type="pct"/>
            <w:tcBorders>
              <w:top w:val="single" w:sz="12" w:space="0" w:color="92CDDC"/>
              <w:left w:val="nil"/>
              <w:bottom w:val="single" w:sz="12" w:space="0" w:color="92CDDC"/>
              <w:right w:val="single" w:sz="4" w:space="0" w:color="92CDDC"/>
            </w:tcBorders>
            <w:shd w:val="clear" w:color="auto" w:fill="auto"/>
            <w:noWrap/>
            <w:vAlign w:val="center"/>
            <w:hideMark/>
          </w:tcPr>
          <w:p w14:paraId="41E5B25E" w14:textId="77777777" w:rsidR="00815C35" w:rsidRPr="0029055C" w:rsidRDefault="00617EC1" w:rsidP="00484C81">
            <w:pPr>
              <w:spacing w:before="80" w:after="80" w:line="240" w:lineRule="auto"/>
              <w:jc w:val="center"/>
              <w:rPr>
                <w:rFonts w:asciiTheme="minorHAnsi" w:hAnsiTheme="minorHAnsi" w:cstheme="minorHAnsi"/>
                <w:b/>
                <w:bCs/>
                <w:color w:val="31869B"/>
                <w:szCs w:val="20"/>
              </w:rPr>
            </w:pPr>
            <w:r w:rsidRPr="0029055C">
              <w:rPr>
                <w:rFonts w:asciiTheme="minorHAnsi" w:hAnsiTheme="minorHAnsi" w:cstheme="minorHAnsi"/>
                <w:b/>
                <w:bCs/>
                <w:color w:val="31869B"/>
                <w:szCs w:val="20"/>
              </w:rPr>
              <w:t>13</w:t>
            </w:r>
          </w:p>
        </w:tc>
        <w:tc>
          <w:tcPr>
            <w:tcW w:w="561" w:type="pct"/>
            <w:tcBorders>
              <w:top w:val="single" w:sz="12" w:space="0" w:color="92CDDC"/>
              <w:left w:val="nil"/>
              <w:bottom w:val="single" w:sz="12" w:space="0" w:color="92CDDC"/>
              <w:right w:val="single" w:sz="4" w:space="0" w:color="92CDDC"/>
            </w:tcBorders>
            <w:shd w:val="clear" w:color="auto" w:fill="auto"/>
            <w:noWrap/>
            <w:vAlign w:val="center"/>
            <w:hideMark/>
          </w:tcPr>
          <w:p w14:paraId="23F88622"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127.322.302,00</w:t>
            </w:r>
          </w:p>
        </w:tc>
        <w:tc>
          <w:tcPr>
            <w:tcW w:w="485" w:type="pct"/>
            <w:tcBorders>
              <w:top w:val="single" w:sz="12" w:space="0" w:color="92CDDC"/>
              <w:left w:val="nil"/>
              <w:bottom w:val="single" w:sz="12" w:space="0" w:color="92CDDC"/>
              <w:right w:val="single" w:sz="4" w:space="0" w:color="92CDDC"/>
            </w:tcBorders>
            <w:shd w:val="clear" w:color="auto" w:fill="auto"/>
            <w:noWrap/>
            <w:vAlign w:val="center"/>
            <w:hideMark/>
          </w:tcPr>
          <w:p w14:paraId="103E92DB" w14:textId="77777777" w:rsidR="00815C35" w:rsidRPr="0029055C" w:rsidRDefault="00617EC1" w:rsidP="00484C81">
            <w:pPr>
              <w:spacing w:before="80" w:after="80" w:line="240" w:lineRule="auto"/>
              <w:jc w:val="center"/>
              <w:rPr>
                <w:rFonts w:asciiTheme="minorHAnsi" w:hAnsiTheme="minorHAnsi" w:cstheme="minorHAnsi"/>
                <w:b/>
                <w:bCs/>
                <w:color w:val="31869B"/>
                <w:szCs w:val="20"/>
              </w:rPr>
            </w:pPr>
            <w:r w:rsidRPr="0029055C">
              <w:rPr>
                <w:rFonts w:asciiTheme="minorHAnsi" w:hAnsiTheme="minorHAnsi" w:cstheme="minorHAnsi"/>
                <w:b/>
                <w:bCs/>
                <w:color w:val="31869B"/>
                <w:szCs w:val="20"/>
              </w:rPr>
              <w:t>39</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4B94A07E" w14:textId="77777777" w:rsidR="00815C35" w:rsidRPr="0029055C" w:rsidRDefault="00815C35" w:rsidP="00484C81">
            <w:pPr>
              <w:spacing w:before="80" w:after="80" w:line="240" w:lineRule="auto"/>
              <w:jc w:val="center"/>
              <w:rPr>
                <w:rFonts w:asciiTheme="minorHAnsi" w:hAnsiTheme="minorHAnsi" w:cstheme="minorHAnsi"/>
                <w:b/>
                <w:bCs/>
                <w:color w:val="31869B"/>
                <w:szCs w:val="20"/>
              </w:rPr>
            </w:pPr>
            <w:r w:rsidRPr="0029055C">
              <w:rPr>
                <w:rFonts w:asciiTheme="minorHAnsi" w:hAnsiTheme="minorHAnsi" w:cstheme="minorHAnsi"/>
                <w:b/>
                <w:bCs/>
                <w:color w:val="31869B"/>
                <w:szCs w:val="20"/>
              </w:rPr>
              <w:t>90.283.454,74</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1FDDDFD0"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63.546.032,05</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1DDFE078" w14:textId="77777777" w:rsidR="00815C35" w:rsidRPr="0029055C" w:rsidRDefault="00815C35" w:rsidP="00484C81">
            <w:pPr>
              <w:spacing w:before="80" w:after="80" w:line="240" w:lineRule="auto"/>
              <w:jc w:val="right"/>
              <w:rPr>
                <w:rFonts w:asciiTheme="minorHAnsi" w:hAnsiTheme="minorHAnsi" w:cstheme="minorHAnsi"/>
                <w:b/>
                <w:bCs/>
                <w:color w:val="31869B"/>
                <w:szCs w:val="20"/>
              </w:rPr>
            </w:pPr>
            <w:r w:rsidRPr="0029055C">
              <w:rPr>
                <w:rFonts w:asciiTheme="minorHAnsi" w:hAnsiTheme="minorHAnsi" w:cstheme="minorHAnsi"/>
                <w:b/>
                <w:bCs/>
                <w:color w:val="31869B"/>
                <w:szCs w:val="20"/>
              </w:rPr>
              <w:t>6.479.486,98</w:t>
            </w:r>
          </w:p>
        </w:tc>
      </w:tr>
    </w:tbl>
    <w:p w14:paraId="602DB905" w14:textId="77777777" w:rsidR="00815C35" w:rsidRPr="0029055C" w:rsidRDefault="00D53298" w:rsidP="00D53298">
      <w:pPr>
        <w:spacing w:before="60" w:line="240" w:lineRule="auto"/>
        <w:rPr>
          <w:i/>
          <w:color w:val="215868" w:themeColor="accent5" w:themeShade="80"/>
        </w:rPr>
      </w:pPr>
      <w:r w:rsidRPr="0029055C">
        <w:rPr>
          <w:i/>
          <w:color w:val="215868" w:themeColor="accent5" w:themeShade="80"/>
        </w:rPr>
        <w:t>Πηγή: ΟΠΣ 01.06.2018</w:t>
      </w:r>
    </w:p>
    <w:p w14:paraId="551FE189" w14:textId="77777777" w:rsidR="00815C35" w:rsidRPr="0029055C" w:rsidRDefault="00815C35" w:rsidP="00815C35">
      <w:pPr>
        <w:tabs>
          <w:tab w:val="left" w:pos="252"/>
        </w:tabs>
        <w:ind w:left="266" w:hanging="266"/>
        <w:rPr>
          <w:i/>
        </w:rPr>
      </w:pPr>
      <w:r w:rsidRPr="0029055C">
        <w:rPr>
          <w:i/>
        </w:rPr>
        <w:t xml:space="preserve">* </w:t>
      </w:r>
      <w:r w:rsidRPr="0029055C">
        <w:rPr>
          <w:i/>
        </w:rPr>
        <w:tab/>
      </w:r>
      <w:r w:rsidR="006279B5" w:rsidRPr="0029055C">
        <w:rPr>
          <w:i/>
        </w:rPr>
        <w:t xml:space="preserve">Ο αριθμός </w:t>
      </w:r>
      <w:r w:rsidR="00617EC1" w:rsidRPr="0029055C">
        <w:rPr>
          <w:i/>
        </w:rPr>
        <w:t>των προσκλήσεων ανά Ειδικό Στόχο και Κατηγορία Δράσης δ</w:t>
      </w:r>
      <w:r w:rsidRPr="0029055C">
        <w:rPr>
          <w:i/>
        </w:rPr>
        <w:t>εν αντιστοιχεί σε μοναδικό αριθμό δεδομένου ότι μία πρόσκληση μπορεί να αφορά σε περισσότερους από έναν Ειδικό Στόχο και σε περισσότερες από μία Κατηγορί</w:t>
      </w:r>
      <w:r w:rsidR="00617EC1" w:rsidRPr="0029055C">
        <w:rPr>
          <w:i/>
        </w:rPr>
        <w:t>ες</w:t>
      </w:r>
      <w:r w:rsidRPr="0029055C">
        <w:rPr>
          <w:i/>
        </w:rPr>
        <w:t xml:space="preserve"> Δράσης</w:t>
      </w:r>
      <w:r w:rsidR="00617EC1" w:rsidRPr="0029055C">
        <w:rPr>
          <w:i/>
        </w:rPr>
        <w:t>.</w:t>
      </w:r>
      <w:r w:rsidRPr="0029055C">
        <w:rPr>
          <w:i/>
        </w:rPr>
        <w:t xml:space="preserve"> </w:t>
      </w:r>
      <w:r w:rsidR="00617EC1" w:rsidRPr="0029055C">
        <w:rPr>
          <w:i/>
        </w:rPr>
        <w:t xml:space="preserve">Το σύνολο των προσκλήσεων για το Θεματικό Άξονα </w:t>
      </w:r>
      <w:r w:rsidR="001B3747" w:rsidRPr="0029055C">
        <w:rPr>
          <w:i/>
        </w:rPr>
        <w:t>Ι</w:t>
      </w:r>
      <w:r w:rsidR="00617EC1" w:rsidRPr="0029055C">
        <w:rPr>
          <w:i/>
        </w:rPr>
        <w:t xml:space="preserve"> αντιστοιχεί σε μοναδικό αριθμό και δεν προκύπτει από τα επιμέρους αθροίσματα.</w:t>
      </w:r>
    </w:p>
    <w:p w14:paraId="431C341D" w14:textId="77777777" w:rsidR="00590E21" w:rsidRPr="0029055C" w:rsidRDefault="00815C35" w:rsidP="00617EC1">
      <w:pPr>
        <w:tabs>
          <w:tab w:val="left" w:pos="252"/>
        </w:tabs>
        <w:ind w:left="266" w:hanging="266"/>
        <w:rPr>
          <w:i/>
        </w:rPr>
      </w:pPr>
      <w:r w:rsidRPr="0029055C">
        <w:rPr>
          <w:i/>
        </w:rPr>
        <w:t xml:space="preserve">** </w:t>
      </w:r>
      <w:r w:rsidR="00617EC1" w:rsidRPr="0029055C">
        <w:rPr>
          <w:i/>
        </w:rPr>
        <w:t>Ο αριθμός των ενταγμένων έργων ανά Ειδικό Στόχο και Κατηγορία Δράσης δ</w:t>
      </w:r>
      <w:r w:rsidRPr="0029055C">
        <w:rPr>
          <w:i/>
        </w:rPr>
        <w:t>εν αντιστοιχεί σε μοναδικό αριθμό, δεδομένου ότι ένα έργο μπορεί να εντάσσεται σε περισσότερες από μία Κατηγορί</w:t>
      </w:r>
      <w:r w:rsidR="00617EC1" w:rsidRPr="0029055C">
        <w:rPr>
          <w:i/>
        </w:rPr>
        <w:t>ες</w:t>
      </w:r>
      <w:r w:rsidRPr="0029055C">
        <w:rPr>
          <w:i/>
        </w:rPr>
        <w:t xml:space="preserve"> Δράσης</w:t>
      </w:r>
      <w:r w:rsidR="00617EC1" w:rsidRPr="0029055C">
        <w:rPr>
          <w:i/>
        </w:rPr>
        <w:t xml:space="preserve">. Το σύνολο των ενταγμένων έργων για το Θεματικό Άξονα </w:t>
      </w:r>
      <w:r w:rsidR="001B3747" w:rsidRPr="0029055C">
        <w:rPr>
          <w:i/>
        </w:rPr>
        <w:t>Ι</w:t>
      </w:r>
      <w:r w:rsidR="00617EC1" w:rsidRPr="0029055C">
        <w:rPr>
          <w:i/>
        </w:rPr>
        <w:t xml:space="preserve"> αντιστοιχεί σε μοναδικό αριθμό και δεν προκύπτει από τα επιμέρους αθροίσματα.</w:t>
      </w:r>
    </w:p>
    <w:p w14:paraId="2C08133B" w14:textId="77777777" w:rsidR="00DD4E0D" w:rsidRPr="0029055C" w:rsidRDefault="00DD4E0D" w:rsidP="00590E21"/>
    <w:p w14:paraId="4CD677FA" w14:textId="77777777" w:rsidR="00815C35" w:rsidRPr="0029055C" w:rsidRDefault="00815C35" w:rsidP="00590E21">
      <w:pPr>
        <w:sectPr w:rsidR="00815C35" w:rsidRPr="0029055C" w:rsidSect="003154D4">
          <w:headerReference w:type="default" r:id="rId23"/>
          <w:footerReference w:type="default" r:id="rId24"/>
          <w:pgSz w:w="16838" w:h="11906" w:orient="landscape" w:code="9"/>
          <w:pgMar w:top="1814" w:right="1418" w:bottom="1134" w:left="1418" w:header="567" w:footer="284" w:gutter="0"/>
          <w:cols w:space="708"/>
          <w:docGrid w:linePitch="360"/>
        </w:sectPr>
      </w:pPr>
    </w:p>
    <w:p w14:paraId="5AC59ED7" w14:textId="77777777" w:rsidR="00590E21" w:rsidRPr="0029055C" w:rsidRDefault="006279B5" w:rsidP="00C848D6">
      <w:pPr>
        <w:spacing w:line="300" w:lineRule="atLeast"/>
        <w:rPr>
          <w:sz w:val="22"/>
        </w:rPr>
      </w:pPr>
      <w:r w:rsidRPr="0029055C">
        <w:rPr>
          <w:sz w:val="22"/>
        </w:rPr>
        <w:lastRenderedPageBreak/>
        <w:t xml:space="preserve">Στο Θεματικό Άξονα </w:t>
      </w:r>
      <w:r w:rsidR="001B3747" w:rsidRPr="0029055C">
        <w:rPr>
          <w:sz w:val="22"/>
        </w:rPr>
        <w:t>Ι</w:t>
      </w:r>
      <w:r w:rsidRPr="0029055C">
        <w:rPr>
          <w:sz w:val="22"/>
        </w:rPr>
        <w:t xml:space="preserve"> του ΕΠ ΜΔΤ (Άξονες Προτεραιότητας 1,2,3) έχουν </w:t>
      </w:r>
      <w:r w:rsidRPr="0029055C">
        <w:rPr>
          <w:b/>
          <w:sz w:val="22"/>
        </w:rPr>
        <w:t>ενταχθεί</w:t>
      </w:r>
      <w:r w:rsidRPr="0029055C">
        <w:rPr>
          <w:sz w:val="22"/>
        </w:rPr>
        <w:t xml:space="preserve"> </w:t>
      </w:r>
      <w:r w:rsidR="00617EC1" w:rsidRPr="0029055C">
        <w:rPr>
          <w:b/>
          <w:sz w:val="22"/>
        </w:rPr>
        <w:t>39 έργα</w:t>
      </w:r>
      <w:r w:rsidR="00617EC1" w:rsidRPr="0029055C">
        <w:rPr>
          <w:sz w:val="22"/>
        </w:rPr>
        <w:t xml:space="preserve"> συνολικού προϋπολογισμού 90,28 εκ. € (</w:t>
      </w:r>
      <w:r w:rsidR="00617EC1" w:rsidRPr="0029055C">
        <w:rPr>
          <w:b/>
          <w:sz w:val="22"/>
        </w:rPr>
        <w:t>53,98%</w:t>
      </w:r>
      <w:r w:rsidR="00617EC1" w:rsidRPr="0029055C">
        <w:rPr>
          <w:sz w:val="22"/>
        </w:rPr>
        <w:t xml:space="preserve"> του διαθέσιμου π/υ του Θεματικού Άξονα). </w:t>
      </w:r>
      <w:r w:rsidR="00C848D6" w:rsidRPr="0029055C">
        <w:rPr>
          <w:sz w:val="22"/>
        </w:rPr>
        <w:t xml:space="preserve">Έχουν αναληφθεί </w:t>
      </w:r>
      <w:r w:rsidR="00C848D6" w:rsidRPr="0029055C">
        <w:rPr>
          <w:b/>
          <w:sz w:val="22"/>
        </w:rPr>
        <w:t>νομικές δεσμεύσεις</w:t>
      </w:r>
      <w:r w:rsidR="00C848D6" w:rsidRPr="0029055C">
        <w:rPr>
          <w:sz w:val="22"/>
        </w:rPr>
        <w:t xml:space="preserve"> ύψους 63,55 εκ. €, ήτοι το 38% του διαθέσιμου π/υ του ΘΑ και το 70,39% του προϋπολογισμού των ενταγμένων έργων. Οι </w:t>
      </w:r>
      <w:r w:rsidR="00C848D6" w:rsidRPr="0029055C">
        <w:rPr>
          <w:b/>
          <w:sz w:val="22"/>
        </w:rPr>
        <w:t>πιστοποιημένες δαπάνες</w:t>
      </w:r>
      <w:r w:rsidR="00C848D6" w:rsidRPr="0029055C">
        <w:rPr>
          <w:sz w:val="22"/>
        </w:rPr>
        <w:t xml:space="preserve"> ανέρχονται σε 6,48 εκ. €, αντιπροσωπεύοντας μόλις το 3,87% του προϋπολογισμού του Θεματικού Άξονα, το 7,18% του προϋπολογισμού των ενταγμένων έργων και το 10,2% των νομικών δεσμεύσεων.</w:t>
      </w:r>
    </w:p>
    <w:p w14:paraId="6A6B82F5" w14:textId="77777777" w:rsidR="00590E21" w:rsidRPr="0029055C" w:rsidRDefault="0095547E" w:rsidP="00C848D6">
      <w:pPr>
        <w:spacing w:line="300" w:lineRule="atLeast"/>
        <w:rPr>
          <w:sz w:val="22"/>
        </w:rPr>
      </w:pPr>
      <w:r w:rsidRPr="0029055C">
        <w:rPr>
          <w:sz w:val="22"/>
        </w:rPr>
        <w:t>Η πρόοδος του φυσικού αντικειμένου του Θ</w:t>
      </w:r>
      <w:r w:rsidR="008202B5" w:rsidRPr="0029055C">
        <w:rPr>
          <w:sz w:val="22"/>
        </w:rPr>
        <w:t xml:space="preserve">εματικού Άξονα </w:t>
      </w:r>
      <w:r w:rsidR="001B3747" w:rsidRPr="0029055C">
        <w:rPr>
          <w:sz w:val="22"/>
        </w:rPr>
        <w:t>Ι</w:t>
      </w:r>
      <w:r w:rsidRPr="0029055C">
        <w:rPr>
          <w:sz w:val="22"/>
        </w:rPr>
        <w:t xml:space="preserve">, όπως αυτή αποτυπώνεται μέσω της προόδου των δεικτών </w:t>
      </w:r>
      <w:r w:rsidR="00135C0D" w:rsidRPr="0029055C">
        <w:rPr>
          <w:sz w:val="22"/>
        </w:rPr>
        <w:t xml:space="preserve">εκροής </w:t>
      </w:r>
      <w:r w:rsidRPr="0029055C">
        <w:rPr>
          <w:sz w:val="22"/>
        </w:rPr>
        <w:t>του, παρατίθεται στον Πίνακα</w:t>
      </w:r>
      <w:r w:rsidR="00645A94" w:rsidRPr="0029055C">
        <w:rPr>
          <w:sz w:val="22"/>
        </w:rPr>
        <w:t xml:space="preserve"> </w:t>
      </w:r>
      <w:r w:rsidRPr="0029055C">
        <w:rPr>
          <w:sz w:val="22"/>
        </w:rPr>
        <w:t xml:space="preserve">που ακολουθεί. Οι επισημασμένοι με </w:t>
      </w:r>
      <w:r w:rsidR="00135C0D" w:rsidRPr="0029055C">
        <w:rPr>
          <w:sz w:val="22"/>
        </w:rPr>
        <w:t>σκίαση</w:t>
      </w:r>
      <w:r w:rsidRPr="0029055C">
        <w:rPr>
          <w:sz w:val="22"/>
        </w:rPr>
        <w:t xml:space="preserve"> δείκτες αποτελούν </w:t>
      </w:r>
      <w:r w:rsidRPr="0029055C">
        <w:rPr>
          <w:b/>
          <w:sz w:val="22"/>
        </w:rPr>
        <w:t xml:space="preserve">δείκτες του Πλαισίου Επιδόσεων </w:t>
      </w:r>
      <w:r w:rsidRPr="0029055C">
        <w:rPr>
          <w:sz w:val="22"/>
        </w:rPr>
        <w:t>του ΕΠ.</w:t>
      </w:r>
    </w:p>
    <w:p w14:paraId="398BDD93" w14:textId="77777777" w:rsidR="0095547E" w:rsidRPr="0029055C" w:rsidRDefault="0095547E" w:rsidP="0095547E">
      <w:pPr>
        <w:pStyle w:val="Caption"/>
        <w:spacing w:before="240" w:after="120" w:line="280" w:lineRule="atLeast"/>
        <w:rPr>
          <w:b w:val="0"/>
          <w:sz w:val="22"/>
          <w:szCs w:val="22"/>
        </w:rPr>
      </w:pPr>
      <w:r w:rsidRPr="0029055C">
        <w:rPr>
          <w:sz w:val="22"/>
          <w:szCs w:val="22"/>
        </w:rPr>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15</w:t>
      </w:r>
      <w:r w:rsidRPr="0029055C">
        <w:rPr>
          <w:sz w:val="22"/>
          <w:szCs w:val="22"/>
        </w:rPr>
        <w:fldChar w:fldCharType="end"/>
      </w:r>
      <w:r w:rsidRPr="0029055C">
        <w:rPr>
          <w:b w:val="0"/>
          <w:sz w:val="22"/>
          <w:szCs w:val="22"/>
        </w:rPr>
        <w:t>. Πρόοδος φυσικού αντικειμένου του Θ</w:t>
      </w:r>
      <w:r w:rsidR="001E14FB" w:rsidRPr="0029055C">
        <w:rPr>
          <w:b w:val="0"/>
          <w:sz w:val="22"/>
          <w:szCs w:val="22"/>
        </w:rPr>
        <w:t xml:space="preserve">εματικού Άξονα </w:t>
      </w:r>
      <w:r w:rsidR="001B3747" w:rsidRPr="0029055C">
        <w:rPr>
          <w:b w:val="0"/>
          <w:sz w:val="22"/>
          <w:szCs w:val="22"/>
        </w:rPr>
        <w:t>Ι</w:t>
      </w:r>
      <w:r w:rsidRPr="0029055C">
        <w:rPr>
          <w:b w:val="0"/>
          <w:sz w:val="22"/>
          <w:szCs w:val="22"/>
        </w:rPr>
        <w:t xml:space="preserve"> </w:t>
      </w:r>
      <w:r w:rsidR="00135C0D" w:rsidRPr="0029055C">
        <w:rPr>
          <w:b w:val="0"/>
          <w:sz w:val="22"/>
          <w:szCs w:val="22"/>
        </w:rPr>
        <w:t>- Δείκτες Εκροής</w:t>
      </w:r>
    </w:p>
    <w:tbl>
      <w:tblPr>
        <w:tblStyle w:val="GridTable6Colorful-Accent5"/>
        <w:tblW w:w="5000" w:type="pct"/>
        <w:tblLayout w:type="fixed"/>
        <w:tblCellMar>
          <w:left w:w="28" w:type="dxa"/>
          <w:right w:w="28" w:type="dxa"/>
        </w:tblCellMar>
        <w:tblLook w:val="06A0" w:firstRow="1" w:lastRow="0" w:firstColumn="1" w:lastColumn="0" w:noHBand="1" w:noVBand="1"/>
      </w:tblPr>
      <w:tblGrid>
        <w:gridCol w:w="3119"/>
        <w:gridCol w:w="919"/>
        <w:gridCol w:w="920"/>
        <w:gridCol w:w="1133"/>
        <w:gridCol w:w="989"/>
        <w:gridCol w:w="991"/>
        <w:gridCol w:w="989"/>
      </w:tblGrid>
      <w:tr w:rsidR="00135C0D" w:rsidRPr="0029055C" w14:paraId="172DAE77" w14:textId="77777777" w:rsidTr="00B44C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1" w:type="pct"/>
            <w:noWrap/>
            <w:vAlign w:val="center"/>
            <w:hideMark/>
          </w:tcPr>
          <w:p w14:paraId="45C031CF" w14:textId="77777777" w:rsidR="00135C0D" w:rsidRPr="0029055C" w:rsidRDefault="00135C0D" w:rsidP="00135C0D">
            <w:pPr>
              <w:spacing w:before="40" w:after="40" w:line="240" w:lineRule="auto"/>
              <w:jc w:val="center"/>
              <w:rPr>
                <w:rFonts w:asciiTheme="minorHAnsi" w:hAnsiTheme="minorHAnsi" w:cstheme="minorHAnsi"/>
                <w:sz w:val="18"/>
                <w:szCs w:val="20"/>
              </w:rPr>
            </w:pPr>
            <w:r w:rsidRPr="0029055C">
              <w:rPr>
                <w:rFonts w:asciiTheme="minorHAnsi" w:hAnsiTheme="minorHAnsi" w:cstheme="minorHAnsi"/>
                <w:sz w:val="18"/>
                <w:szCs w:val="20"/>
              </w:rPr>
              <w:t>Δείκτης</w:t>
            </w:r>
          </w:p>
        </w:tc>
        <w:tc>
          <w:tcPr>
            <w:tcW w:w="507" w:type="pct"/>
            <w:noWrap/>
            <w:vAlign w:val="center"/>
            <w:hideMark/>
          </w:tcPr>
          <w:p w14:paraId="7943B121" w14:textId="77777777" w:rsidR="00135C0D" w:rsidRPr="0029055C" w:rsidRDefault="00135C0D" w:rsidP="00135C0D">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2018</w:t>
            </w:r>
            <w:r w:rsidRPr="0029055C">
              <w:rPr>
                <w:rStyle w:val="FootnoteReference"/>
                <w:rFonts w:asciiTheme="minorHAnsi" w:hAnsiTheme="minorHAnsi" w:cstheme="minorHAnsi"/>
                <w:sz w:val="18"/>
                <w:szCs w:val="20"/>
              </w:rPr>
              <w:footnoteReference w:id="10"/>
            </w:r>
          </w:p>
        </w:tc>
        <w:tc>
          <w:tcPr>
            <w:tcW w:w="508" w:type="pct"/>
            <w:noWrap/>
            <w:vAlign w:val="center"/>
            <w:hideMark/>
          </w:tcPr>
          <w:p w14:paraId="34EF4483" w14:textId="77777777" w:rsidR="00135C0D" w:rsidRPr="0029055C" w:rsidRDefault="00135C0D" w:rsidP="00135C0D">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 xml:space="preserve">Στόχος </w:t>
            </w:r>
            <w:r w:rsidRPr="0029055C">
              <w:rPr>
                <w:rFonts w:asciiTheme="minorHAnsi" w:hAnsiTheme="minorHAnsi" w:cstheme="minorHAnsi"/>
                <w:sz w:val="18"/>
                <w:szCs w:val="20"/>
              </w:rPr>
              <w:br/>
              <w:t>2023</w:t>
            </w:r>
          </w:p>
        </w:tc>
        <w:tc>
          <w:tcPr>
            <w:tcW w:w="625" w:type="pct"/>
            <w:noWrap/>
            <w:vAlign w:val="center"/>
            <w:hideMark/>
          </w:tcPr>
          <w:p w14:paraId="5A242370" w14:textId="77777777" w:rsidR="00135C0D" w:rsidRPr="0029055C" w:rsidRDefault="00135C0D" w:rsidP="00135C0D">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Ενταγμένων Πράξεων</w:t>
            </w:r>
          </w:p>
        </w:tc>
        <w:tc>
          <w:tcPr>
            <w:tcW w:w="546" w:type="pct"/>
            <w:vAlign w:val="center"/>
          </w:tcPr>
          <w:p w14:paraId="37707553" w14:textId="77777777" w:rsidR="00135C0D" w:rsidRPr="0029055C" w:rsidRDefault="00135C0D" w:rsidP="00135C0D">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Επίτευξη 31.12.17</w:t>
            </w:r>
          </w:p>
        </w:tc>
        <w:tc>
          <w:tcPr>
            <w:tcW w:w="547" w:type="pct"/>
            <w:vAlign w:val="center"/>
          </w:tcPr>
          <w:p w14:paraId="7051D1BB" w14:textId="77777777" w:rsidR="00135C0D" w:rsidRPr="0029055C" w:rsidRDefault="00135C0D" w:rsidP="00135C0D">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Εκτίμηση Επίτευξης 31.12.18</w:t>
            </w:r>
          </w:p>
        </w:tc>
        <w:tc>
          <w:tcPr>
            <w:tcW w:w="546" w:type="pct"/>
            <w:vAlign w:val="center"/>
          </w:tcPr>
          <w:p w14:paraId="0DE7F84F" w14:textId="77777777" w:rsidR="00135C0D" w:rsidRPr="0029055C" w:rsidRDefault="00135C0D" w:rsidP="00135C0D">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Εκτίμηση Επίτευξης 31.12.23</w:t>
            </w:r>
          </w:p>
        </w:tc>
      </w:tr>
      <w:tr w:rsidR="00135C0D" w:rsidRPr="0029055C" w14:paraId="72BBF191" w14:textId="77777777" w:rsidTr="00B44C7E">
        <w:tc>
          <w:tcPr>
            <w:cnfStyle w:val="001000000000" w:firstRow="0" w:lastRow="0" w:firstColumn="1" w:lastColumn="0" w:oddVBand="0" w:evenVBand="0" w:oddHBand="0" w:evenHBand="0" w:firstRowFirstColumn="0" w:firstRowLastColumn="0" w:lastRowFirstColumn="0" w:lastRowLastColumn="0"/>
            <w:tcW w:w="1721" w:type="pct"/>
            <w:shd w:val="clear" w:color="auto" w:fill="auto"/>
            <w:noWrap/>
          </w:tcPr>
          <w:p w14:paraId="4E8AD4CF" w14:textId="77777777" w:rsidR="00135C0D" w:rsidRPr="0029055C" w:rsidRDefault="00135C0D" w:rsidP="008B693C">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T4615. </w:t>
            </w:r>
            <w:r w:rsidRPr="0029055C">
              <w:rPr>
                <w:rFonts w:asciiTheme="minorHAnsi" w:hAnsiTheme="minorHAnsi" w:cstheme="minorHAnsi"/>
                <w:b w:val="0"/>
                <w:sz w:val="18"/>
                <w:szCs w:val="20"/>
              </w:rPr>
              <w:t>Αριθμός έργων επαναοριοθέτησης αρμοδιοτήτων των τεσσάρων επιπέδων Διοίκησης</w:t>
            </w:r>
          </w:p>
        </w:tc>
        <w:tc>
          <w:tcPr>
            <w:tcW w:w="507" w:type="pct"/>
            <w:shd w:val="clear" w:color="auto" w:fill="auto"/>
            <w:noWrap/>
            <w:vAlign w:val="center"/>
          </w:tcPr>
          <w:p w14:paraId="3F12F146"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508" w:type="pct"/>
            <w:shd w:val="clear" w:color="auto" w:fill="auto"/>
            <w:noWrap/>
            <w:vAlign w:val="center"/>
          </w:tcPr>
          <w:p w14:paraId="54BEEFBB"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6</w:t>
            </w:r>
          </w:p>
        </w:tc>
        <w:tc>
          <w:tcPr>
            <w:tcW w:w="625" w:type="pct"/>
            <w:shd w:val="clear" w:color="auto" w:fill="auto"/>
            <w:noWrap/>
            <w:vAlign w:val="center"/>
          </w:tcPr>
          <w:p w14:paraId="3BFFC8F4"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6" w:type="pct"/>
            <w:shd w:val="clear" w:color="auto" w:fill="auto"/>
            <w:vAlign w:val="center"/>
          </w:tcPr>
          <w:p w14:paraId="5ECD0152"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7" w:type="pct"/>
            <w:shd w:val="clear" w:color="auto" w:fill="auto"/>
            <w:vAlign w:val="center"/>
          </w:tcPr>
          <w:p w14:paraId="79B887F8"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6" w:type="pct"/>
            <w:shd w:val="clear" w:color="auto" w:fill="auto"/>
            <w:vAlign w:val="center"/>
          </w:tcPr>
          <w:p w14:paraId="3745257D"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4</w:t>
            </w:r>
          </w:p>
        </w:tc>
      </w:tr>
      <w:tr w:rsidR="00135C0D" w:rsidRPr="0029055C" w14:paraId="59D272C8" w14:textId="77777777" w:rsidTr="00B44C7E">
        <w:tc>
          <w:tcPr>
            <w:cnfStyle w:val="001000000000" w:firstRow="0" w:lastRow="0" w:firstColumn="1" w:lastColumn="0" w:oddVBand="0" w:evenVBand="0" w:oddHBand="0" w:evenHBand="0" w:firstRowFirstColumn="0" w:firstRowLastColumn="0" w:lastRowFirstColumn="0" w:lastRowLastColumn="0"/>
            <w:tcW w:w="1721" w:type="pct"/>
            <w:noWrap/>
          </w:tcPr>
          <w:p w14:paraId="2F2F3A9E" w14:textId="77777777" w:rsidR="00135C0D" w:rsidRPr="0029055C" w:rsidRDefault="00135C0D" w:rsidP="008B693C">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T4616. </w:t>
            </w:r>
            <w:r w:rsidRPr="0029055C">
              <w:rPr>
                <w:rFonts w:asciiTheme="minorHAnsi" w:hAnsiTheme="minorHAnsi" w:cstheme="minorHAnsi"/>
                <w:b w:val="0"/>
                <w:sz w:val="18"/>
                <w:szCs w:val="20"/>
              </w:rPr>
              <w:t>Αριθμός έργων ενίσχυσης επιτελικών λειτουργιών της Δημόσιας Διοίκησης, περιλαμβανομένων μηχανισμών και συστημάτων παρακολούθησης εφαρμογής δημόσιων πολιτικών</w:t>
            </w:r>
          </w:p>
        </w:tc>
        <w:tc>
          <w:tcPr>
            <w:tcW w:w="507" w:type="pct"/>
            <w:noWrap/>
            <w:vAlign w:val="center"/>
          </w:tcPr>
          <w:p w14:paraId="41E88B73"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508" w:type="pct"/>
            <w:noWrap/>
            <w:vAlign w:val="center"/>
          </w:tcPr>
          <w:p w14:paraId="113AA2A2"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6</w:t>
            </w:r>
          </w:p>
        </w:tc>
        <w:tc>
          <w:tcPr>
            <w:tcW w:w="625" w:type="pct"/>
            <w:noWrap/>
            <w:vAlign w:val="center"/>
          </w:tcPr>
          <w:p w14:paraId="117DCAE4"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5</w:t>
            </w:r>
          </w:p>
        </w:tc>
        <w:tc>
          <w:tcPr>
            <w:tcW w:w="546" w:type="pct"/>
            <w:vAlign w:val="center"/>
          </w:tcPr>
          <w:p w14:paraId="21DD3C7C"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2,17</w:t>
            </w:r>
          </w:p>
        </w:tc>
        <w:tc>
          <w:tcPr>
            <w:tcW w:w="547" w:type="pct"/>
            <w:vAlign w:val="center"/>
          </w:tcPr>
          <w:p w14:paraId="3F66289B"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p>
        </w:tc>
        <w:tc>
          <w:tcPr>
            <w:tcW w:w="546" w:type="pct"/>
            <w:vAlign w:val="center"/>
          </w:tcPr>
          <w:p w14:paraId="4D3087B1"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6</w:t>
            </w:r>
          </w:p>
        </w:tc>
      </w:tr>
      <w:tr w:rsidR="00135C0D" w:rsidRPr="0029055C" w14:paraId="0EB4585A" w14:textId="77777777" w:rsidTr="00B44C7E">
        <w:tc>
          <w:tcPr>
            <w:cnfStyle w:val="001000000000" w:firstRow="0" w:lastRow="0" w:firstColumn="1" w:lastColumn="0" w:oddVBand="0" w:evenVBand="0" w:oddHBand="0" w:evenHBand="0" w:firstRowFirstColumn="0" w:firstRowLastColumn="0" w:lastRowFirstColumn="0" w:lastRowLastColumn="0"/>
            <w:tcW w:w="1721" w:type="pct"/>
            <w:shd w:val="clear" w:color="auto" w:fill="auto"/>
            <w:noWrap/>
          </w:tcPr>
          <w:p w14:paraId="798A488E" w14:textId="77777777" w:rsidR="00135C0D" w:rsidRPr="0029055C" w:rsidRDefault="00135C0D" w:rsidP="008B693C">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T4617. </w:t>
            </w:r>
            <w:r w:rsidRPr="0029055C">
              <w:rPr>
                <w:rFonts w:asciiTheme="minorHAnsi" w:hAnsiTheme="minorHAnsi" w:cstheme="minorHAnsi"/>
                <w:b w:val="0"/>
                <w:sz w:val="18"/>
                <w:szCs w:val="20"/>
              </w:rPr>
              <w:t>Αριθμός έργων δημιουργίας Παρατηρητηρίου για την Περιφερειακή διοίκηση και την Τοπική Αυτοδιοίκηση</w:t>
            </w:r>
          </w:p>
        </w:tc>
        <w:tc>
          <w:tcPr>
            <w:tcW w:w="507" w:type="pct"/>
            <w:shd w:val="clear" w:color="auto" w:fill="auto"/>
            <w:noWrap/>
            <w:vAlign w:val="center"/>
          </w:tcPr>
          <w:p w14:paraId="490E70FD"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508" w:type="pct"/>
            <w:shd w:val="clear" w:color="auto" w:fill="auto"/>
            <w:noWrap/>
            <w:vAlign w:val="center"/>
          </w:tcPr>
          <w:p w14:paraId="4A11680F"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w:t>
            </w:r>
          </w:p>
        </w:tc>
        <w:tc>
          <w:tcPr>
            <w:tcW w:w="625" w:type="pct"/>
            <w:shd w:val="clear" w:color="auto" w:fill="auto"/>
            <w:noWrap/>
            <w:vAlign w:val="center"/>
          </w:tcPr>
          <w:p w14:paraId="18D1F299"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w:t>
            </w:r>
          </w:p>
        </w:tc>
        <w:tc>
          <w:tcPr>
            <w:tcW w:w="546" w:type="pct"/>
            <w:shd w:val="clear" w:color="auto" w:fill="auto"/>
            <w:vAlign w:val="center"/>
          </w:tcPr>
          <w:p w14:paraId="4954A7AE"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7" w:type="pct"/>
            <w:shd w:val="clear" w:color="auto" w:fill="auto"/>
            <w:vAlign w:val="center"/>
          </w:tcPr>
          <w:p w14:paraId="4FB19EB8"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6" w:type="pct"/>
            <w:shd w:val="clear" w:color="auto" w:fill="auto"/>
            <w:vAlign w:val="center"/>
          </w:tcPr>
          <w:p w14:paraId="6C22D0E2"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w:t>
            </w:r>
          </w:p>
        </w:tc>
      </w:tr>
      <w:tr w:rsidR="00135C0D" w:rsidRPr="0029055C" w14:paraId="57C99452" w14:textId="77777777" w:rsidTr="00B44C7E">
        <w:tc>
          <w:tcPr>
            <w:cnfStyle w:val="001000000000" w:firstRow="0" w:lastRow="0" w:firstColumn="1" w:lastColumn="0" w:oddVBand="0" w:evenVBand="0" w:oddHBand="0" w:evenHBand="0" w:firstRowFirstColumn="0" w:firstRowLastColumn="0" w:lastRowFirstColumn="0" w:lastRowLastColumn="0"/>
            <w:tcW w:w="1721" w:type="pct"/>
            <w:shd w:val="clear" w:color="auto" w:fill="DAEEF3" w:themeFill="accent5" w:themeFillTint="33"/>
            <w:noWrap/>
          </w:tcPr>
          <w:p w14:paraId="37AE3E0D" w14:textId="77777777" w:rsidR="00135C0D" w:rsidRPr="0029055C" w:rsidRDefault="00135C0D" w:rsidP="008B693C">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T4618. </w:t>
            </w:r>
            <w:r w:rsidRPr="0029055C">
              <w:rPr>
                <w:rFonts w:asciiTheme="minorHAnsi" w:hAnsiTheme="minorHAnsi" w:cstheme="minorHAnsi"/>
                <w:b w:val="0"/>
                <w:sz w:val="18"/>
                <w:szCs w:val="20"/>
              </w:rPr>
              <w:t>Αριθμός έργων κωδικοποίησης θεσμικού και νομοθετικού πλαισίου</w:t>
            </w:r>
          </w:p>
        </w:tc>
        <w:tc>
          <w:tcPr>
            <w:tcW w:w="507" w:type="pct"/>
            <w:shd w:val="clear" w:color="auto" w:fill="DAEEF3" w:themeFill="accent5" w:themeFillTint="33"/>
            <w:noWrap/>
            <w:vAlign w:val="center"/>
          </w:tcPr>
          <w:p w14:paraId="328F4BE5"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8</w:t>
            </w:r>
          </w:p>
        </w:tc>
        <w:tc>
          <w:tcPr>
            <w:tcW w:w="508" w:type="pct"/>
            <w:shd w:val="clear" w:color="auto" w:fill="DAEEF3" w:themeFill="accent5" w:themeFillTint="33"/>
            <w:noWrap/>
            <w:vAlign w:val="center"/>
          </w:tcPr>
          <w:p w14:paraId="3E5F5B7F"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12</w:t>
            </w:r>
          </w:p>
        </w:tc>
        <w:tc>
          <w:tcPr>
            <w:tcW w:w="625" w:type="pct"/>
            <w:shd w:val="clear" w:color="auto" w:fill="DAEEF3" w:themeFill="accent5" w:themeFillTint="33"/>
            <w:noWrap/>
            <w:vAlign w:val="center"/>
          </w:tcPr>
          <w:p w14:paraId="6B45DFAA"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4</w:t>
            </w:r>
          </w:p>
        </w:tc>
        <w:tc>
          <w:tcPr>
            <w:tcW w:w="546" w:type="pct"/>
            <w:shd w:val="clear" w:color="auto" w:fill="DAEEF3" w:themeFill="accent5" w:themeFillTint="33"/>
            <w:vAlign w:val="center"/>
          </w:tcPr>
          <w:p w14:paraId="72A2765D"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w:t>
            </w:r>
          </w:p>
        </w:tc>
        <w:tc>
          <w:tcPr>
            <w:tcW w:w="547" w:type="pct"/>
            <w:shd w:val="clear" w:color="auto" w:fill="DAEEF3" w:themeFill="accent5" w:themeFillTint="33"/>
            <w:vAlign w:val="center"/>
          </w:tcPr>
          <w:p w14:paraId="5DA3C67E" w14:textId="77777777" w:rsidR="00135C0D" w:rsidRPr="0029055C" w:rsidRDefault="009B74C5"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6 - 8</w:t>
            </w:r>
          </w:p>
        </w:tc>
        <w:tc>
          <w:tcPr>
            <w:tcW w:w="546" w:type="pct"/>
            <w:shd w:val="clear" w:color="auto" w:fill="DAEEF3" w:themeFill="accent5" w:themeFillTint="33"/>
            <w:vAlign w:val="center"/>
          </w:tcPr>
          <w:p w14:paraId="6F02C196" w14:textId="77777777" w:rsidR="00135C0D" w:rsidRPr="0029055C" w:rsidRDefault="009B74C5"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12</w:t>
            </w:r>
          </w:p>
        </w:tc>
      </w:tr>
      <w:tr w:rsidR="00135C0D" w:rsidRPr="0029055C" w14:paraId="654AD620" w14:textId="77777777" w:rsidTr="00B44C7E">
        <w:tc>
          <w:tcPr>
            <w:cnfStyle w:val="001000000000" w:firstRow="0" w:lastRow="0" w:firstColumn="1" w:lastColumn="0" w:oddVBand="0" w:evenVBand="0" w:oddHBand="0" w:evenHBand="0" w:firstRowFirstColumn="0" w:firstRowLastColumn="0" w:lastRowFirstColumn="0" w:lastRowLastColumn="0"/>
            <w:tcW w:w="1721" w:type="pct"/>
            <w:shd w:val="clear" w:color="auto" w:fill="auto"/>
            <w:noWrap/>
          </w:tcPr>
          <w:p w14:paraId="6B4BFF4E" w14:textId="77777777" w:rsidR="00135C0D" w:rsidRPr="0029055C" w:rsidRDefault="00135C0D" w:rsidP="008B693C">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T4619. </w:t>
            </w:r>
            <w:r w:rsidRPr="0029055C">
              <w:rPr>
                <w:rFonts w:asciiTheme="minorHAnsi" w:hAnsiTheme="minorHAnsi" w:cstheme="minorHAnsi"/>
                <w:b w:val="0"/>
                <w:sz w:val="18"/>
                <w:szCs w:val="20"/>
              </w:rPr>
              <w:t>Αριθμός εποπτευόμενων φορέων δημόσιου τομέα που αξιολογούνται</w:t>
            </w:r>
            <w:r w:rsidRPr="0029055C">
              <w:rPr>
                <w:rFonts w:asciiTheme="minorHAnsi" w:hAnsiTheme="minorHAnsi" w:cstheme="minorHAnsi"/>
                <w:sz w:val="18"/>
                <w:szCs w:val="20"/>
              </w:rPr>
              <w:t xml:space="preserve">  </w:t>
            </w:r>
          </w:p>
        </w:tc>
        <w:tc>
          <w:tcPr>
            <w:tcW w:w="507" w:type="pct"/>
            <w:shd w:val="clear" w:color="auto" w:fill="auto"/>
            <w:noWrap/>
            <w:vAlign w:val="center"/>
          </w:tcPr>
          <w:p w14:paraId="5D8E344B"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508" w:type="pct"/>
            <w:shd w:val="clear" w:color="auto" w:fill="auto"/>
            <w:noWrap/>
            <w:vAlign w:val="center"/>
          </w:tcPr>
          <w:p w14:paraId="3378FCE2"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445</w:t>
            </w:r>
          </w:p>
        </w:tc>
        <w:tc>
          <w:tcPr>
            <w:tcW w:w="625" w:type="pct"/>
            <w:shd w:val="clear" w:color="auto" w:fill="auto"/>
            <w:noWrap/>
            <w:vAlign w:val="center"/>
          </w:tcPr>
          <w:p w14:paraId="438A498F"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6" w:type="pct"/>
            <w:shd w:val="clear" w:color="auto" w:fill="auto"/>
            <w:vAlign w:val="center"/>
          </w:tcPr>
          <w:p w14:paraId="2B34DC86"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7" w:type="pct"/>
            <w:shd w:val="clear" w:color="auto" w:fill="auto"/>
            <w:vAlign w:val="center"/>
          </w:tcPr>
          <w:p w14:paraId="25FCD7E6"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6" w:type="pct"/>
            <w:shd w:val="clear" w:color="auto" w:fill="auto"/>
            <w:vAlign w:val="center"/>
          </w:tcPr>
          <w:p w14:paraId="6FF35683" w14:textId="77777777" w:rsidR="00135C0D" w:rsidRPr="0029055C" w:rsidRDefault="009B74C5"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195</w:t>
            </w:r>
          </w:p>
        </w:tc>
      </w:tr>
      <w:tr w:rsidR="00135C0D" w:rsidRPr="0029055C" w14:paraId="0DFD9302" w14:textId="77777777" w:rsidTr="00B44C7E">
        <w:tc>
          <w:tcPr>
            <w:cnfStyle w:val="001000000000" w:firstRow="0" w:lastRow="0" w:firstColumn="1" w:lastColumn="0" w:oddVBand="0" w:evenVBand="0" w:oddHBand="0" w:evenHBand="0" w:firstRowFirstColumn="0" w:firstRowLastColumn="0" w:lastRowFirstColumn="0" w:lastRowLastColumn="0"/>
            <w:tcW w:w="1721" w:type="pct"/>
            <w:shd w:val="clear" w:color="auto" w:fill="DAEEF3" w:themeFill="accent5" w:themeFillTint="33"/>
            <w:noWrap/>
          </w:tcPr>
          <w:p w14:paraId="03057141" w14:textId="77777777" w:rsidR="00135C0D" w:rsidRPr="0029055C" w:rsidRDefault="00135C0D" w:rsidP="008B693C">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T4620. </w:t>
            </w:r>
            <w:r w:rsidRPr="0029055C">
              <w:rPr>
                <w:rFonts w:asciiTheme="minorHAnsi" w:hAnsiTheme="minorHAnsi" w:cstheme="minorHAnsi"/>
                <w:b w:val="0"/>
                <w:sz w:val="18"/>
                <w:szCs w:val="20"/>
              </w:rPr>
              <w:t>Αριθμός έργων απλοποίησης εσωτερικών διαδικασιών φορέων του δημοσίου τομέα</w:t>
            </w:r>
          </w:p>
        </w:tc>
        <w:tc>
          <w:tcPr>
            <w:tcW w:w="507" w:type="pct"/>
            <w:shd w:val="clear" w:color="auto" w:fill="DAEEF3" w:themeFill="accent5" w:themeFillTint="33"/>
            <w:noWrap/>
            <w:vAlign w:val="center"/>
          </w:tcPr>
          <w:p w14:paraId="02D6861C"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10</w:t>
            </w:r>
          </w:p>
        </w:tc>
        <w:tc>
          <w:tcPr>
            <w:tcW w:w="508" w:type="pct"/>
            <w:shd w:val="clear" w:color="auto" w:fill="DAEEF3" w:themeFill="accent5" w:themeFillTint="33"/>
            <w:noWrap/>
            <w:vAlign w:val="center"/>
          </w:tcPr>
          <w:p w14:paraId="7AE39C30"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20</w:t>
            </w:r>
          </w:p>
        </w:tc>
        <w:tc>
          <w:tcPr>
            <w:tcW w:w="625" w:type="pct"/>
            <w:shd w:val="clear" w:color="auto" w:fill="DAEEF3" w:themeFill="accent5" w:themeFillTint="33"/>
            <w:noWrap/>
            <w:vAlign w:val="center"/>
          </w:tcPr>
          <w:p w14:paraId="08EBE13C"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32</w:t>
            </w:r>
          </w:p>
        </w:tc>
        <w:tc>
          <w:tcPr>
            <w:tcW w:w="546" w:type="pct"/>
            <w:shd w:val="clear" w:color="auto" w:fill="DAEEF3" w:themeFill="accent5" w:themeFillTint="33"/>
            <w:vAlign w:val="center"/>
          </w:tcPr>
          <w:p w14:paraId="5C2C7A1C"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2,33</w:t>
            </w:r>
          </w:p>
        </w:tc>
        <w:tc>
          <w:tcPr>
            <w:tcW w:w="547" w:type="pct"/>
            <w:shd w:val="clear" w:color="auto" w:fill="DAEEF3" w:themeFill="accent5" w:themeFillTint="33"/>
            <w:vAlign w:val="center"/>
          </w:tcPr>
          <w:p w14:paraId="315570AB"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10</w:t>
            </w:r>
          </w:p>
        </w:tc>
        <w:tc>
          <w:tcPr>
            <w:tcW w:w="546" w:type="pct"/>
            <w:shd w:val="clear" w:color="auto" w:fill="DAEEF3" w:themeFill="accent5" w:themeFillTint="33"/>
            <w:vAlign w:val="center"/>
          </w:tcPr>
          <w:p w14:paraId="35D02A8F" w14:textId="77777777" w:rsidR="00135C0D" w:rsidRPr="0029055C" w:rsidRDefault="009B74C5"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30</w:t>
            </w:r>
          </w:p>
        </w:tc>
      </w:tr>
      <w:tr w:rsidR="00135C0D" w:rsidRPr="0029055C" w14:paraId="389D4599" w14:textId="77777777" w:rsidTr="00B44C7E">
        <w:tc>
          <w:tcPr>
            <w:cnfStyle w:val="001000000000" w:firstRow="0" w:lastRow="0" w:firstColumn="1" w:lastColumn="0" w:oddVBand="0" w:evenVBand="0" w:oddHBand="0" w:evenHBand="0" w:firstRowFirstColumn="0" w:firstRowLastColumn="0" w:lastRowFirstColumn="0" w:lastRowLastColumn="0"/>
            <w:tcW w:w="1721" w:type="pct"/>
            <w:shd w:val="clear" w:color="auto" w:fill="DAEEF3" w:themeFill="accent5" w:themeFillTint="33"/>
            <w:noWrap/>
          </w:tcPr>
          <w:p w14:paraId="53FD6C26" w14:textId="77777777" w:rsidR="00135C0D" w:rsidRPr="0029055C" w:rsidRDefault="00135C0D" w:rsidP="008B693C">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T4621. </w:t>
            </w:r>
            <w:r w:rsidRPr="0029055C">
              <w:rPr>
                <w:rFonts w:asciiTheme="minorHAnsi" w:hAnsiTheme="minorHAnsi" w:cstheme="minorHAnsi"/>
                <w:b w:val="0"/>
                <w:sz w:val="18"/>
                <w:szCs w:val="20"/>
              </w:rPr>
              <w:t>Αριθμός έργων απλοποίησης διαδικασιών  και προτυποποίησης υπηρεσιών προς τους πολίτες</w:t>
            </w:r>
          </w:p>
        </w:tc>
        <w:tc>
          <w:tcPr>
            <w:tcW w:w="507" w:type="pct"/>
            <w:shd w:val="clear" w:color="auto" w:fill="DAEEF3" w:themeFill="accent5" w:themeFillTint="33"/>
            <w:noWrap/>
            <w:vAlign w:val="center"/>
          </w:tcPr>
          <w:p w14:paraId="3C2ABF07"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10</w:t>
            </w:r>
          </w:p>
        </w:tc>
        <w:tc>
          <w:tcPr>
            <w:tcW w:w="508" w:type="pct"/>
            <w:shd w:val="clear" w:color="auto" w:fill="DAEEF3" w:themeFill="accent5" w:themeFillTint="33"/>
            <w:noWrap/>
            <w:vAlign w:val="center"/>
          </w:tcPr>
          <w:p w14:paraId="4EEF457C"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15</w:t>
            </w:r>
          </w:p>
        </w:tc>
        <w:tc>
          <w:tcPr>
            <w:tcW w:w="625" w:type="pct"/>
            <w:shd w:val="clear" w:color="auto" w:fill="DAEEF3" w:themeFill="accent5" w:themeFillTint="33"/>
            <w:noWrap/>
            <w:vAlign w:val="center"/>
          </w:tcPr>
          <w:p w14:paraId="4C498CFF"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18</w:t>
            </w:r>
          </w:p>
        </w:tc>
        <w:tc>
          <w:tcPr>
            <w:tcW w:w="546" w:type="pct"/>
            <w:shd w:val="clear" w:color="auto" w:fill="DAEEF3" w:themeFill="accent5" w:themeFillTint="33"/>
            <w:vAlign w:val="center"/>
          </w:tcPr>
          <w:p w14:paraId="3CB30281"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5,33</w:t>
            </w:r>
          </w:p>
        </w:tc>
        <w:tc>
          <w:tcPr>
            <w:tcW w:w="547" w:type="pct"/>
            <w:shd w:val="clear" w:color="auto" w:fill="DAEEF3" w:themeFill="accent5" w:themeFillTint="33"/>
            <w:vAlign w:val="center"/>
          </w:tcPr>
          <w:p w14:paraId="3A73EFF9"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10</w:t>
            </w:r>
          </w:p>
        </w:tc>
        <w:tc>
          <w:tcPr>
            <w:tcW w:w="546" w:type="pct"/>
            <w:shd w:val="clear" w:color="auto" w:fill="DAEEF3" w:themeFill="accent5" w:themeFillTint="33"/>
            <w:vAlign w:val="center"/>
          </w:tcPr>
          <w:p w14:paraId="0CC9E685" w14:textId="77777777" w:rsidR="00135C0D" w:rsidRPr="0029055C" w:rsidRDefault="009B74C5"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15</w:t>
            </w:r>
          </w:p>
        </w:tc>
      </w:tr>
      <w:tr w:rsidR="00135C0D" w:rsidRPr="0029055C" w14:paraId="0D655257" w14:textId="77777777" w:rsidTr="00B44C7E">
        <w:tc>
          <w:tcPr>
            <w:cnfStyle w:val="001000000000" w:firstRow="0" w:lastRow="0" w:firstColumn="1" w:lastColumn="0" w:oddVBand="0" w:evenVBand="0" w:oddHBand="0" w:evenHBand="0" w:firstRowFirstColumn="0" w:firstRowLastColumn="0" w:lastRowFirstColumn="0" w:lastRowLastColumn="0"/>
            <w:tcW w:w="1721" w:type="pct"/>
            <w:noWrap/>
          </w:tcPr>
          <w:p w14:paraId="0483CACA" w14:textId="77777777" w:rsidR="00135C0D" w:rsidRPr="0029055C" w:rsidRDefault="00135C0D" w:rsidP="008B693C">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Τ4651. </w:t>
            </w:r>
            <w:r w:rsidRPr="0029055C">
              <w:rPr>
                <w:rFonts w:asciiTheme="minorHAnsi" w:hAnsiTheme="minorHAnsi" w:cstheme="minorHAnsi"/>
                <w:b w:val="0"/>
                <w:sz w:val="18"/>
                <w:szCs w:val="20"/>
              </w:rPr>
              <w:t>Αριθμός Τοπικών Μονάδων Υγείας που δημιουργούνται</w:t>
            </w:r>
          </w:p>
        </w:tc>
        <w:tc>
          <w:tcPr>
            <w:tcW w:w="507" w:type="pct"/>
            <w:noWrap/>
            <w:vAlign w:val="center"/>
          </w:tcPr>
          <w:p w14:paraId="4F075071"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508" w:type="pct"/>
            <w:noWrap/>
            <w:vAlign w:val="center"/>
          </w:tcPr>
          <w:p w14:paraId="66A5ED91"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239</w:t>
            </w:r>
          </w:p>
        </w:tc>
        <w:tc>
          <w:tcPr>
            <w:tcW w:w="625" w:type="pct"/>
            <w:noWrap/>
            <w:vAlign w:val="center"/>
          </w:tcPr>
          <w:p w14:paraId="0697D0CF" w14:textId="77777777" w:rsidR="00135C0D" w:rsidRPr="0029055C" w:rsidRDefault="009B74C5"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239</w:t>
            </w:r>
          </w:p>
        </w:tc>
        <w:tc>
          <w:tcPr>
            <w:tcW w:w="546" w:type="pct"/>
            <w:vAlign w:val="center"/>
          </w:tcPr>
          <w:p w14:paraId="093255B7"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7" w:type="pct"/>
            <w:vAlign w:val="center"/>
          </w:tcPr>
          <w:p w14:paraId="6B0F1004"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6" w:type="pct"/>
            <w:vAlign w:val="center"/>
          </w:tcPr>
          <w:p w14:paraId="3BE64EAF" w14:textId="77777777" w:rsidR="00135C0D" w:rsidRPr="0029055C" w:rsidRDefault="00FB1F23"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239</w:t>
            </w:r>
          </w:p>
        </w:tc>
      </w:tr>
      <w:tr w:rsidR="00135C0D" w:rsidRPr="0029055C" w14:paraId="0ABB4CA4" w14:textId="77777777" w:rsidTr="00B44C7E">
        <w:tc>
          <w:tcPr>
            <w:cnfStyle w:val="001000000000" w:firstRow="0" w:lastRow="0" w:firstColumn="1" w:lastColumn="0" w:oddVBand="0" w:evenVBand="0" w:oddHBand="0" w:evenHBand="0" w:firstRowFirstColumn="0" w:firstRowLastColumn="0" w:lastRowFirstColumn="0" w:lastRowLastColumn="0"/>
            <w:tcW w:w="1721" w:type="pct"/>
            <w:shd w:val="clear" w:color="auto" w:fill="auto"/>
            <w:noWrap/>
          </w:tcPr>
          <w:p w14:paraId="03148104" w14:textId="77777777" w:rsidR="00135C0D" w:rsidRPr="0029055C" w:rsidRDefault="00135C0D" w:rsidP="008B693C">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T4622. </w:t>
            </w:r>
            <w:r w:rsidRPr="0029055C">
              <w:rPr>
                <w:rFonts w:asciiTheme="minorHAnsi" w:hAnsiTheme="minorHAnsi" w:cstheme="minorHAnsi"/>
                <w:b w:val="0"/>
                <w:sz w:val="18"/>
                <w:szCs w:val="20"/>
              </w:rPr>
              <w:t>Αριθμός έργων εισαγωγής συστημάτων στοχοθεσίας και αξιολόγησης σε φορείς του δημόσιου τομέα</w:t>
            </w:r>
          </w:p>
        </w:tc>
        <w:tc>
          <w:tcPr>
            <w:tcW w:w="507" w:type="pct"/>
            <w:shd w:val="clear" w:color="auto" w:fill="auto"/>
            <w:noWrap/>
            <w:vAlign w:val="center"/>
          </w:tcPr>
          <w:p w14:paraId="44A62CC7"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508" w:type="pct"/>
            <w:shd w:val="clear" w:color="auto" w:fill="auto"/>
            <w:noWrap/>
            <w:vAlign w:val="center"/>
          </w:tcPr>
          <w:p w14:paraId="36109C39"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26</w:t>
            </w:r>
          </w:p>
        </w:tc>
        <w:tc>
          <w:tcPr>
            <w:tcW w:w="625" w:type="pct"/>
            <w:shd w:val="clear" w:color="auto" w:fill="auto"/>
            <w:noWrap/>
            <w:vAlign w:val="center"/>
          </w:tcPr>
          <w:p w14:paraId="3645FD97"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w:t>
            </w:r>
          </w:p>
        </w:tc>
        <w:tc>
          <w:tcPr>
            <w:tcW w:w="546" w:type="pct"/>
            <w:shd w:val="clear" w:color="auto" w:fill="auto"/>
            <w:vAlign w:val="center"/>
          </w:tcPr>
          <w:p w14:paraId="361E5D40"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7" w:type="pct"/>
            <w:shd w:val="clear" w:color="auto" w:fill="auto"/>
            <w:vAlign w:val="center"/>
          </w:tcPr>
          <w:p w14:paraId="45EC4075" w14:textId="77777777" w:rsidR="00135C0D" w:rsidRPr="0029055C" w:rsidRDefault="00FB1F23"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6" w:type="pct"/>
            <w:shd w:val="clear" w:color="auto" w:fill="auto"/>
            <w:vAlign w:val="center"/>
          </w:tcPr>
          <w:p w14:paraId="1371AB0A" w14:textId="77777777" w:rsidR="00135C0D" w:rsidRPr="0029055C" w:rsidRDefault="00FB1F23"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26</w:t>
            </w:r>
          </w:p>
        </w:tc>
      </w:tr>
      <w:tr w:rsidR="00135C0D" w:rsidRPr="0029055C" w14:paraId="424CA85D" w14:textId="77777777" w:rsidTr="00B44C7E">
        <w:tc>
          <w:tcPr>
            <w:cnfStyle w:val="001000000000" w:firstRow="0" w:lastRow="0" w:firstColumn="1" w:lastColumn="0" w:oddVBand="0" w:evenVBand="0" w:oddHBand="0" w:evenHBand="0" w:firstRowFirstColumn="0" w:firstRowLastColumn="0" w:lastRowFirstColumn="0" w:lastRowLastColumn="0"/>
            <w:tcW w:w="1721" w:type="pct"/>
            <w:noWrap/>
          </w:tcPr>
          <w:p w14:paraId="4E77F749" w14:textId="77777777" w:rsidR="00135C0D" w:rsidRPr="0029055C" w:rsidRDefault="00135C0D" w:rsidP="008B693C">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T4623. </w:t>
            </w:r>
            <w:r w:rsidRPr="0029055C">
              <w:rPr>
                <w:rFonts w:asciiTheme="minorHAnsi" w:hAnsiTheme="minorHAnsi" w:cstheme="minorHAnsi"/>
                <w:b w:val="0"/>
                <w:sz w:val="18"/>
                <w:szCs w:val="20"/>
              </w:rPr>
              <w:t>Αριθμός συστημάτων εσωτερικού ελέγχου φορέων του δημόσιου τομέα που δημιουργούνται ή αναβαθμίζονται</w:t>
            </w:r>
          </w:p>
        </w:tc>
        <w:tc>
          <w:tcPr>
            <w:tcW w:w="507" w:type="pct"/>
            <w:noWrap/>
            <w:vAlign w:val="center"/>
          </w:tcPr>
          <w:p w14:paraId="6B567ED6"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508" w:type="pct"/>
            <w:noWrap/>
            <w:vAlign w:val="center"/>
          </w:tcPr>
          <w:p w14:paraId="704CD758"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26</w:t>
            </w:r>
          </w:p>
        </w:tc>
        <w:tc>
          <w:tcPr>
            <w:tcW w:w="625" w:type="pct"/>
            <w:noWrap/>
            <w:vAlign w:val="center"/>
          </w:tcPr>
          <w:p w14:paraId="4EEE31B2"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6" w:type="pct"/>
            <w:vAlign w:val="center"/>
          </w:tcPr>
          <w:p w14:paraId="22F554B4"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7" w:type="pct"/>
            <w:vAlign w:val="center"/>
          </w:tcPr>
          <w:p w14:paraId="38BF4B77"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6" w:type="pct"/>
            <w:vAlign w:val="center"/>
          </w:tcPr>
          <w:p w14:paraId="1DBEF869" w14:textId="77777777" w:rsidR="00135C0D" w:rsidRPr="0029055C" w:rsidRDefault="00FB1F23"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r>
      <w:tr w:rsidR="00135C0D" w:rsidRPr="0029055C" w14:paraId="37165471" w14:textId="77777777" w:rsidTr="00B44C7E">
        <w:tc>
          <w:tcPr>
            <w:cnfStyle w:val="001000000000" w:firstRow="0" w:lastRow="0" w:firstColumn="1" w:lastColumn="0" w:oddVBand="0" w:evenVBand="0" w:oddHBand="0" w:evenHBand="0" w:firstRowFirstColumn="0" w:firstRowLastColumn="0" w:lastRowFirstColumn="0" w:lastRowLastColumn="0"/>
            <w:tcW w:w="1721" w:type="pct"/>
            <w:shd w:val="clear" w:color="auto" w:fill="auto"/>
            <w:noWrap/>
          </w:tcPr>
          <w:p w14:paraId="11E3D7EC" w14:textId="77777777" w:rsidR="00135C0D" w:rsidRPr="0029055C" w:rsidRDefault="00135C0D" w:rsidP="008B693C">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T4624. </w:t>
            </w:r>
            <w:r w:rsidRPr="0029055C">
              <w:rPr>
                <w:rFonts w:asciiTheme="minorHAnsi" w:hAnsiTheme="minorHAnsi" w:cstheme="minorHAnsi"/>
                <w:b w:val="0"/>
                <w:sz w:val="18"/>
                <w:szCs w:val="20"/>
              </w:rPr>
              <w:t>Αριθμός έργων για τον επαναπροσδιορισμό των πεδίων ευθύνης και την αντιμετώπιση επικαλύψεων των ελεγκτικών φορέων και σωμάτων επιθεώρησης</w:t>
            </w:r>
          </w:p>
        </w:tc>
        <w:tc>
          <w:tcPr>
            <w:tcW w:w="507" w:type="pct"/>
            <w:shd w:val="clear" w:color="auto" w:fill="auto"/>
            <w:noWrap/>
            <w:vAlign w:val="center"/>
          </w:tcPr>
          <w:p w14:paraId="6CDF2DEE"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508" w:type="pct"/>
            <w:shd w:val="clear" w:color="auto" w:fill="auto"/>
            <w:noWrap/>
            <w:vAlign w:val="center"/>
          </w:tcPr>
          <w:p w14:paraId="48F20250"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w:t>
            </w:r>
          </w:p>
        </w:tc>
        <w:tc>
          <w:tcPr>
            <w:tcW w:w="625" w:type="pct"/>
            <w:shd w:val="clear" w:color="auto" w:fill="auto"/>
            <w:noWrap/>
            <w:vAlign w:val="center"/>
          </w:tcPr>
          <w:p w14:paraId="074FA4D6"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6" w:type="pct"/>
            <w:shd w:val="clear" w:color="auto" w:fill="auto"/>
            <w:vAlign w:val="center"/>
          </w:tcPr>
          <w:p w14:paraId="15735D31"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7" w:type="pct"/>
            <w:shd w:val="clear" w:color="auto" w:fill="auto"/>
            <w:vAlign w:val="center"/>
          </w:tcPr>
          <w:p w14:paraId="05CAE42A" w14:textId="77777777" w:rsidR="00135C0D" w:rsidRPr="0029055C" w:rsidRDefault="00FB1F23"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6" w:type="pct"/>
            <w:shd w:val="clear" w:color="auto" w:fill="auto"/>
            <w:vAlign w:val="center"/>
          </w:tcPr>
          <w:p w14:paraId="539FDE0C" w14:textId="77777777" w:rsidR="00135C0D" w:rsidRPr="0029055C" w:rsidRDefault="00FB1F23"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w:t>
            </w:r>
          </w:p>
        </w:tc>
      </w:tr>
      <w:tr w:rsidR="00135C0D" w:rsidRPr="0029055C" w14:paraId="55005992" w14:textId="77777777" w:rsidTr="00B44C7E">
        <w:tc>
          <w:tcPr>
            <w:cnfStyle w:val="001000000000" w:firstRow="0" w:lastRow="0" w:firstColumn="1" w:lastColumn="0" w:oddVBand="0" w:evenVBand="0" w:oddHBand="0" w:evenHBand="0" w:firstRowFirstColumn="0" w:firstRowLastColumn="0" w:lastRowFirstColumn="0" w:lastRowLastColumn="0"/>
            <w:tcW w:w="1721" w:type="pct"/>
            <w:noWrap/>
          </w:tcPr>
          <w:p w14:paraId="6EB243F9" w14:textId="77777777" w:rsidR="00135C0D" w:rsidRPr="0029055C" w:rsidRDefault="00135C0D" w:rsidP="008B693C">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lastRenderedPageBreak/>
              <w:t xml:space="preserve">T4625. </w:t>
            </w:r>
            <w:r w:rsidRPr="0029055C">
              <w:rPr>
                <w:rFonts w:asciiTheme="minorHAnsi" w:hAnsiTheme="minorHAnsi" w:cstheme="minorHAnsi"/>
                <w:b w:val="0"/>
                <w:sz w:val="18"/>
                <w:szCs w:val="20"/>
              </w:rPr>
              <w:t>Αριθμός Σχεδίων αναβάθμισης της λειτουργίας ελεγκτικών φορέων</w:t>
            </w:r>
          </w:p>
        </w:tc>
        <w:tc>
          <w:tcPr>
            <w:tcW w:w="507" w:type="pct"/>
            <w:noWrap/>
            <w:vAlign w:val="center"/>
          </w:tcPr>
          <w:p w14:paraId="47E687E4"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508" w:type="pct"/>
            <w:noWrap/>
            <w:vAlign w:val="center"/>
          </w:tcPr>
          <w:p w14:paraId="71F806F9"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9</w:t>
            </w:r>
          </w:p>
        </w:tc>
        <w:tc>
          <w:tcPr>
            <w:tcW w:w="625" w:type="pct"/>
            <w:noWrap/>
            <w:vAlign w:val="center"/>
          </w:tcPr>
          <w:p w14:paraId="533073CB" w14:textId="77777777" w:rsidR="00135C0D" w:rsidRPr="0029055C" w:rsidRDefault="00FB1F23"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w:t>
            </w:r>
          </w:p>
        </w:tc>
        <w:tc>
          <w:tcPr>
            <w:tcW w:w="546" w:type="pct"/>
            <w:vAlign w:val="center"/>
          </w:tcPr>
          <w:p w14:paraId="04D71DF9"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7" w:type="pct"/>
            <w:vAlign w:val="center"/>
          </w:tcPr>
          <w:p w14:paraId="4BA58A29" w14:textId="77777777" w:rsidR="00135C0D" w:rsidRPr="0029055C" w:rsidRDefault="00FB1F23"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6" w:type="pct"/>
            <w:vAlign w:val="center"/>
          </w:tcPr>
          <w:p w14:paraId="28B22348"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p>
        </w:tc>
      </w:tr>
      <w:tr w:rsidR="00135C0D" w:rsidRPr="0029055C" w14:paraId="53138287" w14:textId="77777777" w:rsidTr="00B44C7E">
        <w:tc>
          <w:tcPr>
            <w:cnfStyle w:val="001000000000" w:firstRow="0" w:lastRow="0" w:firstColumn="1" w:lastColumn="0" w:oddVBand="0" w:evenVBand="0" w:oddHBand="0" w:evenHBand="0" w:firstRowFirstColumn="0" w:firstRowLastColumn="0" w:lastRowFirstColumn="0" w:lastRowLastColumn="0"/>
            <w:tcW w:w="1721" w:type="pct"/>
            <w:shd w:val="clear" w:color="auto" w:fill="auto"/>
            <w:noWrap/>
          </w:tcPr>
          <w:p w14:paraId="09791CC5" w14:textId="77777777" w:rsidR="00135C0D" w:rsidRPr="0029055C" w:rsidRDefault="00135C0D" w:rsidP="008B693C">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T4626. </w:t>
            </w:r>
            <w:r w:rsidRPr="0029055C">
              <w:rPr>
                <w:rFonts w:asciiTheme="minorHAnsi" w:hAnsiTheme="minorHAnsi" w:cstheme="minorHAnsi"/>
                <w:b w:val="0"/>
                <w:sz w:val="18"/>
                <w:szCs w:val="20"/>
              </w:rPr>
              <w:t>Αριθμός έργων που αφορούν στην ενίσχυση της συμμετοχής των πολιτών</w:t>
            </w:r>
          </w:p>
        </w:tc>
        <w:tc>
          <w:tcPr>
            <w:tcW w:w="507" w:type="pct"/>
            <w:shd w:val="clear" w:color="auto" w:fill="auto"/>
            <w:noWrap/>
            <w:vAlign w:val="center"/>
          </w:tcPr>
          <w:p w14:paraId="0651662B"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508" w:type="pct"/>
            <w:shd w:val="clear" w:color="auto" w:fill="auto"/>
            <w:noWrap/>
            <w:vAlign w:val="center"/>
          </w:tcPr>
          <w:p w14:paraId="7BC946BA"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3</w:t>
            </w:r>
          </w:p>
        </w:tc>
        <w:tc>
          <w:tcPr>
            <w:tcW w:w="625" w:type="pct"/>
            <w:shd w:val="clear" w:color="auto" w:fill="auto"/>
            <w:noWrap/>
            <w:vAlign w:val="center"/>
          </w:tcPr>
          <w:p w14:paraId="73AB35DE"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w:t>
            </w:r>
          </w:p>
        </w:tc>
        <w:tc>
          <w:tcPr>
            <w:tcW w:w="546" w:type="pct"/>
            <w:shd w:val="clear" w:color="auto" w:fill="auto"/>
            <w:vAlign w:val="center"/>
          </w:tcPr>
          <w:p w14:paraId="0A3E7FDC"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7" w:type="pct"/>
            <w:shd w:val="clear" w:color="auto" w:fill="auto"/>
            <w:vAlign w:val="center"/>
          </w:tcPr>
          <w:p w14:paraId="1ABBD84A" w14:textId="77777777" w:rsidR="00135C0D" w:rsidRPr="0029055C" w:rsidRDefault="00FB1F23"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46" w:type="pct"/>
            <w:shd w:val="clear" w:color="auto" w:fill="auto"/>
            <w:vAlign w:val="center"/>
          </w:tcPr>
          <w:p w14:paraId="33655FA8" w14:textId="77777777" w:rsidR="00135C0D" w:rsidRPr="0029055C" w:rsidRDefault="00FB1F23"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3</w:t>
            </w:r>
          </w:p>
        </w:tc>
      </w:tr>
    </w:tbl>
    <w:p w14:paraId="2E834E5C" w14:textId="77777777" w:rsidR="00135C0D" w:rsidRPr="0029055C" w:rsidRDefault="00135C0D" w:rsidP="00135C0D">
      <w:pPr>
        <w:rPr>
          <w:rFonts w:cstheme="minorHAnsi"/>
          <w:sz w:val="22"/>
          <w:szCs w:val="22"/>
        </w:rPr>
      </w:pPr>
      <w:r w:rsidRPr="0029055C">
        <w:rPr>
          <w:rFonts w:cstheme="minorHAnsi"/>
          <w:sz w:val="22"/>
          <w:szCs w:val="22"/>
        </w:rPr>
        <w:t>Με βάση τα στοιχεία του ανωτέρω Πίνακα, η υλοποίηση του φυσικού αντικειμένου ανά δείκτη έχει ως εξής:</w:t>
      </w:r>
    </w:p>
    <w:p w14:paraId="7E61E6AD" w14:textId="77777777" w:rsidR="00361279" w:rsidRPr="0029055C" w:rsidRDefault="005E4733" w:rsidP="001C3F40">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T4615</w:t>
      </w:r>
      <w:r w:rsidR="00DA51E4" w:rsidRPr="0029055C">
        <w:rPr>
          <w:rFonts w:cstheme="minorHAnsi"/>
          <w:b/>
          <w:color w:val="31849B" w:themeColor="accent5" w:themeShade="BF"/>
          <w:sz w:val="22"/>
          <w:szCs w:val="22"/>
        </w:rPr>
        <w:t>:</w:t>
      </w:r>
      <w:r w:rsidRPr="0029055C">
        <w:rPr>
          <w:rFonts w:cstheme="minorHAnsi"/>
          <w:color w:val="31849B" w:themeColor="accent5" w:themeShade="BF"/>
          <w:sz w:val="22"/>
          <w:szCs w:val="22"/>
        </w:rPr>
        <w:t xml:space="preserve"> Αριθμός έργων επαναοριοθέτησης αρμοδιοτήτων των τεσσάρων επιπέδων Διοίκησης</w:t>
      </w:r>
      <w:r w:rsidR="0055739F" w:rsidRPr="0029055C">
        <w:rPr>
          <w:rFonts w:cstheme="minorHAnsi"/>
          <w:color w:val="31849B" w:themeColor="accent5" w:themeShade="BF"/>
          <w:sz w:val="22"/>
          <w:szCs w:val="22"/>
        </w:rPr>
        <w:t>.</w:t>
      </w:r>
      <w:r w:rsidRPr="0029055C">
        <w:rPr>
          <w:rFonts w:cstheme="minorHAnsi"/>
          <w:color w:val="215868" w:themeColor="accent5" w:themeShade="80"/>
          <w:sz w:val="22"/>
          <w:szCs w:val="22"/>
        </w:rPr>
        <w:t xml:space="preserve"> </w:t>
      </w:r>
      <w:r w:rsidR="004E4326" w:rsidRPr="0029055C">
        <w:rPr>
          <w:rFonts w:cstheme="minorHAnsi"/>
          <w:sz w:val="22"/>
          <w:szCs w:val="22"/>
        </w:rPr>
        <w:t xml:space="preserve">Ο δείκτης τροφοδοτείται από τις προβλεπόμενες δράσεις επαναοριοθέτησης αρμοδιοτήτων στα 4 επίπεδα διοίκησης (Κεντρική Διοίκηση, Αποκεντρωμένη Διοίκηση, Τοπική Αυτοδιοίκηση α΄ και β΄ βαθμού) στο πλαίσιο του </w:t>
      </w:r>
      <w:r w:rsidR="004E4326" w:rsidRPr="0029055C">
        <w:rPr>
          <w:rFonts w:cstheme="minorHAnsi"/>
          <w:i/>
          <w:sz w:val="22"/>
          <w:szCs w:val="22"/>
        </w:rPr>
        <w:t>Ειδικού Στόχου Α1</w:t>
      </w:r>
      <w:r w:rsidR="004E4326" w:rsidRPr="0029055C">
        <w:rPr>
          <w:rFonts w:cstheme="minorHAnsi"/>
          <w:sz w:val="22"/>
          <w:szCs w:val="22"/>
        </w:rPr>
        <w:t xml:space="preserve"> </w:t>
      </w:r>
      <w:r w:rsidR="004E4326" w:rsidRPr="0029055C">
        <w:rPr>
          <w:rFonts w:cstheme="minorHAnsi"/>
          <w:i/>
          <w:sz w:val="22"/>
          <w:szCs w:val="22"/>
        </w:rPr>
        <w:t xml:space="preserve">«Αύξηση των τομέων δημόσιας δράσης στους οποίους εφαρμόζονται νέα συστήματα και διαδικασίες για την ενίσχυση του επιτελικού χαρακτήρα της δημόσιας διοίκησης» </w:t>
      </w:r>
      <w:r w:rsidR="004E4326" w:rsidRPr="0029055C">
        <w:rPr>
          <w:rFonts w:cstheme="minorHAnsi"/>
          <w:sz w:val="22"/>
          <w:szCs w:val="22"/>
        </w:rPr>
        <w:t xml:space="preserve">του ΕΠ ΜΔΤ. </w:t>
      </w:r>
      <w:r w:rsidR="001C3F40" w:rsidRPr="0029055C">
        <w:rPr>
          <w:rFonts w:cstheme="minorHAnsi"/>
          <w:sz w:val="22"/>
          <w:szCs w:val="22"/>
        </w:rPr>
        <w:t xml:space="preserve">Ο δείκτης Τ4615 παρουσιάζει μηδενική υλοποίηση, λαμβάνοντας όμως υπόψη την πρόοδο εξειδίκευσης και εφαρμογής των σχετικών δράσεων που τροφοδοτούν το δείκτη </w:t>
      </w:r>
      <w:r w:rsidR="001C3F40" w:rsidRPr="0029055C">
        <w:rPr>
          <w:rFonts w:cstheme="minorHAnsi"/>
          <w:b/>
          <w:sz w:val="22"/>
          <w:szCs w:val="22"/>
        </w:rPr>
        <w:t>εκτιμάται ότι η τιμή επίτευξης του στο τέλος της ΠΠ θα ανέλθει σε 4.</w:t>
      </w:r>
      <w:r w:rsidR="001C3F40" w:rsidRPr="0029055C">
        <w:rPr>
          <w:rFonts w:cstheme="minorHAnsi"/>
          <w:sz w:val="22"/>
          <w:szCs w:val="22"/>
        </w:rPr>
        <w:t xml:space="preserve"> Ειδικότερα, εκτιμάται ότι θα  συνεισφέρουν στην επίτευξη του δείκτη τ</w:t>
      </w:r>
      <w:r w:rsidR="004E4326" w:rsidRPr="0029055C">
        <w:rPr>
          <w:rFonts w:cstheme="minorHAnsi"/>
          <w:sz w:val="22"/>
          <w:szCs w:val="22"/>
        </w:rPr>
        <w:t xml:space="preserve">α εξειδικευμένα έργα της </w:t>
      </w:r>
      <w:r w:rsidR="004E4326" w:rsidRPr="0029055C">
        <w:rPr>
          <w:rFonts w:cstheme="minorHAnsi"/>
          <w:i/>
          <w:sz w:val="22"/>
          <w:szCs w:val="22"/>
        </w:rPr>
        <w:t>Δράσης Α.1.1.2</w:t>
      </w:r>
      <w:r w:rsidR="001C3F40" w:rsidRPr="0029055C">
        <w:rPr>
          <w:rFonts w:cstheme="minorHAnsi"/>
          <w:i/>
          <w:sz w:val="22"/>
          <w:szCs w:val="22"/>
        </w:rPr>
        <w:t xml:space="preserve"> «Προώθηση της πολυεπίπεδης διακυβέρνησης και ενίσχυση των επιτελικών λειτουργιών  του ΥΠΕΣ»</w:t>
      </w:r>
      <w:r w:rsidR="001C3F40" w:rsidRPr="0029055C">
        <w:rPr>
          <w:rFonts w:cstheme="minorHAnsi"/>
          <w:sz w:val="22"/>
          <w:szCs w:val="22"/>
        </w:rPr>
        <w:t xml:space="preserve"> </w:t>
      </w:r>
      <w:r w:rsidR="004E4326" w:rsidRPr="0029055C">
        <w:rPr>
          <w:rFonts w:cstheme="minorHAnsi"/>
          <w:sz w:val="22"/>
          <w:szCs w:val="22"/>
        </w:rPr>
        <w:t xml:space="preserve">με τιμή 2. </w:t>
      </w:r>
      <w:r w:rsidR="00645A94" w:rsidRPr="0029055C">
        <w:rPr>
          <w:rFonts w:cstheme="minorHAnsi"/>
          <w:sz w:val="22"/>
          <w:szCs w:val="22"/>
        </w:rPr>
        <w:t xml:space="preserve">Επίσης, στο συγκεκριμένο δείκτη εκτιμάται ότι θα συμβάλλει και το ενταγμένο έργο </w:t>
      </w:r>
      <w:r w:rsidR="00AA280B" w:rsidRPr="0029055C">
        <w:rPr>
          <w:rFonts w:cstheme="minorHAnsi"/>
          <w:sz w:val="22"/>
          <w:szCs w:val="22"/>
        </w:rPr>
        <w:t>«</w:t>
      </w:r>
      <w:r w:rsidR="00645A94" w:rsidRPr="0029055C">
        <w:rPr>
          <w:rFonts w:cstheme="minorHAnsi"/>
          <w:sz w:val="22"/>
          <w:szCs w:val="22"/>
        </w:rPr>
        <w:t>Πληροφοριακό Σύστημα για τον εκσυγχρονισμό της Διαδικασίας έκδοσης Αδειών Διαμονής και Απόδοσης Ιθαγένειας στην Ελληνική Επικράτεια (</w:t>
      </w:r>
      <w:r w:rsidR="00AA280B" w:rsidRPr="0029055C">
        <w:rPr>
          <w:rFonts w:cstheme="minorHAnsi"/>
          <w:sz w:val="22"/>
          <w:szCs w:val="22"/>
        </w:rPr>
        <w:t xml:space="preserve">mis </w:t>
      </w:r>
      <w:r w:rsidR="00645A94" w:rsidRPr="0029055C">
        <w:rPr>
          <w:rFonts w:cstheme="minorHAnsi"/>
          <w:sz w:val="22"/>
          <w:szCs w:val="22"/>
        </w:rPr>
        <w:t>5000634)</w:t>
      </w:r>
      <w:r w:rsidR="00AA280B" w:rsidRPr="0029055C">
        <w:rPr>
          <w:rFonts w:cstheme="minorHAnsi"/>
          <w:sz w:val="22"/>
          <w:szCs w:val="22"/>
        </w:rPr>
        <w:t>», σ</w:t>
      </w:r>
      <w:r w:rsidR="00645A94" w:rsidRPr="0029055C">
        <w:rPr>
          <w:rFonts w:cstheme="minorHAnsi"/>
          <w:sz w:val="22"/>
          <w:szCs w:val="22"/>
        </w:rPr>
        <w:t xml:space="preserve">το πλαίσιο του </w:t>
      </w:r>
      <w:r w:rsidR="00AA280B" w:rsidRPr="0029055C">
        <w:rPr>
          <w:rFonts w:cstheme="minorHAnsi"/>
          <w:sz w:val="22"/>
          <w:szCs w:val="22"/>
        </w:rPr>
        <w:t>οποίου</w:t>
      </w:r>
      <w:r w:rsidR="00645A94" w:rsidRPr="0029055C">
        <w:rPr>
          <w:rFonts w:cstheme="minorHAnsi"/>
          <w:sz w:val="22"/>
          <w:szCs w:val="22"/>
        </w:rPr>
        <w:t xml:space="preserve"> προωθείται η αύξηση της διαλειτουργικότητας </w:t>
      </w:r>
      <w:r w:rsidR="00AA280B" w:rsidRPr="0029055C">
        <w:rPr>
          <w:rFonts w:cstheme="minorHAnsi"/>
          <w:sz w:val="22"/>
          <w:szCs w:val="22"/>
        </w:rPr>
        <w:t xml:space="preserve">και η κατανομή συγκεκριμένων αρμοδιοτήτων </w:t>
      </w:r>
      <w:r w:rsidR="00645A94" w:rsidRPr="0029055C">
        <w:rPr>
          <w:rFonts w:cstheme="minorHAnsi"/>
          <w:sz w:val="22"/>
          <w:szCs w:val="22"/>
        </w:rPr>
        <w:t>μεταξύ των</w:t>
      </w:r>
      <w:r w:rsidR="00AA280B" w:rsidRPr="0029055C">
        <w:rPr>
          <w:rFonts w:cstheme="minorHAnsi"/>
          <w:sz w:val="22"/>
          <w:szCs w:val="22"/>
        </w:rPr>
        <w:t xml:space="preserve"> εμπλεκόμενων </w:t>
      </w:r>
      <w:r w:rsidR="00645A94" w:rsidRPr="0029055C">
        <w:rPr>
          <w:rFonts w:cstheme="minorHAnsi"/>
          <w:sz w:val="22"/>
          <w:szCs w:val="22"/>
        </w:rPr>
        <w:t>φορέων.</w:t>
      </w:r>
      <w:r w:rsidR="00AA280B" w:rsidRPr="0029055C">
        <w:rPr>
          <w:rFonts w:cstheme="minorHAnsi"/>
          <w:sz w:val="22"/>
          <w:szCs w:val="22"/>
        </w:rPr>
        <w:t xml:space="preserve"> Το ανωτέρω έργο δεν διαθέτει το συγκεκριμένο δείκτη</w:t>
      </w:r>
      <w:r w:rsidR="002629AB" w:rsidRPr="0029055C">
        <w:rPr>
          <w:rFonts w:cstheme="minorHAnsi"/>
          <w:sz w:val="22"/>
          <w:szCs w:val="22"/>
        </w:rPr>
        <w:t xml:space="preserve"> και προτείνεται η προσθήκη του</w:t>
      </w:r>
      <w:r w:rsidR="00DA51E4" w:rsidRPr="0029055C">
        <w:rPr>
          <w:rFonts w:cstheme="minorHAnsi"/>
          <w:sz w:val="22"/>
          <w:szCs w:val="22"/>
        </w:rPr>
        <w:t>.</w:t>
      </w:r>
    </w:p>
    <w:p w14:paraId="0CDB7117" w14:textId="77777777" w:rsidR="005E4733" w:rsidRPr="0029055C" w:rsidRDefault="0055739F" w:rsidP="002629AB">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T4616</w:t>
      </w:r>
      <w:r w:rsidR="00DA51E4" w:rsidRPr="0029055C">
        <w:rPr>
          <w:rFonts w:cstheme="minorHAnsi"/>
          <w:b/>
          <w:color w:val="31849B" w:themeColor="accent5" w:themeShade="BF"/>
          <w:sz w:val="22"/>
          <w:szCs w:val="22"/>
        </w:rPr>
        <w:t xml:space="preserve">: </w:t>
      </w:r>
      <w:r w:rsidRPr="0029055C">
        <w:rPr>
          <w:rFonts w:cstheme="minorHAnsi"/>
          <w:color w:val="31849B" w:themeColor="accent5" w:themeShade="BF"/>
          <w:sz w:val="22"/>
          <w:szCs w:val="22"/>
        </w:rPr>
        <w:t>Αριθμός έργων ενίσχυσης επιτελικών λειτουργιών της Δημόσιας Διοίκησης, περιλαμβανομένων μηχανισμών και συστημάτων παρακολούθησης εφαρμογής δημόσιων πολιτικών</w:t>
      </w:r>
      <w:r w:rsidR="005E4733" w:rsidRPr="0029055C">
        <w:rPr>
          <w:rFonts w:cstheme="minorHAnsi"/>
          <w:color w:val="31849B" w:themeColor="accent5" w:themeShade="BF"/>
          <w:sz w:val="22"/>
          <w:szCs w:val="22"/>
        </w:rPr>
        <w:t>.</w:t>
      </w:r>
      <w:r w:rsidRPr="0029055C">
        <w:rPr>
          <w:rFonts w:cstheme="minorHAnsi"/>
          <w:color w:val="31849B" w:themeColor="accent5" w:themeShade="BF"/>
          <w:sz w:val="22"/>
          <w:szCs w:val="22"/>
        </w:rPr>
        <w:t xml:space="preserve"> </w:t>
      </w:r>
      <w:r w:rsidR="00DA51E4" w:rsidRPr="0029055C">
        <w:rPr>
          <w:rFonts w:cstheme="minorHAnsi"/>
          <w:sz w:val="22"/>
          <w:szCs w:val="22"/>
        </w:rPr>
        <w:t xml:space="preserve">Ο δείκτης τροφοδοτείται από τις προγραμματισμένες δράσεις ενίσχυσης των φορέων της Δημόσιας Διοίκησης για την άσκηση των επιτελικών αρμοδιοτήτων τους, καθώς και από τις δράσεις δημιουργίας και υποστήριξης της λειτουργίας μηχανισμών, ανάπτυξης εργαλείων τεκμηρίωσης για την ενίσχυση της αποτελεσματικότητας δημόσιων πολιτικών, στο πλαίσιο του </w:t>
      </w:r>
      <w:r w:rsidR="00DA51E4" w:rsidRPr="0029055C">
        <w:rPr>
          <w:rFonts w:cstheme="minorHAnsi"/>
          <w:i/>
          <w:sz w:val="22"/>
          <w:szCs w:val="22"/>
        </w:rPr>
        <w:t xml:space="preserve">Ειδικού Στόχου Α1 </w:t>
      </w:r>
      <w:r w:rsidR="002629AB" w:rsidRPr="0029055C">
        <w:rPr>
          <w:rFonts w:cstheme="minorHAnsi"/>
          <w:i/>
          <w:sz w:val="22"/>
          <w:szCs w:val="22"/>
        </w:rPr>
        <w:t xml:space="preserve">«Αύξηση των τομέων δημόσιας δράσης στους οποίους εφαρμόζονται νέα συστήματα και διαδικασίες για την ενίσχυση του επιτελικού χαρακτήρα της δημόσιας διοίκησης» </w:t>
      </w:r>
      <w:r w:rsidR="00DA51E4" w:rsidRPr="0029055C">
        <w:rPr>
          <w:rFonts w:cstheme="minorHAnsi"/>
          <w:sz w:val="22"/>
          <w:szCs w:val="22"/>
        </w:rPr>
        <w:t>του Προγράμματος. Ο δείκτης Τ4616</w:t>
      </w:r>
      <w:r w:rsidR="00C7727B" w:rsidRPr="0029055C">
        <w:rPr>
          <w:rFonts w:cstheme="minorHAnsi"/>
          <w:sz w:val="22"/>
          <w:szCs w:val="22"/>
        </w:rPr>
        <w:t>, με βάση τα στοιχεία ΟΠΣ 01.06.18,</w:t>
      </w:r>
      <w:r w:rsidR="00DA51E4" w:rsidRPr="0029055C">
        <w:rPr>
          <w:rFonts w:cstheme="minorHAnsi"/>
          <w:sz w:val="22"/>
          <w:szCs w:val="22"/>
        </w:rPr>
        <w:t xml:space="preserve"> τροφοδοτείται από 5 ενταγμένα έργα τα οποία βρίσκονται σε εξέλιξη και η υλοποίηση του δείκτη </w:t>
      </w:r>
      <w:r w:rsidR="00981426" w:rsidRPr="0029055C">
        <w:rPr>
          <w:rFonts w:cstheme="minorHAnsi"/>
          <w:sz w:val="22"/>
          <w:szCs w:val="22"/>
        </w:rPr>
        <w:t xml:space="preserve">μέχρι το τέλος του 2017 </w:t>
      </w:r>
      <w:r w:rsidR="00DA51E4" w:rsidRPr="0029055C">
        <w:rPr>
          <w:rFonts w:cstheme="minorHAnsi"/>
          <w:sz w:val="22"/>
          <w:szCs w:val="22"/>
        </w:rPr>
        <w:t>ανέρχεται σε 2,17</w:t>
      </w:r>
      <w:r w:rsidR="005E4733" w:rsidRPr="0029055C">
        <w:rPr>
          <w:rFonts w:cstheme="minorHAnsi"/>
          <w:sz w:val="22"/>
          <w:szCs w:val="22"/>
        </w:rPr>
        <w:t>.</w:t>
      </w:r>
      <w:r w:rsidR="00DA51E4" w:rsidRPr="0029055C">
        <w:rPr>
          <w:rFonts w:cstheme="minorHAnsi"/>
          <w:sz w:val="22"/>
          <w:szCs w:val="22"/>
        </w:rPr>
        <w:t xml:space="preserve"> Ο δείκτης εκτιμάται ότι θα επιτευχθεί στο τέλος της ΠΠ.</w:t>
      </w:r>
    </w:p>
    <w:p w14:paraId="598E24BE" w14:textId="77777777" w:rsidR="000D46A4" w:rsidRPr="0029055C" w:rsidRDefault="000D46A4" w:rsidP="00257C6E">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T4617</w:t>
      </w:r>
      <w:r w:rsidRPr="0029055C">
        <w:rPr>
          <w:rFonts w:cstheme="minorHAnsi"/>
          <w:color w:val="31849B" w:themeColor="accent5" w:themeShade="BF"/>
          <w:sz w:val="22"/>
          <w:szCs w:val="22"/>
        </w:rPr>
        <w:t xml:space="preserve">: Αριθμός έργων δημιουργίας Παρατηρητηρίου για την Περιφερειακή διοίκηση και την Τοπική Αυτοδιοίκηση. </w:t>
      </w:r>
      <w:r w:rsidRPr="0029055C">
        <w:rPr>
          <w:rFonts w:cstheme="minorHAnsi"/>
          <w:sz w:val="22"/>
          <w:szCs w:val="22"/>
        </w:rPr>
        <w:t xml:space="preserve">Ο δείκτης τροφοδοτείται από το ενταγμένο έργο </w:t>
      </w:r>
      <w:r w:rsidRPr="0029055C">
        <w:rPr>
          <w:rFonts w:cstheme="minorHAnsi"/>
          <w:i/>
          <w:sz w:val="22"/>
          <w:szCs w:val="22"/>
        </w:rPr>
        <w:t>«Αναβάθμιση και αξιοποίηση της παρεχόμενης οικονομικής πληροφόρησης από τους Οργανισμούς Τοπικής Αυτοδιοίκησης»</w:t>
      </w:r>
      <w:r w:rsidRPr="0029055C">
        <w:rPr>
          <w:rFonts w:cstheme="minorHAnsi"/>
          <w:sz w:val="22"/>
          <w:szCs w:val="22"/>
        </w:rPr>
        <w:t xml:space="preserve"> με τιμή στόχο 1 και εκτιμάται ότι θα επιτευχθεί έως το τέλος της ΠΠ.</w:t>
      </w:r>
    </w:p>
    <w:p w14:paraId="3D247F5D" w14:textId="77777777" w:rsidR="000D46A4" w:rsidRPr="0029055C" w:rsidRDefault="000D46A4" w:rsidP="00FB1F23">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T4618</w:t>
      </w:r>
      <w:r w:rsidRPr="0029055C">
        <w:rPr>
          <w:rFonts w:cstheme="minorHAnsi"/>
          <w:color w:val="31849B" w:themeColor="accent5" w:themeShade="BF"/>
          <w:sz w:val="22"/>
          <w:szCs w:val="22"/>
        </w:rPr>
        <w:t>: Αριθμός έργων κωδικοποίησης θεσμικού και νομοθετικού πλαισίου</w:t>
      </w:r>
      <w:r w:rsidRPr="0029055C">
        <w:rPr>
          <w:rFonts w:cstheme="minorHAnsi"/>
          <w:sz w:val="22"/>
          <w:szCs w:val="22"/>
        </w:rPr>
        <w:t xml:space="preserve">. Ο συγκεκριμένος δείκτης, ο οποίος περιλαμβάνεται και στο Πλαίσιο Επιδόσεων του ΕΠ ΜΔΤ, τροφοδοτείται από τις δράσεις που προβλέπονται στο πλαίσιο της </w:t>
      </w:r>
      <w:r w:rsidRPr="0029055C">
        <w:rPr>
          <w:rFonts w:cstheme="minorHAnsi"/>
          <w:i/>
          <w:sz w:val="22"/>
          <w:szCs w:val="22"/>
        </w:rPr>
        <w:t>Κατηγορίας Δράσης Α.1.2</w:t>
      </w:r>
      <w:r w:rsidRPr="0029055C">
        <w:rPr>
          <w:rFonts w:cstheme="minorHAnsi"/>
          <w:sz w:val="22"/>
          <w:szCs w:val="22"/>
        </w:rPr>
        <w:t xml:space="preserve"> </w:t>
      </w:r>
      <w:r w:rsidRPr="0029055C">
        <w:rPr>
          <w:rFonts w:cstheme="minorHAnsi"/>
          <w:i/>
          <w:sz w:val="22"/>
          <w:szCs w:val="22"/>
        </w:rPr>
        <w:t>«Δράσεις κωδικοποίησης της Νομοθεσίας και μείωσης της πολυνομίας και κακονομίας»</w:t>
      </w:r>
      <w:r w:rsidRPr="0029055C">
        <w:rPr>
          <w:rFonts w:cstheme="minorHAnsi"/>
          <w:sz w:val="22"/>
          <w:szCs w:val="22"/>
        </w:rPr>
        <w:t xml:space="preserve"> του ΕΠ ΜΔΤ. </w:t>
      </w:r>
      <w:r w:rsidR="00C2054E" w:rsidRPr="0029055C">
        <w:rPr>
          <w:rFonts w:cstheme="minorHAnsi"/>
          <w:sz w:val="22"/>
          <w:szCs w:val="22"/>
        </w:rPr>
        <w:t xml:space="preserve">Ο στόχος των </w:t>
      </w:r>
      <w:r w:rsidR="005311B1" w:rsidRPr="0029055C">
        <w:rPr>
          <w:rFonts w:cstheme="minorHAnsi"/>
          <w:sz w:val="22"/>
          <w:szCs w:val="22"/>
        </w:rPr>
        <w:t xml:space="preserve">4 </w:t>
      </w:r>
      <w:r w:rsidR="00C2054E" w:rsidRPr="0029055C">
        <w:rPr>
          <w:rFonts w:cstheme="minorHAnsi"/>
          <w:sz w:val="22"/>
          <w:szCs w:val="22"/>
        </w:rPr>
        <w:t xml:space="preserve">ενταγμένων έργων που τροφοδοτούν το δείκτη, καλύπτει τον προγραμματικό </w:t>
      </w:r>
      <w:r w:rsidR="00C2054E" w:rsidRPr="0029055C">
        <w:rPr>
          <w:rFonts w:cstheme="minorHAnsi"/>
          <w:sz w:val="22"/>
          <w:szCs w:val="22"/>
        </w:rPr>
        <w:lastRenderedPageBreak/>
        <w:t xml:space="preserve">στόχο του έτους 2023 κατά το 1/3 και τον ενδιάμεσο στόχο για το 2018 κατά 50%. </w:t>
      </w:r>
      <w:r w:rsidR="00FB1F23" w:rsidRPr="0029055C">
        <w:rPr>
          <w:rFonts w:cstheme="minorHAnsi"/>
          <w:sz w:val="22"/>
          <w:szCs w:val="22"/>
        </w:rPr>
        <w:t>Η δυνατότητα επίτευξης του ενδιάμεσου στόχο του δείκτη για το έτος 2018 θα πρέπει να επανεξετασθεί</w:t>
      </w:r>
      <w:r w:rsidR="00257C6E" w:rsidRPr="0029055C">
        <w:rPr>
          <w:rFonts w:cstheme="minorHAnsi"/>
          <w:sz w:val="22"/>
          <w:szCs w:val="22"/>
        </w:rPr>
        <w:t>.</w:t>
      </w:r>
      <w:r w:rsidR="00C2054E" w:rsidRPr="0029055C">
        <w:rPr>
          <w:rFonts w:cstheme="minorHAnsi"/>
          <w:sz w:val="22"/>
          <w:szCs w:val="22"/>
        </w:rPr>
        <w:t xml:space="preserve"> </w:t>
      </w:r>
    </w:p>
    <w:p w14:paraId="3C36F3AB" w14:textId="77777777" w:rsidR="005B7515" w:rsidRPr="0029055C" w:rsidRDefault="000D46A4" w:rsidP="000977FD">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T4619</w:t>
      </w:r>
      <w:r w:rsidR="00257C6E" w:rsidRPr="0029055C">
        <w:rPr>
          <w:rFonts w:cstheme="minorHAnsi"/>
          <w:color w:val="31849B" w:themeColor="accent5" w:themeShade="BF"/>
          <w:sz w:val="22"/>
          <w:szCs w:val="22"/>
        </w:rPr>
        <w:t>:</w:t>
      </w:r>
      <w:r w:rsidRPr="0029055C">
        <w:rPr>
          <w:rFonts w:cstheme="minorHAnsi"/>
          <w:color w:val="31849B" w:themeColor="accent5" w:themeShade="BF"/>
          <w:sz w:val="22"/>
          <w:szCs w:val="22"/>
        </w:rPr>
        <w:t xml:space="preserve"> Αριθμός εποπτευόμενων φορέων δημόσιου τομέα που αξιολογούνται</w:t>
      </w:r>
      <w:r w:rsidR="00257C6E" w:rsidRPr="0029055C">
        <w:rPr>
          <w:rFonts w:cstheme="minorHAnsi"/>
          <w:color w:val="31849B" w:themeColor="accent5" w:themeShade="BF"/>
          <w:sz w:val="22"/>
          <w:szCs w:val="22"/>
        </w:rPr>
        <w:t xml:space="preserve">. </w:t>
      </w:r>
      <w:r w:rsidR="00257C6E" w:rsidRPr="0029055C">
        <w:rPr>
          <w:rFonts w:cstheme="minorHAnsi"/>
          <w:sz w:val="22"/>
          <w:szCs w:val="22"/>
        </w:rPr>
        <w:t xml:space="preserve">Ο δείκτης τροφοδοτείται από τις δράσεις αξιολόγησης φορέων του δημόσιου τομέα (Υπουργεία και εποπτευόμενοι φορείς) που προβλέπονται στο πλαίσιο του </w:t>
      </w:r>
      <w:r w:rsidR="00257C6E" w:rsidRPr="0029055C">
        <w:rPr>
          <w:rFonts w:cstheme="minorHAnsi"/>
          <w:i/>
          <w:sz w:val="22"/>
          <w:szCs w:val="22"/>
        </w:rPr>
        <w:t>Ειδικού Στόχου Α2 «</w:t>
      </w:r>
      <w:r w:rsidR="000977FD" w:rsidRPr="0029055C">
        <w:rPr>
          <w:rFonts w:cstheme="minorHAnsi"/>
          <w:i/>
          <w:sz w:val="22"/>
          <w:szCs w:val="22"/>
        </w:rPr>
        <w:t>Αύξηση των φορέων του δημοσίου τομέα στους οποίους εφαρμόζονται σχέδια λειτουργικής αναδιοργάνωσης και απλοποίησης διοικητικών διαδικασιών</w:t>
      </w:r>
      <w:r w:rsidR="00257C6E" w:rsidRPr="0029055C">
        <w:rPr>
          <w:rFonts w:cstheme="minorHAnsi"/>
          <w:i/>
          <w:sz w:val="22"/>
          <w:szCs w:val="22"/>
        </w:rPr>
        <w:t>»</w:t>
      </w:r>
      <w:r w:rsidR="00257C6E" w:rsidRPr="0029055C">
        <w:rPr>
          <w:rFonts w:cstheme="minorHAnsi"/>
          <w:sz w:val="22"/>
          <w:szCs w:val="22"/>
        </w:rPr>
        <w:t xml:space="preserve"> του ΕΠ ΜΔΤ. </w:t>
      </w:r>
      <w:r w:rsidR="00FE324D" w:rsidRPr="0029055C">
        <w:rPr>
          <w:rFonts w:cstheme="minorHAnsi"/>
          <w:sz w:val="22"/>
          <w:szCs w:val="22"/>
        </w:rPr>
        <w:t xml:space="preserve">Μέχρι την ημερομηνία αναφοράς των στοιχείων του Προγράμματος που αντλήθηκαν για την εκπόνηση του παρόντος παραδοτέου (01.06.2018) δεν </w:t>
      </w:r>
      <w:r w:rsidR="005B7515" w:rsidRPr="0029055C">
        <w:rPr>
          <w:rFonts w:cstheme="minorHAnsi"/>
          <w:sz w:val="22"/>
          <w:szCs w:val="22"/>
        </w:rPr>
        <w:t>είχαν ενταχθεί έργα τα οποία να συμπεριλαμβάνουν το συγκεκριμένο δείκτη. Παρόλα αυτά έχουν ενταχθεί έργα τα οποία συνεισφέρουν στο δείκτη Τ4619 και στα οποία προτείνεται να συμπεριληφθεί ο συγκεκριμένος δείκτης. Τα έργα αυτά είναι τα ακόλουθα:</w:t>
      </w:r>
    </w:p>
    <w:p w14:paraId="232EBBA4" w14:textId="77777777" w:rsidR="00273758" w:rsidRPr="0029055C" w:rsidRDefault="00BA1173" w:rsidP="00641E6F">
      <w:pPr>
        <w:pStyle w:val="ListParagraph"/>
        <w:numPr>
          <w:ilvl w:val="1"/>
          <w:numId w:val="17"/>
        </w:numPr>
        <w:spacing w:line="280" w:lineRule="atLeast"/>
        <w:contextualSpacing w:val="0"/>
        <w:rPr>
          <w:rFonts w:cstheme="minorHAnsi"/>
          <w:sz w:val="22"/>
          <w:szCs w:val="22"/>
        </w:rPr>
      </w:pPr>
      <w:r w:rsidRPr="0029055C">
        <w:rPr>
          <w:rFonts w:cstheme="minorHAnsi"/>
          <w:i/>
          <w:sz w:val="22"/>
          <w:szCs w:val="22"/>
        </w:rPr>
        <w:t>«Ανάπτυξη συστήματος διαχείρισης ποιότητας και ασφάλειας συστήματος αδειοδότησης και ελέγχου μονάδων υγείας κα</w:t>
      </w:r>
      <w:r w:rsidR="0034660E" w:rsidRPr="0029055C">
        <w:rPr>
          <w:rFonts w:cstheme="minorHAnsi"/>
          <w:i/>
          <w:sz w:val="22"/>
          <w:szCs w:val="22"/>
        </w:rPr>
        <w:t>ι</w:t>
      </w:r>
      <w:r w:rsidRPr="0029055C">
        <w:rPr>
          <w:rFonts w:cstheme="minorHAnsi"/>
          <w:i/>
          <w:sz w:val="22"/>
          <w:szCs w:val="22"/>
        </w:rPr>
        <w:t xml:space="preserve"> ενιαίου πλαισίου διαχείρισης σοβαρών ανεπιθύμητων συμβάντων στον τομέα της δωρεάς και μεταμόσχευσης οργάνων ιστών και κυττάρων</w:t>
      </w:r>
      <w:r w:rsidR="00273758" w:rsidRPr="0029055C">
        <w:rPr>
          <w:rFonts w:cstheme="minorHAnsi"/>
          <w:i/>
          <w:sz w:val="22"/>
          <w:szCs w:val="22"/>
        </w:rPr>
        <w:t>»</w:t>
      </w:r>
      <w:r w:rsidR="00273758" w:rsidRPr="0029055C">
        <w:rPr>
          <w:rFonts w:cstheme="minorHAnsi"/>
          <w:sz w:val="22"/>
          <w:szCs w:val="22"/>
        </w:rPr>
        <w:t xml:space="preserve"> (κωδ. mis: 5004207 Δικαιούχος:</w:t>
      </w:r>
      <w:r w:rsidR="00273758" w:rsidRPr="0029055C">
        <w:rPr>
          <w:rFonts w:cstheme="minorHAnsi"/>
          <w:i/>
          <w:sz w:val="22"/>
          <w:szCs w:val="22"/>
        </w:rPr>
        <w:t xml:space="preserve"> </w:t>
      </w:r>
      <w:r w:rsidR="00273758" w:rsidRPr="0029055C">
        <w:rPr>
          <w:rFonts w:cstheme="minorHAnsi"/>
          <w:sz w:val="22"/>
          <w:szCs w:val="22"/>
        </w:rPr>
        <w:t>Εθνικός Οργανισμός Μεταμοσχεύσεων)</w:t>
      </w:r>
      <w:r w:rsidR="00273758" w:rsidRPr="0029055C">
        <w:rPr>
          <w:rFonts w:cstheme="minorHAnsi"/>
          <w:i/>
          <w:sz w:val="22"/>
          <w:szCs w:val="22"/>
        </w:rPr>
        <w:t xml:space="preserve">, </w:t>
      </w:r>
      <w:r w:rsidR="00273758" w:rsidRPr="0029055C">
        <w:rPr>
          <w:rFonts w:cstheme="minorHAnsi"/>
          <w:sz w:val="22"/>
          <w:szCs w:val="22"/>
        </w:rPr>
        <w:t>με</w:t>
      </w:r>
      <w:r w:rsidR="00273758" w:rsidRPr="0029055C">
        <w:rPr>
          <w:rFonts w:cstheme="minorHAnsi"/>
          <w:i/>
          <w:sz w:val="22"/>
          <w:szCs w:val="22"/>
        </w:rPr>
        <w:t xml:space="preserve"> </w:t>
      </w:r>
      <w:r w:rsidRPr="0029055C">
        <w:rPr>
          <w:rFonts w:cstheme="minorHAnsi"/>
          <w:sz w:val="22"/>
          <w:szCs w:val="22"/>
        </w:rPr>
        <w:t>τιμή στόχο</w:t>
      </w:r>
      <w:r w:rsidR="00273758" w:rsidRPr="0029055C">
        <w:rPr>
          <w:rFonts w:cstheme="minorHAnsi"/>
          <w:sz w:val="22"/>
          <w:szCs w:val="22"/>
        </w:rPr>
        <w:t xml:space="preserve"> του</w:t>
      </w:r>
      <w:r w:rsidRPr="0029055C">
        <w:rPr>
          <w:rFonts w:cstheme="minorHAnsi"/>
          <w:sz w:val="22"/>
          <w:szCs w:val="22"/>
        </w:rPr>
        <w:t xml:space="preserve"> δείκτη </w:t>
      </w:r>
      <w:r w:rsidR="005B7515" w:rsidRPr="0029055C">
        <w:rPr>
          <w:rFonts w:cstheme="minorHAnsi"/>
          <w:sz w:val="22"/>
          <w:szCs w:val="22"/>
        </w:rPr>
        <w:t>21</w:t>
      </w:r>
      <w:r w:rsidR="00273758" w:rsidRPr="0029055C">
        <w:rPr>
          <w:rFonts w:cstheme="minorHAnsi"/>
          <w:sz w:val="22"/>
          <w:szCs w:val="22"/>
        </w:rPr>
        <w:t>.</w:t>
      </w:r>
    </w:p>
    <w:p w14:paraId="52E15838" w14:textId="77777777" w:rsidR="005B7515" w:rsidRPr="0029055C" w:rsidRDefault="00273758" w:rsidP="00A25725">
      <w:pPr>
        <w:pStyle w:val="ListParagraph"/>
        <w:numPr>
          <w:ilvl w:val="1"/>
          <w:numId w:val="17"/>
        </w:numPr>
        <w:spacing w:line="280" w:lineRule="atLeast"/>
        <w:contextualSpacing w:val="0"/>
        <w:rPr>
          <w:rFonts w:cstheme="minorHAnsi"/>
          <w:sz w:val="22"/>
          <w:szCs w:val="22"/>
        </w:rPr>
      </w:pPr>
      <w:r w:rsidRPr="0029055C">
        <w:rPr>
          <w:rFonts w:cstheme="minorHAnsi"/>
          <w:i/>
          <w:sz w:val="22"/>
          <w:szCs w:val="22"/>
        </w:rPr>
        <w:t>«Λειτουργία Τοπικών Ομάδων Υγείας για την αναδιάρθρωση της Πρωτοβάθμιας Φροντίδας Υγείας»</w:t>
      </w:r>
      <w:r w:rsidRPr="0029055C">
        <w:rPr>
          <w:rFonts w:cstheme="minorHAnsi"/>
          <w:sz w:val="22"/>
          <w:szCs w:val="22"/>
        </w:rPr>
        <w:t xml:space="preserve"> (κωδ. mis: 5008035, 5008036, 5008037, 5008038 &amp; 5008039</w:t>
      </w:r>
      <w:r w:rsidR="00641E6F" w:rsidRPr="0029055C">
        <w:rPr>
          <w:rFonts w:cstheme="minorHAnsi"/>
          <w:sz w:val="22"/>
          <w:szCs w:val="22"/>
        </w:rPr>
        <w:tab/>
      </w:r>
      <w:r w:rsidRPr="0029055C">
        <w:rPr>
          <w:rFonts w:cstheme="minorHAnsi"/>
          <w:sz w:val="22"/>
          <w:szCs w:val="22"/>
        </w:rPr>
        <w:t>), με τιμή στόχο του δείκτη 160</w:t>
      </w:r>
      <w:r w:rsidR="0034660E" w:rsidRPr="0029055C">
        <w:rPr>
          <w:rFonts w:cstheme="minorHAnsi"/>
          <w:sz w:val="22"/>
          <w:szCs w:val="22"/>
        </w:rPr>
        <w:t xml:space="preserve"> [μικρότερο από το συνολικό εκτιμώμενο αριθμό ΤΟΜΥ (239), λαμβάνοντας υπόψη </w:t>
      </w:r>
      <w:r w:rsidR="00A25725" w:rsidRPr="0029055C">
        <w:rPr>
          <w:rFonts w:cstheme="minorHAnsi"/>
          <w:sz w:val="22"/>
          <w:szCs w:val="22"/>
        </w:rPr>
        <w:t>ότι στο πλαίσιο του ΕΠ ΜΔΤ θα χρηματοδοτηθεί η πιλοτική λειτουργία των Τοπικών Μονάδων Υγείας που θα δημιουργηθούν έως 11 μήνες, ενώ η συνέχιση της λειτουργίας τους θα διασφαλισθεί με χρηματοδότηση από τα Περιφερειακά Επιχειρησιακά Προγράμματα και εθνικούς πόρους</w:t>
      </w:r>
      <w:r w:rsidR="009735E0" w:rsidRPr="0029055C">
        <w:rPr>
          <w:rFonts w:cstheme="minorHAnsi"/>
          <w:sz w:val="22"/>
          <w:szCs w:val="22"/>
        </w:rPr>
        <w:t>]</w:t>
      </w:r>
      <w:r w:rsidRPr="0029055C">
        <w:rPr>
          <w:rFonts w:cstheme="minorHAnsi"/>
          <w:sz w:val="22"/>
          <w:szCs w:val="22"/>
        </w:rPr>
        <w:t>.</w:t>
      </w:r>
      <w:r w:rsidR="00641E6F" w:rsidRPr="0029055C">
        <w:rPr>
          <w:rFonts w:cstheme="minorHAnsi"/>
          <w:sz w:val="22"/>
          <w:szCs w:val="22"/>
        </w:rPr>
        <w:tab/>
      </w:r>
    </w:p>
    <w:p w14:paraId="2A024DC9" w14:textId="77777777" w:rsidR="000D46A4" w:rsidRPr="0029055C" w:rsidRDefault="00273758" w:rsidP="00273758">
      <w:pPr>
        <w:pStyle w:val="ListParagraph"/>
        <w:numPr>
          <w:ilvl w:val="1"/>
          <w:numId w:val="17"/>
        </w:numPr>
        <w:spacing w:line="280" w:lineRule="atLeast"/>
        <w:contextualSpacing w:val="0"/>
        <w:rPr>
          <w:rFonts w:cstheme="minorHAnsi"/>
          <w:sz w:val="22"/>
          <w:szCs w:val="22"/>
        </w:rPr>
      </w:pPr>
      <w:r w:rsidRPr="0029055C">
        <w:rPr>
          <w:rFonts w:cstheme="minorHAnsi"/>
          <w:i/>
          <w:sz w:val="22"/>
          <w:szCs w:val="22"/>
        </w:rPr>
        <w:t>«Αναδιοργάνωση και διοικητική μεταρρύθμιση της Τοπικής Αυτοδιοίκησης Α΄ και Β΄ Βαθμού – απλούστευση και προτυποποίηση διαδικασιών λειτουργίας OTA Α΄ και Β΄ βαθμού – πιλοτική λειτουργία»</w:t>
      </w:r>
      <w:r w:rsidRPr="0029055C">
        <w:rPr>
          <w:rFonts w:cstheme="minorHAnsi"/>
          <w:sz w:val="22"/>
          <w:szCs w:val="22"/>
        </w:rPr>
        <w:t xml:space="preserve"> (κωδ. mis: </w:t>
      </w:r>
      <w:r w:rsidR="00963CB6" w:rsidRPr="0029055C">
        <w:rPr>
          <w:rFonts w:cstheme="minorHAnsi"/>
          <w:sz w:val="22"/>
          <w:szCs w:val="22"/>
        </w:rPr>
        <w:t>5014063</w:t>
      </w:r>
      <w:r w:rsidRPr="0029055C">
        <w:rPr>
          <w:rFonts w:cstheme="minorHAnsi"/>
          <w:sz w:val="22"/>
          <w:szCs w:val="22"/>
        </w:rPr>
        <w:t>), με τιμή στόχο 15</w:t>
      </w:r>
      <w:r w:rsidR="00963CB6" w:rsidRPr="0029055C">
        <w:rPr>
          <w:rFonts w:cstheme="minorHAnsi"/>
          <w:sz w:val="22"/>
          <w:szCs w:val="22"/>
        </w:rPr>
        <w:t>.</w:t>
      </w:r>
      <w:r w:rsidR="00963CB6" w:rsidRPr="0029055C">
        <w:rPr>
          <w:rFonts w:cstheme="minorHAnsi"/>
          <w:b/>
          <w:sz w:val="22"/>
          <w:szCs w:val="22"/>
        </w:rPr>
        <w:t xml:space="preserve"> </w:t>
      </w:r>
      <w:r w:rsidR="00963CB6" w:rsidRPr="0029055C">
        <w:rPr>
          <w:rFonts w:cstheme="minorHAnsi"/>
          <w:sz w:val="22"/>
          <w:szCs w:val="22"/>
        </w:rPr>
        <w:t xml:space="preserve">Επισημαίνεται ότι με βάση τη νέα </w:t>
      </w:r>
      <w:r w:rsidR="00257C6E" w:rsidRPr="0029055C">
        <w:rPr>
          <w:rFonts w:cstheme="minorHAnsi"/>
          <w:sz w:val="22"/>
          <w:szCs w:val="22"/>
        </w:rPr>
        <w:t>προσέγγιση του ΥΠΕΣ για την εφαρμογή ενός ολοκληρωμένου προγράμματος αναδιοργάνωσης και διοικητικής μεταρρύθμισης της Τοπικής Αυτοδιοίκησης α’ και β’ βαθμού, στο πλαίσιο του ΕΠ ΜΔΤ θα χρηματοδοτ</w:t>
      </w:r>
      <w:r w:rsidR="00963CB6" w:rsidRPr="0029055C">
        <w:rPr>
          <w:rFonts w:cstheme="minorHAnsi"/>
          <w:sz w:val="22"/>
          <w:szCs w:val="22"/>
        </w:rPr>
        <w:t xml:space="preserve">ηθεί </w:t>
      </w:r>
      <w:r w:rsidR="00257C6E" w:rsidRPr="0029055C">
        <w:rPr>
          <w:rFonts w:cstheme="minorHAnsi"/>
          <w:sz w:val="22"/>
          <w:szCs w:val="22"/>
        </w:rPr>
        <w:t>την πιλοτική εφαρμογή του σε 3 Περιφέρειες και 12 Δήμους.</w:t>
      </w:r>
      <w:r w:rsidR="000D46A4" w:rsidRPr="0029055C">
        <w:rPr>
          <w:rFonts w:cstheme="minorHAnsi"/>
          <w:sz w:val="22"/>
          <w:szCs w:val="22"/>
        </w:rPr>
        <w:t xml:space="preserve">  </w:t>
      </w:r>
    </w:p>
    <w:p w14:paraId="356EF202" w14:textId="77777777" w:rsidR="00963CB6" w:rsidRPr="0029055C" w:rsidRDefault="00963CB6" w:rsidP="00963CB6">
      <w:pPr>
        <w:spacing w:line="280" w:lineRule="atLeast"/>
        <w:ind w:left="720"/>
        <w:rPr>
          <w:rFonts w:cstheme="minorHAnsi"/>
          <w:sz w:val="22"/>
          <w:szCs w:val="22"/>
        </w:rPr>
      </w:pPr>
      <w:r w:rsidRPr="0029055C">
        <w:rPr>
          <w:rFonts w:cstheme="minorHAnsi"/>
          <w:sz w:val="22"/>
          <w:szCs w:val="22"/>
        </w:rPr>
        <w:t>Με βάση τα ανωτέρω προτείνεται μείωση της τιμής στόχου του δείκτη από 445 σε 195 για το έτος 2023, στόχος ο οποίος εκτιμάται ότι θα επιτευχθεί.</w:t>
      </w:r>
    </w:p>
    <w:p w14:paraId="7C471655" w14:textId="77777777" w:rsidR="000D46A4" w:rsidRPr="0029055C" w:rsidRDefault="009F3409" w:rsidP="009F3409">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T4620</w:t>
      </w:r>
      <w:r w:rsidRPr="0029055C">
        <w:rPr>
          <w:rFonts w:cstheme="minorHAnsi"/>
          <w:color w:val="31849B" w:themeColor="accent5" w:themeShade="BF"/>
          <w:sz w:val="22"/>
          <w:szCs w:val="22"/>
        </w:rPr>
        <w:t>:</w:t>
      </w:r>
      <w:r w:rsidR="000D46A4" w:rsidRPr="0029055C">
        <w:rPr>
          <w:rFonts w:cstheme="minorHAnsi"/>
          <w:color w:val="31849B" w:themeColor="accent5" w:themeShade="BF"/>
          <w:sz w:val="22"/>
          <w:szCs w:val="22"/>
        </w:rPr>
        <w:t xml:space="preserve"> Αριθμός έργων απλοποίησης εσωτερικών διαδικασιών φορέων του δημοσίου τομέα</w:t>
      </w:r>
      <w:r w:rsidRPr="0029055C">
        <w:rPr>
          <w:rFonts w:cstheme="minorHAnsi"/>
          <w:color w:val="31849B" w:themeColor="accent5" w:themeShade="BF"/>
          <w:sz w:val="22"/>
          <w:szCs w:val="22"/>
        </w:rPr>
        <w:t xml:space="preserve">. </w:t>
      </w:r>
      <w:r w:rsidRPr="0029055C">
        <w:rPr>
          <w:rFonts w:cstheme="minorHAnsi"/>
          <w:sz w:val="22"/>
          <w:szCs w:val="22"/>
        </w:rPr>
        <w:t xml:space="preserve">Ο συγκεκριμένος δείκτης, ο οποίος περιλαμβάνεται και στο Πλαίσιο Επιδόσεων του ΕΠ ΜΔΤ, τροφοδοτείται από τις δράσεις απλοποίησης εσωτερικών διαδικασιών φορέων του δημόσιου τομέα που προβλέπονται στο πλαίσιο της </w:t>
      </w:r>
      <w:r w:rsidRPr="0029055C">
        <w:rPr>
          <w:rFonts w:cstheme="minorHAnsi"/>
          <w:i/>
          <w:sz w:val="22"/>
          <w:szCs w:val="22"/>
        </w:rPr>
        <w:t>Κατηγορίας Δράσης Α.2.1 «Δράσεις εφαρμογής αναδιοργανώσεων των φορέων του Δημόσιου Τομέα και βελτίωσης της λειτουργίας τους»</w:t>
      </w:r>
      <w:r w:rsidRPr="0029055C">
        <w:rPr>
          <w:rFonts w:cstheme="minorHAnsi"/>
          <w:sz w:val="22"/>
          <w:szCs w:val="22"/>
        </w:rPr>
        <w:t xml:space="preserve"> του Προγράμματος. Ο στόχος των ενταγμένων έργων που τροφοδοτούν το δείκτη (32) υπερκαλύπτει τον προγραμματικό στόχο για το 2023 κατά 160%. Ο ενδιάμεσος στόχος του δείκτη για το 2018 εκτιμάται ότι θα επιτευχθεί</w:t>
      </w:r>
      <w:r w:rsidR="00362A3D" w:rsidRPr="0029055C">
        <w:rPr>
          <w:rFonts w:cstheme="minorHAnsi"/>
          <w:sz w:val="22"/>
          <w:szCs w:val="22"/>
        </w:rPr>
        <w:t xml:space="preserve">. </w:t>
      </w:r>
      <w:r w:rsidRPr="0029055C">
        <w:rPr>
          <w:rFonts w:cstheme="minorHAnsi"/>
          <w:sz w:val="22"/>
          <w:szCs w:val="22"/>
        </w:rPr>
        <w:t>Λαμβάνοντας υπόψη το βαθμό εξειδίκευσης, την ωριμότητα και την υλοποίηση σχετικών δράσεων στο πλαίσιο του ΕΠ ΜΔΤ, προτείνεται αύξηση της τιμής στόχου του δείκτη από 20 σε 30.</w:t>
      </w:r>
    </w:p>
    <w:p w14:paraId="4E30B264" w14:textId="77777777" w:rsidR="000D46A4" w:rsidRPr="0029055C" w:rsidRDefault="000D46A4" w:rsidP="00362A3D">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T4621</w:t>
      </w:r>
      <w:r w:rsidR="00362A3D" w:rsidRPr="0029055C">
        <w:rPr>
          <w:rFonts w:cstheme="minorHAnsi"/>
          <w:color w:val="31849B" w:themeColor="accent5" w:themeShade="BF"/>
          <w:sz w:val="22"/>
          <w:szCs w:val="22"/>
        </w:rPr>
        <w:t xml:space="preserve">: </w:t>
      </w:r>
      <w:r w:rsidRPr="0029055C">
        <w:rPr>
          <w:rFonts w:cstheme="minorHAnsi"/>
          <w:color w:val="31849B" w:themeColor="accent5" w:themeShade="BF"/>
          <w:sz w:val="22"/>
          <w:szCs w:val="22"/>
        </w:rPr>
        <w:t>Αριθμός έργων απλοποίησης διαδικασιών  και προτυποποίησης υπηρεσιών προς τους πολίτες</w:t>
      </w:r>
      <w:r w:rsidR="00362A3D" w:rsidRPr="0029055C">
        <w:rPr>
          <w:rFonts w:cstheme="minorHAnsi"/>
          <w:color w:val="31849B" w:themeColor="accent5" w:themeShade="BF"/>
          <w:sz w:val="22"/>
          <w:szCs w:val="22"/>
        </w:rPr>
        <w:t xml:space="preserve">. </w:t>
      </w:r>
      <w:r w:rsidR="00362A3D" w:rsidRPr="0029055C">
        <w:rPr>
          <w:rFonts w:cstheme="minorHAnsi"/>
          <w:sz w:val="22"/>
          <w:szCs w:val="22"/>
        </w:rPr>
        <w:t xml:space="preserve">Ο συγκεκριμένος δείκτης, ο οποίος περιλαμβάνεται και στο Πλαίσιο Επιδόσεων του </w:t>
      </w:r>
      <w:r w:rsidR="00362A3D" w:rsidRPr="0029055C">
        <w:rPr>
          <w:rFonts w:cstheme="minorHAnsi"/>
          <w:sz w:val="22"/>
          <w:szCs w:val="22"/>
        </w:rPr>
        <w:lastRenderedPageBreak/>
        <w:t xml:space="preserve">ΕΠ ΜΔΤ, τροφοδοτείται από τις δράσεις απλοποίησης διαδικασιών και προτυποποίησης υπηρεσιών προς τους πολίτες, που προβλέπονται στο πλαίσιο της </w:t>
      </w:r>
      <w:r w:rsidR="00362A3D" w:rsidRPr="0029055C">
        <w:rPr>
          <w:rFonts w:cstheme="minorHAnsi"/>
          <w:i/>
          <w:sz w:val="22"/>
          <w:szCs w:val="22"/>
        </w:rPr>
        <w:t>Κατηγορίας Δράσης Α.2.2 «Δράσεις μείωσης διοικητικών βαρών απλούστευσης και προτυποποίησης υπηρεσιών προς τους πολίτες και επιχειρήσεις»</w:t>
      </w:r>
      <w:r w:rsidR="00362A3D" w:rsidRPr="0029055C">
        <w:rPr>
          <w:rFonts w:cstheme="minorHAnsi"/>
          <w:sz w:val="22"/>
          <w:szCs w:val="22"/>
        </w:rPr>
        <w:t xml:space="preserve"> του Προγράμματος. Ο στόχος των ενταγμένων έργων που τροφοδοτούν το</w:t>
      </w:r>
      <w:r w:rsidR="00F1700A" w:rsidRPr="0029055C">
        <w:rPr>
          <w:rFonts w:cstheme="minorHAnsi"/>
          <w:sz w:val="22"/>
          <w:szCs w:val="22"/>
        </w:rPr>
        <w:t>ν</w:t>
      </w:r>
      <w:r w:rsidR="00362A3D" w:rsidRPr="0029055C">
        <w:rPr>
          <w:rFonts w:cstheme="minorHAnsi"/>
          <w:sz w:val="22"/>
          <w:szCs w:val="22"/>
        </w:rPr>
        <w:t xml:space="preserve"> </w:t>
      </w:r>
      <w:r w:rsidR="00F1700A" w:rsidRPr="0029055C">
        <w:rPr>
          <w:rFonts w:cstheme="minorHAnsi"/>
          <w:sz w:val="22"/>
          <w:szCs w:val="22"/>
        </w:rPr>
        <w:t>δ</w:t>
      </w:r>
      <w:r w:rsidR="00362A3D" w:rsidRPr="0029055C">
        <w:rPr>
          <w:rFonts w:cstheme="minorHAnsi"/>
          <w:sz w:val="22"/>
          <w:szCs w:val="22"/>
        </w:rPr>
        <w:t>είκτη (18) υπερκαλύπτει τον προγραμματικό στόχο για το 2023 κατά 120%. Τόσο ο ενδιάμεσος στόχος του 2018, όσο και ο στόχος για το 2023 εκτιμάται ότι θα επιτευχθούν.</w:t>
      </w:r>
    </w:p>
    <w:p w14:paraId="3D387561" w14:textId="77777777" w:rsidR="000D46A4" w:rsidRPr="0029055C" w:rsidRDefault="000D46A4" w:rsidP="00F1700A">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Τ4651</w:t>
      </w:r>
      <w:r w:rsidR="00362A3D" w:rsidRPr="0029055C">
        <w:rPr>
          <w:rFonts w:cstheme="minorHAnsi"/>
          <w:color w:val="31849B" w:themeColor="accent5" w:themeShade="BF"/>
          <w:sz w:val="22"/>
          <w:szCs w:val="22"/>
        </w:rPr>
        <w:t>:</w:t>
      </w:r>
      <w:r w:rsidRPr="0029055C">
        <w:rPr>
          <w:rFonts w:cstheme="minorHAnsi"/>
          <w:color w:val="31849B" w:themeColor="accent5" w:themeShade="BF"/>
          <w:sz w:val="22"/>
          <w:szCs w:val="22"/>
        </w:rPr>
        <w:t xml:space="preserve"> Αριθμός Τοπικών Μονάδων Υγείας που δημιουργούνται</w:t>
      </w:r>
      <w:r w:rsidR="00362A3D" w:rsidRPr="0029055C">
        <w:rPr>
          <w:rFonts w:cstheme="minorHAnsi"/>
          <w:color w:val="31849B" w:themeColor="accent5" w:themeShade="BF"/>
          <w:sz w:val="22"/>
          <w:szCs w:val="22"/>
        </w:rPr>
        <w:t xml:space="preserve">. </w:t>
      </w:r>
      <w:r w:rsidR="005901CB" w:rsidRPr="0029055C">
        <w:rPr>
          <w:rFonts w:cstheme="minorHAnsi"/>
          <w:sz w:val="22"/>
          <w:szCs w:val="22"/>
        </w:rPr>
        <w:t>Ο δείκτης τροφοδοτείται από τα 5 ενταγμένα έργα που αφορούν στη Λειτουργία Τοπικών Ομάδων Υγείας για την αναδιάρθρωση της Πρωτοβάθμιας Φροντίδας Υγείας. Η τιμή στόχος των ενταγμένων έργων ανέρχεται σε 239</w:t>
      </w:r>
      <w:r w:rsidR="00F1700A" w:rsidRPr="0029055C">
        <w:rPr>
          <w:rFonts w:cstheme="minorHAnsi"/>
          <w:sz w:val="22"/>
          <w:szCs w:val="22"/>
        </w:rPr>
        <w:t xml:space="preserve">, με βάση τις τιμές στόχου του δείκτη 11905 «Αριθμός Τοπικών Μονάδων Υγείας που δημιουργούνται», ο οποίος θα αντικατασταθεί από τον Δείκτη Τ4651. </w:t>
      </w:r>
      <w:r w:rsidR="003F6F7A" w:rsidRPr="0029055C">
        <w:rPr>
          <w:rFonts w:cstheme="minorHAnsi"/>
          <w:sz w:val="22"/>
          <w:szCs w:val="22"/>
        </w:rPr>
        <w:t>Ο στόχος του δείκτη για το 2023 εκτιμάται ότι θα επιτευχθεί.</w:t>
      </w:r>
    </w:p>
    <w:p w14:paraId="39FBD5EB" w14:textId="77777777" w:rsidR="000D46A4" w:rsidRPr="0029055C" w:rsidRDefault="000D46A4" w:rsidP="009735E0">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T4622</w:t>
      </w:r>
      <w:r w:rsidR="00141233" w:rsidRPr="0029055C">
        <w:rPr>
          <w:rFonts w:cstheme="minorHAnsi"/>
          <w:color w:val="31849B" w:themeColor="accent5" w:themeShade="BF"/>
          <w:sz w:val="22"/>
          <w:szCs w:val="22"/>
        </w:rPr>
        <w:t>:</w:t>
      </w:r>
      <w:r w:rsidRPr="0029055C">
        <w:rPr>
          <w:rFonts w:cstheme="minorHAnsi"/>
          <w:color w:val="31849B" w:themeColor="accent5" w:themeShade="BF"/>
          <w:sz w:val="22"/>
          <w:szCs w:val="22"/>
        </w:rPr>
        <w:t xml:space="preserve"> Αριθμός έργων εισαγωγής συστημάτων στοχοθεσίας και αξιολόγησης σε φορείς του δημόσιου τομέα</w:t>
      </w:r>
      <w:r w:rsidR="003F6F7A" w:rsidRPr="0029055C">
        <w:rPr>
          <w:rFonts w:cstheme="minorHAnsi"/>
          <w:sz w:val="22"/>
          <w:szCs w:val="22"/>
        </w:rPr>
        <w:t xml:space="preserve">. Ο δείκτης τροφοδοτείται από τις δράσεις εισαγωγής συστημάτων στοχοθεσίας και αξιολόγησης σε φορείς του δημόσιου τομέα </w:t>
      </w:r>
      <w:r w:rsidR="009735E0" w:rsidRPr="0029055C">
        <w:rPr>
          <w:rFonts w:cstheme="minorHAnsi"/>
          <w:sz w:val="22"/>
          <w:szCs w:val="22"/>
        </w:rPr>
        <w:t xml:space="preserve">στο πλαίσιο του </w:t>
      </w:r>
      <w:r w:rsidR="009735E0" w:rsidRPr="0029055C">
        <w:rPr>
          <w:rFonts w:cstheme="minorHAnsi"/>
          <w:i/>
          <w:sz w:val="22"/>
          <w:szCs w:val="22"/>
        </w:rPr>
        <w:t>Ειδικού Στόχου Α3 «Αύξηση των φορέων του δημόσιου τομέα που εφαρμόζουν συστήματα στοχοθεσίας, αξιολόγησης και εσωτερικού ελέγχου για τη βελτίωση της αποτελεσματικότητας και της διαφάνειας στη δημόσια διοίκηση»</w:t>
      </w:r>
      <w:r w:rsidR="009735E0" w:rsidRPr="0029055C">
        <w:rPr>
          <w:rFonts w:cstheme="minorHAnsi"/>
          <w:sz w:val="22"/>
          <w:szCs w:val="22"/>
        </w:rPr>
        <w:t xml:space="preserve"> του Προγράμματος. Ο δείκτης παρουσιάζει μηδενική υλοποίηση, αλλά εκτιμάται ότι θα επιτευχθεί έως το τέλος της ΠΠ. </w:t>
      </w:r>
    </w:p>
    <w:p w14:paraId="0D4A5D62" w14:textId="77777777" w:rsidR="000D46A4" w:rsidRPr="0029055C" w:rsidRDefault="00141233" w:rsidP="009735E0">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T4623</w:t>
      </w:r>
      <w:r w:rsidRPr="0029055C">
        <w:rPr>
          <w:rFonts w:cstheme="minorHAnsi"/>
          <w:color w:val="31849B" w:themeColor="accent5" w:themeShade="BF"/>
          <w:sz w:val="22"/>
          <w:szCs w:val="22"/>
        </w:rPr>
        <w:t>:</w:t>
      </w:r>
      <w:r w:rsidR="000D46A4" w:rsidRPr="0029055C">
        <w:rPr>
          <w:rFonts w:cstheme="minorHAnsi"/>
          <w:color w:val="31849B" w:themeColor="accent5" w:themeShade="BF"/>
          <w:sz w:val="22"/>
          <w:szCs w:val="22"/>
        </w:rPr>
        <w:t xml:space="preserve"> Αριθμός συστημάτων εσωτερικού ελέγχου φορέων του δημόσιου τομέα που δημιουργούνται ή αναβαθμίζονται</w:t>
      </w:r>
      <w:r w:rsidR="00C75365" w:rsidRPr="0029055C">
        <w:rPr>
          <w:rFonts w:cstheme="minorHAnsi"/>
          <w:color w:val="31849B" w:themeColor="accent5" w:themeShade="BF"/>
          <w:sz w:val="22"/>
          <w:szCs w:val="22"/>
        </w:rPr>
        <w:t xml:space="preserve">. </w:t>
      </w:r>
      <w:r w:rsidR="00C75365" w:rsidRPr="0029055C">
        <w:rPr>
          <w:rFonts w:cstheme="minorHAnsi"/>
          <w:sz w:val="22"/>
          <w:szCs w:val="22"/>
        </w:rPr>
        <w:t xml:space="preserve">Ο δείκτης συμπεριλήφθηκε στο σύστημα δεικτών του Προγράμματος προκειμένου να ποσοτικοποιήσει τις δράσεις εισαγωγής ή/και αναβάθμισης συστημάτων εσωτερικού ελέγχου σε φορείς του δημόσιου τομέα που προβλέπονταν στο </w:t>
      </w:r>
      <w:r w:rsidR="009735E0" w:rsidRPr="0029055C">
        <w:rPr>
          <w:rFonts w:cstheme="minorHAnsi"/>
          <w:sz w:val="22"/>
          <w:szCs w:val="22"/>
        </w:rPr>
        <w:t xml:space="preserve">πλαίσιο του </w:t>
      </w:r>
      <w:r w:rsidR="009735E0" w:rsidRPr="0029055C">
        <w:rPr>
          <w:rFonts w:cstheme="minorHAnsi"/>
          <w:i/>
          <w:sz w:val="22"/>
          <w:szCs w:val="22"/>
        </w:rPr>
        <w:t>Ειδικού Στόχου Α3 «Αύξηση των φορέων του δημόσιου τομέα που εφαρμόζουν συστήματα στοχοθεσίας, αξιολόγησης και εσωτερικού ελέγχου για τη βελτίωση της αποτελεσματικότητας και της διαφάνειας στη δημόσια διοίκηση»</w:t>
      </w:r>
      <w:r w:rsidR="009735E0" w:rsidRPr="0029055C">
        <w:rPr>
          <w:rFonts w:cstheme="minorHAnsi"/>
          <w:sz w:val="22"/>
          <w:szCs w:val="22"/>
        </w:rPr>
        <w:t xml:space="preserve"> του Προγράμματος.</w:t>
      </w:r>
      <w:r w:rsidR="00C75365" w:rsidRPr="0029055C">
        <w:rPr>
          <w:rFonts w:cstheme="minorHAnsi"/>
          <w:sz w:val="22"/>
          <w:szCs w:val="22"/>
        </w:rPr>
        <w:t xml:space="preserve"> Με τον πρόσφατο ανασχεδιασμό της δομής 16 Υπουργείων, ο οποίος πραγματοποιήθηκε χωρίς χρηματοδότηση από το ΕΠ ΜΔΤ (Π.Δ. Οργανισμών Υπουργείων έτους 2017 και 2018), προβλέφθηκαν αυτοτελή τμήματα εσωτερικού ελέγχου σε κάθε Υπουργείο, η λειτουργία των οποίων δεν απαιτεί πόρους από το Πρόγραμμα. Ως εκ τούτου προτείνεται η αφαίρεση του δείκτη Τ4623 από το σύστημα δεικτών του ΕΠ ΜΔΤ. Για τον ίδιο λόγο προτείνεται η αφαίρεση και του αντίστοιχου δείκτη αποτελέσματος Τ4610, τον οποίο τροφοδοτεί.</w:t>
      </w:r>
    </w:p>
    <w:p w14:paraId="78ED373D" w14:textId="77777777" w:rsidR="000D46A4" w:rsidRPr="0029055C" w:rsidRDefault="000D46A4" w:rsidP="009735E0">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T4624</w:t>
      </w:r>
      <w:r w:rsidR="00141233" w:rsidRPr="0029055C">
        <w:rPr>
          <w:rFonts w:cstheme="minorHAnsi"/>
          <w:color w:val="31849B" w:themeColor="accent5" w:themeShade="BF"/>
          <w:sz w:val="22"/>
          <w:szCs w:val="22"/>
        </w:rPr>
        <w:t>:</w:t>
      </w:r>
      <w:r w:rsidRPr="0029055C">
        <w:rPr>
          <w:rFonts w:cstheme="minorHAnsi"/>
          <w:color w:val="31849B" w:themeColor="accent5" w:themeShade="BF"/>
          <w:sz w:val="22"/>
          <w:szCs w:val="22"/>
        </w:rPr>
        <w:t xml:space="preserve"> Αριθμός έργων για τον επαναπροσδιορισμό των πεδίων ευθύνης και την αντιμετώπιση επικαλύψεων των ελεγκτικών φορέων και σωμάτων επιθεώρησης</w:t>
      </w:r>
      <w:r w:rsidR="00141233" w:rsidRPr="0029055C">
        <w:rPr>
          <w:rFonts w:cstheme="minorHAnsi"/>
          <w:color w:val="31849B" w:themeColor="accent5" w:themeShade="BF"/>
          <w:sz w:val="22"/>
          <w:szCs w:val="22"/>
        </w:rPr>
        <w:t xml:space="preserve">. </w:t>
      </w:r>
      <w:r w:rsidR="00C75365" w:rsidRPr="0029055C">
        <w:rPr>
          <w:rFonts w:cstheme="minorHAnsi"/>
          <w:sz w:val="22"/>
          <w:szCs w:val="22"/>
        </w:rPr>
        <w:t>Η τιμή στόχος για το έτος 2023 του δείκτη είναι 1 και προκύπτει από την εκπόνηση μελέτης επαναπροσδιορισμού των πεδίων ευθύνης και την αντιμετώπιση επικαλύψεων των ελεγκτικών φορέων και σωμάτων επιθεώρησης της Δ</w:t>
      </w:r>
      <w:r w:rsidR="00777846" w:rsidRPr="0029055C">
        <w:rPr>
          <w:rFonts w:cstheme="minorHAnsi"/>
          <w:sz w:val="22"/>
          <w:szCs w:val="22"/>
        </w:rPr>
        <w:t>ημόσιας Διοίκησης.</w:t>
      </w:r>
      <w:r w:rsidR="009735E0" w:rsidRPr="0029055C">
        <w:rPr>
          <w:rFonts w:cstheme="minorHAnsi"/>
          <w:sz w:val="22"/>
          <w:szCs w:val="22"/>
        </w:rPr>
        <w:t xml:space="preserve"> Ο δείκτης παρουσιάζει μηδενική υλοποίηση, αλλά εκτιμάται ότι είναι εφικτή η επίτευξή του έως το τέλος της ΠΠ</w:t>
      </w:r>
      <w:r w:rsidR="00FB1F23" w:rsidRPr="0029055C">
        <w:rPr>
          <w:rFonts w:cstheme="minorHAnsi"/>
          <w:sz w:val="22"/>
          <w:szCs w:val="22"/>
        </w:rPr>
        <w:t>.</w:t>
      </w:r>
    </w:p>
    <w:p w14:paraId="3F6D19AB" w14:textId="77777777" w:rsidR="000D46A4" w:rsidRPr="0029055C" w:rsidRDefault="000D46A4" w:rsidP="00B12512">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T4625</w:t>
      </w:r>
      <w:r w:rsidR="00141233" w:rsidRPr="0029055C">
        <w:rPr>
          <w:rFonts w:cstheme="minorHAnsi"/>
          <w:color w:val="31849B" w:themeColor="accent5" w:themeShade="BF"/>
          <w:sz w:val="22"/>
          <w:szCs w:val="22"/>
        </w:rPr>
        <w:t>:</w:t>
      </w:r>
      <w:r w:rsidRPr="0029055C">
        <w:rPr>
          <w:rFonts w:cstheme="minorHAnsi"/>
          <w:color w:val="31849B" w:themeColor="accent5" w:themeShade="BF"/>
          <w:sz w:val="22"/>
          <w:szCs w:val="22"/>
        </w:rPr>
        <w:t xml:space="preserve"> Αριθμός Σχεδίων αναβάθμισης της λειτουργίας ελεγκτικών φορέων</w:t>
      </w:r>
      <w:r w:rsidR="00141233" w:rsidRPr="0029055C">
        <w:rPr>
          <w:rFonts w:cstheme="minorHAnsi"/>
          <w:color w:val="31849B" w:themeColor="accent5" w:themeShade="BF"/>
          <w:sz w:val="22"/>
          <w:szCs w:val="22"/>
        </w:rPr>
        <w:t>.</w:t>
      </w:r>
      <w:r w:rsidR="00A04386" w:rsidRPr="0029055C">
        <w:rPr>
          <w:rFonts w:cstheme="minorHAnsi"/>
          <w:color w:val="31849B" w:themeColor="accent5" w:themeShade="BF"/>
          <w:sz w:val="22"/>
          <w:szCs w:val="22"/>
        </w:rPr>
        <w:t xml:space="preserve"> </w:t>
      </w:r>
      <w:r w:rsidR="00A04386" w:rsidRPr="0029055C">
        <w:rPr>
          <w:rFonts w:cstheme="minorHAnsi"/>
          <w:sz w:val="22"/>
          <w:szCs w:val="22"/>
        </w:rPr>
        <w:t>Η τιμή στόχος του δείκτη για το έτος 2023 είναι 9 και προκύπτει από την εφαρμογή σχεδίων έργων αναβάθμισης της λειτουργίας των βασικών ελεγκτικών φορέων</w:t>
      </w:r>
      <w:r w:rsidR="009735E0" w:rsidRPr="0029055C">
        <w:rPr>
          <w:rFonts w:cstheme="minorHAnsi"/>
          <w:sz w:val="22"/>
          <w:szCs w:val="22"/>
        </w:rPr>
        <w:t xml:space="preserve">. </w:t>
      </w:r>
      <w:r w:rsidR="00B12512" w:rsidRPr="0029055C">
        <w:rPr>
          <w:rFonts w:cstheme="minorHAnsi"/>
          <w:sz w:val="22"/>
          <w:szCs w:val="22"/>
        </w:rPr>
        <w:t>Το ενταγμένο έργο «Ολοκληρωμένο Πληροφοριακό Σύστημα Διαχείρισης Δημοσιονομικών Ελέγχων»</w:t>
      </w:r>
      <w:r w:rsidR="00D470F6" w:rsidRPr="0029055C">
        <w:rPr>
          <w:rFonts w:cstheme="minorHAnsi"/>
          <w:sz w:val="22"/>
          <w:szCs w:val="22"/>
        </w:rPr>
        <w:t xml:space="preserve"> (mis 5001237), με τιμή στόχο 2, θα καλύψει το 22,22% του προγραμματικού στόχου του δείκτη για το 2023. Η δυνατότητα επίτευξης του δείκτη έως το τέλος της ΠΠ θα πρέπει να επανεξετασθεί.</w:t>
      </w:r>
      <w:r w:rsidR="00B12512" w:rsidRPr="0029055C">
        <w:rPr>
          <w:rFonts w:cstheme="minorHAnsi"/>
          <w:sz w:val="22"/>
          <w:szCs w:val="22"/>
        </w:rPr>
        <w:t xml:space="preserve"> </w:t>
      </w:r>
    </w:p>
    <w:p w14:paraId="577E8E5C" w14:textId="77777777" w:rsidR="000D46A4" w:rsidRPr="0029055C" w:rsidRDefault="000D46A4" w:rsidP="003D120F">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lastRenderedPageBreak/>
        <w:t>T4626</w:t>
      </w:r>
      <w:r w:rsidR="00141233" w:rsidRPr="0029055C">
        <w:rPr>
          <w:rFonts w:cstheme="minorHAnsi"/>
          <w:color w:val="31849B" w:themeColor="accent5" w:themeShade="BF"/>
          <w:sz w:val="22"/>
          <w:szCs w:val="22"/>
        </w:rPr>
        <w:t>:</w:t>
      </w:r>
      <w:r w:rsidRPr="0029055C">
        <w:rPr>
          <w:rFonts w:cstheme="minorHAnsi"/>
          <w:color w:val="31849B" w:themeColor="accent5" w:themeShade="BF"/>
          <w:sz w:val="22"/>
          <w:szCs w:val="22"/>
        </w:rPr>
        <w:t xml:space="preserve"> Αριθμός έργων που αφορούν στην ενίσχυση της συμμετοχής των πολιτών</w:t>
      </w:r>
      <w:r w:rsidR="00141233" w:rsidRPr="0029055C">
        <w:rPr>
          <w:rFonts w:cstheme="minorHAnsi"/>
          <w:color w:val="31849B" w:themeColor="accent5" w:themeShade="BF"/>
          <w:sz w:val="22"/>
          <w:szCs w:val="22"/>
        </w:rPr>
        <w:t>.</w:t>
      </w:r>
      <w:r w:rsidR="00A04386" w:rsidRPr="0029055C">
        <w:rPr>
          <w:rFonts w:cstheme="minorHAnsi"/>
          <w:sz w:val="22"/>
          <w:szCs w:val="22"/>
        </w:rPr>
        <w:t xml:space="preserve"> </w:t>
      </w:r>
      <w:r w:rsidR="003D120F" w:rsidRPr="0029055C">
        <w:rPr>
          <w:rFonts w:cstheme="minorHAnsi"/>
          <w:sz w:val="22"/>
          <w:szCs w:val="22"/>
        </w:rPr>
        <w:t xml:space="preserve">Ο δείκτης τροφοδοτείται από τις δράσεις ενίσχυσης του ρόλου των ΜΚΟ και των θεσμοθετημένων κοινωνικών εταίρων, π.χ. ΑΔΕΔΥ, ΟΚΕ, καθώς και τη συμμετοχή των πολιτών </w:t>
      </w:r>
      <w:r w:rsidR="00632B6C" w:rsidRPr="0029055C">
        <w:rPr>
          <w:rFonts w:cstheme="minorHAnsi"/>
          <w:sz w:val="22"/>
          <w:szCs w:val="22"/>
        </w:rPr>
        <w:t xml:space="preserve">που προβλέπονται </w:t>
      </w:r>
      <w:r w:rsidR="003D120F" w:rsidRPr="0029055C">
        <w:rPr>
          <w:rFonts w:cstheme="minorHAnsi"/>
          <w:sz w:val="22"/>
          <w:szCs w:val="22"/>
        </w:rPr>
        <w:t xml:space="preserve">στο πλαίσιο του </w:t>
      </w:r>
      <w:r w:rsidR="003D120F" w:rsidRPr="0029055C">
        <w:rPr>
          <w:rFonts w:cstheme="minorHAnsi"/>
          <w:i/>
          <w:sz w:val="22"/>
          <w:szCs w:val="22"/>
        </w:rPr>
        <w:t>Ειδικού Στόχου Α3 «Αύξηση των φορέων του δημόσιου τομέα που εφαρμόζουν συστήματα στοχοθεσίας, αξιολόγησης και εσωτερικού ελέγχου για τη βελτίωση της αποτελεσματικότητας και της διαφάνειας στη δημόσια διοίκηση»</w:t>
      </w:r>
      <w:r w:rsidR="003D120F" w:rsidRPr="0029055C">
        <w:rPr>
          <w:rFonts w:cstheme="minorHAnsi"/>
          <w:sz w:val="22"/>
          <w:szCs w:val="22"/>
        </w:rPr>
        <w:t xml:space="preserve"> του Προγράμματος. </w:t>
      </w:r>
      <w:r w:rsidR="00632B6C" w:rsidRPr="0029055C">
        <w:rPr>
          <w:rFonts w:cstheme="minorHAnsi"/>
          <w:sz w:val="22"/>
          <w:szCs w:val="22"/>
        </w:rPr>
        <w:t xml:space="preserve">Η τιμή στόχος του δείκτη για το έτος 2023 του δείκτη είναι 3 και καλύπτεται κατά 67% από το στόχων των ενταγμένων έργων. </w:t>
      </w:r>
      <w:r w:rsidR="003D120F" w:rsidRPr="0029055C">
        <w:rPr>
          <w:rFonts w:cstheme="minorHAnsi"/>
          <w:sz w:val="22"/>
          <w:szCs w:val="22"/>
        </w:rPr>
        <w:t xml:space="preserve">Ο δείκτης παρουσιάζει μηδενική υλοποίηση, αλλά εκτιμάται ότι θα επιτευχθεί έως το τέλος της ΠΠ. </w:t>
      </w:r>
    </w:p>
    <w:p w14:paraId="2D284613" w14:textId="77777777" w:rsidR="00135C0D" w:rsidRPr="0029055C" w:rsidRDefault="00135C0D" w:rsidP="00135C0D">
      <w:pPr>
        <w:rPr>
          <w:rFonts w:cstheme="minorHAnsi"/>
          <w:sz w:val="22"/>
          <w:szCs w:val="22"/>
        </w:rPr>
      </w:pPr>
      <w:r w:rsidRPr="0029055C">
        <w:rPr>
          <w:rFonts w:cstheme="minorHAnsi"/>
          <w:sz w:val="22"/>
          <w:szCs w:val="22"/>
        </w:rPr>
        <w:t xml:space="preserve">Αντίστοιχα με την πρόοδο υλοποίησης των δεικτών εκροής του Θεματικού Άξονα </w:t>
      </w:r>
      <w:r w:rsidR="001B3747" w:rsidRPr="0029055C">
        <w:rPr>
          <w:rFonts w:cstheme="minorHAnsi"/>
          <w:sz w:val="22"/>
          <w:szCs w:val="22"/>
        </w:rPr>
        <w:t>Ι</w:t>
      </w:r>
      <w:r w:rsidRPr="0029055C">
        <w:rPr>
          <w:rFonts w:cstheme="minorHAnsi"/>
          <w:sz w:val="22"/>
          <w:szCs w:val="22"/>
        </w:rPr>
        <w:t>, στη συνέχεια παρατίθεται η πρόοδος υλοποίησης των δεικτών αποτελέσματος του ΘΑ.</w:t>
      </w:r>
    </w:p>
    <w:p w14:paraId="7D151AE5" w14:textId="77777777" w:rsidR="00135C0D" w:rsidRPr="0029055C" w:rsidRDefault="00135C0D" w:rsidP="00351B2D">
      <w:pPr>
        <w:pStyle w:val="Caption"/>
        <w:spacing w:after="120" w:line="280" w:lineRule="atLeast"/>
        <w:rPr>
          <w:b w:val="0"/>
          <w:sz w:val="22"/>
          <w:szCs w:val="22"/>
        </w:rPr>
      </w:pPr>
      <w:r w:rsidRPr="0029055C">
        <w:rPr>
          <w:sz w:val="22"/>
          <w:szCs w:val="22"/>
        </w:rPr>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16</w:t>
      </w:r>
      <w:r w:rsidRPr="0029055C">
        <w:rPr>
          <w:sz w:val="22"/>
          <w:szCs w:val="22"/>
        </w:rPr>
        <w:fldChar w:fldCharType="end"/>
      </w:r>
      <w:r w:rsidRPr="0029055C">
        <w:rPr>
          <w:b w:val="0"/>
          <w:sz w:val="22"/>
          <w:szCs w:val="22"/>
        </w:rPr>
        <w:t xml:space="preserve">. Πρόοδος υλοποίησης δεικτών αποτελέσματος του Θεματικού Άξονα </w:t>
      </w:r>
      <w:r w:rsidR="001B3747" w:rsidRPr="0029055C">
        <w:rPr>
          <w:b w:val="0"/>
          <w:sz w:val="22"/>
          <w:szCs w:val="22"/>
        </w:rPr>
        <w:t>Ι</w:t>
      </w:r>
      <w:r w:rsidRPr="0029055C">
        <w:rPr>
          <w:b w:val="0"/>
          <w:sz w:val="22"/>
          <w:szCs w:val="22"/>
        </w:rPr>
        <w:t xml:space="preserve"> </w:t>
      </w:r>
    </w:p>
    <w:tbl>
      <w:tblPr>
        <w:tblStyle w:val="GridTable6Colorful-Accent5"/>
        <w:tblW w:w="5000" w:type="pct"/>
        <w:tblLayout w:type="fixed"/>
        <w:tblCellMar>
          <w:left w:w="28" w:type="dxa"/>
          <w:right w:w="28" w:type="dxa"/>
        </w:tblCellMar>
        <w:tblLook w:val="06A0" w:firstRow="1" w:lastRow="0" w:firstColumn="1" w:lastColumn="0" w:noHBand="1" w:noVBand="1"/>
      </w:tblPr>
      <w:tblGrid>
        <w:gridCol w:w="3540"/>
        <w:gridCol w:w="1104"/>
        <w:gridCol w:w="1104"/>
        <w:gridCol w:w="1104"/>
        <w:gridCol w:w="1104"/>
        <w:gridCol w:w="1104"/>
      </w:tblGrid>
      <w:tr w:rsidR="00135C0D" w:rsidRPr="0029055C" w14:paraId="0FFFDA7F" w14:textId="77777777" w:rsidTr="00B44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pct"/>
            <w:noWrap/>
            <w:vAlign w:val="center"/>
            <w:hideMark/>
          </w:tcPr>
          <w:p w14:paraId="2DB5B4C9" w14:textId="77777777" w:rsidR="00135C0D" w:rsidRPr="0029055C" w:rsidRDefault="00135C0D" w:rsidP="00135C0D">
            <w:pPr>
              <w:spacing w:before="40" w:after="40" w:line="240" w:lineRule="auto"/>
              <w:jc w:val="center"/>
              <w:rPr>
                <w:rFonts w:asciiTheme="minorHAnsi" w:hAnsiTheme="minorHAnsi" w:cstheme="minorHAnsi"/>
                <w:sz w:val="18"/>
                <w:szCs w:val="20"/>
              </w:rPr>
            </w:pPr>
            <w:r w:rsidRPr="0029055C">
              <w:rPr>
                <w:rFonts w:asciiTheme="minorHAnsi" w:hAnsiTheme="minorHAnsi" w:cstheme="minorHAnsi"/>
                <w:sz w:val="18"/>
                <w:szCs w:val="20"/>
              </w:rPr>
              <w:t>Δείκτης</w:t>
            </w:r>
          </w:p>
        </w:tc>
        <w:tc>
          <w:tcPr>
            <w:tcW w:w="609" w:type="pct"/>
            <w:vAlign w:val="center"/>
          </w:tcPr>
          <w:p w14:paraId="2EE54495" w14:textId="77777777" w:rsidR="00135C0D" w:rsidRPr="0029055C" w:rsidRDefault="00135C0D" w:rsidP="008B031C">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Τιμή Βάσης</w:t>
            </w:r>
          </w:p>
        </w:tc>
        <w:tc>
          <w:tcPr>
            <w:tcW w:w="609" w:type="pct"/>
            <w:noWrap/>
            <w:vAlign w:val="center"/>
            <w:hideMark/>
          </w:tcPr>
          <w:p w14:paraId="2C84DF7F" w14:textId="77777777" w:rsidR="00135C0D" w:rsidRPr="0029055C" w:rsidRDefault="00135C0D" w:rsidP="00135C0D">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2023</w:t>
            </w:r>
          </w:p>
        </w:tc>
        <w:tc>
          <w:tcPr>
            <w:tcW w:w="609" w:type="pct"/>
            <w:noWrap/>
            <w:vAlign w:val="center"/>
            <w:hideMark/>
          </w:tcPr>
          <w:p w14:paraId="007EDD0A" w14:textId="77777777" w:rsidR="00135C0D" w:rsidRPr="0029055C" w:rsidRDefault="00135C0D" w:rsidP="00135C0D">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Ενταγμένων Πράξεων</w:t>
            </w:r>
          </w:p>
        </w:tc>
        <w:tc>
          <w:tcPr>
            <w:tcW w:w="609" w:type="pct"/>
            <w:vAlign w:val="center"/>
          </w:tcPr>
          <w:p w14:paraId="1DF26A34" w14:textId="77777777" w:rsidR="00135C0D" w:rsidRPr="0029055C" w:rsidRDefault="00135C0D" w:rsidP="00135C0D">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Επίτευξη 31.12.17</w:t>
            </w:r>
          </w:p>
        </w:tc>
        <w:tc>
          <w:tcPr>
            <w:tcW w:w="609" w:type="pct"/>
            <w:vAlign w:val="center"/>
          </w:tcPr>
          <w:p w14:paraId="77E10EC0" w14:textId="77777777" w:rsidR="00135C0D" w:rsidRPr="0029055C" w:rsidRDefault="00135C0D" w:rsidP="00135C0D">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Εκτίμηση Επίτευξης 31.12.23</w:t>
            </w:r>
          </w:p>
        </w:tc>
      </w:tr>
      <w:tr w:rsidR="00135C0D" w:rsidRPr="0029055C" w14:paraId="746AEEAF" w14:textId="77777777" w:rsidTr="00B44C7E">
        <w:tc>
          <w:tcPr>
            <w:cnfStyle w:val="001000000000" w:firstRow="0" w:lastRow="0" w:firstColumn="1" w:lastColumn="0" w:oddVBand="0" w:evenVBand="0" w:oddHBand="0" w:evenHBand="0" w:firstRowFirstColumn="0" w:firstRowLastColumn="0" w:lastRowFirstColumn="0" w:lastRowLastColumn="0"/>
            <w:tcW w:w="1954" w:type="pct"/>
            <w:noWrap/>
          </w:tcPr>
          <w:p w14:paraId="656DE3DF" w14:textId="77777777" w:rsidR="00135C0D" w:rsidRPr="0029055C" w:rsidRDefault="00135C0D" w:rsidP="00351B2D">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T4604. </w:t>
            </w:r>
            <w:r w:rsidRPr="0029055C">
              <w:rPr>
                <w:rFonts w:asciiTheme="minorHAnsi" w:hAnsiTheme="minorHAnsi" w:cstheme="minorHAnsi"/>
                <w:b w:val="0"/>
                <w:sz w:val="18"/>
                <w:szCs w:val="20"/>
              </w:rPr>
              <w:t>Αριθμός τομέων δημόσιας πολιτικής στους οποίους εφαρμόστηκε κωδικοποίηση του ρυθμιστικού περιβάλλοντος, η οποία διατίθεται από το διαδίκτυο</w:t>
            </w:r>
          </w:p>
        </w:tc>
        <w:tc>
          <w:tcPr>
            <w:tcW w:w="609" w:type="pct"/>
            <w:vAlign w:val="center"/>
          </w:tcPr>
          <w:p w14:paraId="43CBC285"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3</w:t>
            </w:r>
          </w:p>
        </w:tc>
        <w:tc>
          <w:tcPr>
            <w:tcW w:w="609" w:type="pct"/>
            <w:noWrap/>
            <w:vAlign w:val="center"/>
          </w:tcPr>
          <w:p w14:paraId="7AF2405B"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7</w:t>
            </w:r>
          </w:p>
        </w:tc>
        <w:tc>
          <w:tcPr>
            <w:tcW w:w="609" w:type="pct"/>
            <w:noWrap/>
            <w:vAlign w:val="center"/>
          </w:tcPr>
          <w:p w14:paraId="3A9BCD4F" w14:textId="77777777" w:rsidR="00135C0D" w:rsidRPr="0029055C" w:rsidRDefault="00FB1F23"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4</w:t>
            </w:r>
          </w:p>
        </w:tc>
        <w:tc>
          <w:tcPr>
            <w:tcW w:w="609" w:type="pct"/>
            <w:vAlign w:val="center"/>
          </w:tcPr>
          <w:p w14:paraId="0620190F" w14:textId="77777777" w:rsidR="00135C0D" w:rsidRPr="0029055C" w:rsidRDefault="00FB1F23" w:rsidP="00FB1F2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 xml:space="preserve">2 </w:t>
            </w:r>
            <w:r w:rsidRPr="0029055C">
              <w:rPr>
                <w:rFonts w:asciiTheme="minorHAnsi" w:hAnsiTheme="minorHAnsi" w:cstheme="minorHAnsi"/>
                <w:sz w:val="18"/>
                <w:szCs w:val="20"/>
              </w:rPr>
              <w:br/>
            </w:r>
            <w:r w:rsidRPr="0029055C">
              <w:rPr>
                <w:rFonts w:asciiTheme="minorHAnsi" w:hAnsiTheme="minorHAnsi" w:cstheme="minorHAnsi"/>
                <w:i/>
                <w:sz w:val="18"/>
                <w:szCs w:val="20"/>
              </w:rPr>
              <w:t>(σωρευτική τιμή επίτευξης 5)</w:t>
            </w:r>
          </w:p>
        </w:tc>
        <w:tc>
          <w:tcPr>
            <w:tcW w:w="609" w:type="pct"/>
            <w:vAlign w:val="center"/>
          </w:tcPr>
          <w:p w14:paraId="186E0142" w14:textId="77777777" w:rsidR="00135C0D" w:rsidRPr="0029055C" w:rsidRDefault="00FB1F23"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4</w:t>
            </w:r>
          </w:p>
          <w:p w14:paraId="4F330C47" w14:textId="77777777" w:rsidR="00FB1F23" w:rsidRPr="0029055C" w:rsidRDefault="00FB1F23" w:rsidP="00FB1F2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i/>
                <w:sz w:val="18"/>
                <w:szCs w:val="20"/>
              </w:rPr>
              <w:t>(σωρευτική τιμή επίτευξης 7)</w:t>
            </w:r>
          </w:p>
        </w:tc>
      </w:tr>
      <w:tr w:rsidR="00135C0D" w:rsidRPr="0029055C" w14:paraId="4F7817FE" w14:textId="77777777" w:rsidTr="00B44C7E">
        <w:tc>
          <w:tcPr>
            <w:cnfStyle w:val="001000000000" w:firstRow="0" w:lastRow="0" w:firstColumn="1" w:lastColumn="0" w:oddVBand="0" w:evenVBand="0" w:oddHBand="0" w:evenHBand="0" w:firstRowFirstColumn="0" w:firstRowLastColumn="0" w:lastRowFirstColumn="0" w:lastRowLastColumn="0"/>
            <w:tcW w:w="1954" w:type="pct"/>
            <w:noWrap/>
          </w:tcPr>
          <w:p w14:paraId="4553A92F" w14:textId="77777777" w:rsidR="00135C0D" w:rsidRPr="0029055C" w:rsidRDefault="00135C0D" w:rsidP="00351B2D">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T4605.  </w:t>
            </w:r>
            <w:r w:rsidRPr="0029055C">
              <w:rPr>
                <w:rFonts w:asciiTheme="minorHAnsi" w:hAnsiTheme="minorHAnsi" w:cstheme="minorHAnsi"/>
                <w:b w:val="0"/>
                <w:sz w:val="18"/>
                <w:szCs w:val="20"/>
              </w:rPr>
              <w:t>Αριθμός επιτελικών λειτουργιών της Δημόσιας Διοίκησης που ενισχύονται</w:t>
            </w:r>
          </w:p>
        </w:tc>
        <w:tc>
          <w:tcPr>
            <w:tcW w:w="609" w:type="pct"/>
            <w:vAlign w:val="center"/>
          </w:tcPr>
          <w:p w14:paraId="358E426C"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2</w:t>
            </w:r>
          </w:p>
        </w:tc>
        <w:tc>
          <w:tcPr>
            <w:tcW w:w="609" w:type="pct"/>
            <w:noWrap/>
            <w:vAlign w:val="center"/>
          </w:tcPr>
          <w:p w14:paraId="2D96F49D"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8</w:t>
            </w:r>
          </w:p>
        </w:tc>
        <w:tc>
          <w:tcPr>
            <w:tcW w:w="609" w:type="pct"/>
            <w:noWrap/>
            <w:vAlign w:val="center"/>
          </w:tcPr>
          <w:p w14:paraId="1332FA8A" w14:textId="77777777" w:rsidR="00135C0D" w:rsidRPr="0029055C" w:rsidRDefault="00513FC6"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3</w:t>
            </w:r>
          </w:p>
        </w:tc>
        <w:tc>
          <w:tcPr>
            <w:tcW w:w="609" w:type="pct"/>
            <w:vAlign w:val="center"/>
          </w:tcPr>
          <w:p w14:paraId="25C228E5"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609" w:type="pct"/>
            <w:vAlign w:val="center"/>
          </w:tcPr>
          <w:p w14:paraId="24A7ABD7" w14:textId="77777777" w:rsidR="00135C0D" w:rsidRPr="0029055C" w:rsidRDefault="00513FC6"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6</w:t>
            </w:r>
          </w:p>
        </w:tc>
      </w:tr>
      <w:tr w:rsidR="00135C0D" w:rsidRPr="0029055C" w14:paraId="0D82EFDE" w14:textId="77777777" w:rsidTr="00B44C7E">
        <w:tc>
          <w:tcPr>
            <w:cnfStyle w:val="001000000000" w:firstRow="0" w:lastRow="0" w:firstColumn="1" w:lastColumn="0" w:oddVBand="0" w:evenVBand="0" w:oddHBand="0" w:evenHBand="0" w:firstRowFirstColumn="0" w:firstRowLastColumn="0" w:lastRowFirstColumn="0" w:lastRowLastColumn="0"/>
            <w:tcW w:w="1954" w:type="pct"/>
            <w:noWrap/>
          </w:tcPr>
          <w:p w14:paraId="4D3D50A7" w14:textId="77777777" w:rsidR="00135C0D" w:rsidRPr="0029055C" w:rsidRDefault="00135C0D" w:rsidP="00351B2D">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T4606. </w:t>
            </w:r>
            <w:r w:rsidRPr="0029055C">
              <w:rPr>
                <w:rFonts w:asciiTheme="minorHAnsi" w:hAnsiTheme="minorHAnsi" w:cstheme="minorHAnsi"/>
                <w:b w:val="0"/>
                <w:sz w:val="18"/>
                <w:szCs w:val="20"/>
              </w:rPr>
              <w:t>Αριθμός λειτουργικών περιοχών στις οποίες εφαρμόζεται επαναοριοθέτηση αρμοδιοτήτων μεταξύ των τεσσάρων επιπέδων διοίκησης</w:t>
            </w:r>
            <w:r w:rsidRPr="0029055C">
              <w:rPr>
                <w:rFonts w:asciiTheme="minorHAnsi" w:hAnsiTheme="minorHAnsi" w:cstheme="minorHAnsi"/>
                <w:sz w:val="18"/>
                <w:szCs w:val="20"/>
              </w:rPr>
              <w:t xml:space="preserve"> </w:t>
            </w:r>
          </w:p>
        </w:tc>
        <w:tc>
          <w:tcPr>
            <w:tcW w:w="609" w:type="pct"/>
            <w:vAlign w:val="center"/>
          </w:tcPr>
          <w:p w14:paraId="444BE74A"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3</w:t>
            </w:r>
          </w:p>
        </w:tc>
        <w:tc>
          <w:tcPr>
            <w:tcW w:w="609" w:type="pct"/>
            <w:noWrap/>
            <w:vAlign w:val="center"/>
          </w:tcPr>
          <w:p w14:paraId="2EF4ECCF"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7</w:t>
            </w:r>
          </w:p>
        </w:tc>
        <w:tc>
          <w:tcPr>
            <w:tcW w:w="609" w:type="pct"/>
            <w:noWrap/>
            <w:vAlign w:val="center"/>
          </w:tcPr>
          <w:p w14:paraId="052D7C66" w14:textId="77777777" w:rsidR="00135C0D" w:rsidRPr="0029055C" w:rsidRDefault="00513FC6"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609" w:type="pct"/>
            <w:vAlign w:val="center"/>
          </w:tcPr>
          <w:p w14:paraId="3D09F533"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609" w:type="pct"/>
            <w:vAlign w:val="center"/>
          </w:tcPr>
          <w:p w14:paraId="42107C72" w14:textId="77777777" w:rsidR="00135C0D" w:rsidRPr="0029055C" w:rsidRDefault="00513FC6"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7</w:t>
            </w:r>
          </w:p>
        </w:tc>
      </w:tr>
      <w:tr w:rsidR="00135C0D" w:rsidRPr="0029055C" w14:paraId="600A03CB" w14:textId="77777777" w:rsidTr="00B44C7E">
        <w:tc>
          <w:tcPr>
            <w:cnfStyle w:val="001000000000" w:firstRow="0" w:lastRow="0" w:firstColumn="1" w:lastColumn="0" w:oddVBand="0" w:evenVBand="0" w:oddHBand="0" w:evenHBand="0" w:firstRowFirstColumn="0" w:firstRowLastColumn="0" w:lastRowFirstColumn="0" w:lastRowLastColumn="0"/>
            <w:tcW w:w="1954" w:type="pct"/>
            <w:noWrap/>
          </w:tcPr>
          <w:p w14:paraId="7338D1F1" w14:textId="77777777" w:rsidR="00135C0D" w:rsidRPr="0029055C" w:rsidRDefault="00135C0D" w:rsidP="00351B2D">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T4607. </w:t>
            </w:r>
            <w:r w:rsidRPr="0029055C">
              <w:rPr>
                <w:rFonts w:asciiTheme="minorHAnsi" w:hAnsiTheme="minorHAnsi" w:cstheme="minorHAnsi"/>
                <w:b w:val="0"/>
                <w:sz w:val="18"/>
                <w:szCs w:val="20"/>
              </w:rPr>
              <w:t>Αριθμός φορέων του δημόσιου τομέα που εφαρμόζουν απλοποιημένες εσωτερικές διαδικασίες</w:t>
            </w:r>
          </w:p>
        </w:tc>
        <w:tc>
          <w:tcPr>
            <w:tcW w:w="609" w:type="pct"/>
            <w:vAlign w:val="center"/>
          </w:tcPr>
          <w:p w14:paraId="65DAF087"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3</w:t>
            </w:r>
          </w:p>
        </w:tc>
        <w:tc>
          <w:tcPr>
            <w:tcW w:w="609" w:type="pct"/>
            <w:noWrap/>
            <w:vAlign w:val="center"/>
          </w:tcPr>
          <w:p w14:paraId="1B4A4D20"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363</w:t>
            </w:r>
          </w:p>
        </w:tc>
        <w:tc>
          <w:tcPr>
            <w:tcW w:w="609" w:type="pct"/>
            <w:noWrap/>
            <w:vAlign w:val="center"/>
          </w:tcPr>
          <w:p w14:paraId="0C7D958D" w14:textId="77777777" w:rsidR="00135C0D" w:rsidRPr="0029055C" w:rsidRDefault="00513FC6"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25</w:t>
            </w:r>
          </w:p>
        </w:tc>
        <w:tc>
          <w:tcPr>
            <w:tcW w:w="609" w:type="pct"/>
            <w:vAlign w:val="center"/>
          </w:tcPr>
          <w:p w14:paraId="48DEFC4B"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w:t>
            </w:r>
          </w:p>
        </w:tc>
        <w:tc>
          <w:tcPr>
            <w:tcW w:w="609" w:type="pct"/>
            <w:vAlign w:val="center"/>
          </w:tcPr>
          <w:p w14:paraId="2D819A52" w14:textId="77777777" w:rsidR="00135C0D" w:rsidRPr="0029055C" w:rsidRDefault="00513FC6"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356</w:t>
            </w:r>
          </w:p>
        </w:tc>
      </w:tr>
      <w:tr w:rsidR="00135C0D" w:rsidRPr="0029055C" w14:paraId="7CB06633" w14:textId="77777777" w:rsidTr="00513FC6">
        <w:tc>
          <w:tcPr>
            <w:cnfStyle w:val="001000000000" w:firstRow="0" w:lastRow="0" w:firstColumn="1" w:lastColumn="0" w:oddVBand="0" w:evenVBand="0" w:oddHBand="0" w:evenHBand="0" w:firstRowFirstColumn="0" w:firstRowLastColumn="0" w:lastRowFirstColumn="0" w:lastRowLastColumn="0"/>
            <w:tcW w:w="1954" w:type="pct"/>
            <w:noWrap/>
            <w:vAlign w:val="center"/>
          </w:tcPr>
          <w:p w14:paraId="7B4071F0" w14:textId="77777777" w:rsidR="00135C0D" w:rsidRPr="0029055C" w:rsidRDefault="00135C0D" w:rsidP="00513FC6">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T4608.  </w:t>
            </w:r>
            <w:r w:rsidRPr="0029055C">
              <w:rPr>
                <w:rFonts w:asciiTheme="minorHAnsi" w:hAnsiTheme="minorHAnsi" w:cstheme="minorHAnsi"/>
                <w:b w:val="0"/>
                <w:sz w:val="18"/>
                <w:szCs w:val="20"/>
              </w:rPr>
              <w:t>Αριθμός τομέων στους οποίους εφαρμόζεται απλοποίηση διαδικασιών και προτυποποίηση υπηρεσιών προς τους πολίτες</w:t>
            </w:r>
          </w:p>
        </w:tc>
        <w:tc>
          <w:tcPr>
            <w:tcW w:w="609" w:type="pct"/>
            <w:vAlign w:val="center"/>
          </w:tcPr>
          <w:p w14:paraId="725FF34E"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10</w:t>
            </w:r>
          </w:p>
        </w:tc>
        <w:tc>
          <w:tcPr>
            <w:tcW w:w="609" w:type="pct"/>
            <w:noWrap/>
            <w:vAlign w:val="center"/>
          </w:tcPr>
          <w:p w14:paraId="6605DF8F"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18</w:t>
            </w:r>
          </w:p>
        </w:tc>
        <w:tc>
          <w:tcPr>
            <w:tcW w:w="609" w:type="pct"/>
            <w:noWrap/>
            <w:vAlign w:val="center"/>
          </w:tcPr>
          <w:p w14:paraId="0A5E6444"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p>
        </w:tc>
        <w:tc>
          <w:tcPr>
            <w:tcW w:w="609" w:type="pct"/>
            <w:vAlign w:val="center"/>
          </w:tcPr>
          <w:p w14:paraId="62394D15"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4</w:t>
            </w:r>
          </w:p>
          <w:p w14:paraId="4B4F0A4D" w14:textId="77777777" w:rsidR="00513FC6" w:rsidRPr="0029055C" w:rsidRDefault="00513FC6" w:rsidP="00513FC6">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i/>
                <w:sz w:val="18"/>
                <w:szCs w:val="20"/>
              </w:rPr>
              <w:t>(σωρευτική τιμή επίτευξης 14)</w:t>
            </w:r>
          </w:p>
        </w:tc>
        <w:tc>
          <w:tcPr>
            <w:tcW w:w="609" w:type="pct"/>
            <w:vAlign w:val="center"/>
          </w:tcPr>
          <w:p w14:paraId="324B067D" w14:textId="77777777" w:rsidR="00513FC6" w:rsidRPr="0029055C" w:rsidRDefault="00513FC6" w:rsidP="00513FC6">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8</w:t>
            </w:r>
          </w:p>
          <w:p w14:paraId="0344AD13" w14:textId="77777777" w:rsidR="00135C0D" w:rsidRPr="0029055C" w:rsidRDefault="00513FC6" w:rsidP="00513FC6">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i/>
                <w:sz w:val="18"/>
                <w:szCs w:val="20"/>
              </w:rPr>
              <w:t>(σωρευτική τιμή επίτευξης 18)</w:t>
            </w:r>
          </w:p>
        </w:tc>
      </w:tr>
      <w:tr w:rsidR="00135C0D" w:rsidRPr="0029055C" w14:paraId="498017DE" w14:textId="77777777" w:rsidTr="00B44C7E">
        <w:tc>
          <w:tcPr>
            <w:cnfStyle w:val="001000000000" w:firstRow="0" w:lastRow="0" w:firstColumn="1" w:lastColumn="0" w:oddVBand="0" w:evenVBand="0" w:oddHBand="0" w:evenHBand="0" w:firstRowFirstColumn="0" w:firstRowLastColumn="0" w:lastRowFirstColumn="0" w:lastRowLastColumn="0"/>
            <w:tcW w:w="1954" w:type="pct"/>
            <w:noWrap/>
          </w:tcPr>
          <w:p w14:paraId="164DAA7E" w14:textId="77777777" w:rsidR="00135C0D" w:rsidRPr="0029055C" w:rsidRDefault="00135C0D" w:rsidP="00351B2D">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T4609. </w:t>
            </w:r>
            <w:r w:rsidRPr="0029055C">
              <w:rPr>
                <w:rFonts w:asciiTheme="minorHAnsi" w:hAnsiTheme="minorHAnsi" w:cstheme="minorHAnsi"/>
                <w:b w:val="0"/>
                <w:sz w:val="18"/>
                <w:szCs w:val="20"/>
              </w:rPr>
              <w:t>Αριθμός φορέων που εφαρμόζουν συστήματα στοχοθεσίας και αξιολόγησης</w:t>
            </w:r>
          </w:p>
        </w:tc>
        <w:tc>
          <w:tcPr>
            <w:tcW w:w="609" w:type="pct"/>
            <w:vAlign w:val="center"/>
          </w:tcPr>
          <w:p w14:paraId="3C9266D6"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6</w:t>
            </w:r>
          </w:p>
        </w:tc>
        <w:tc>
          <w:tcPr>
            <w:tcW w:w="609" w:type="pct"/>
            <w:noWrap/>
            <w:vAlign w:val="center"/>
          </w:tcPr>
          <w:p w14:paraId="577FE905"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25</w:t>
            </w:r>
          </w:p>
        </w:tc>
        <w:tc>
          <w:tcPr>
            <w:tcW w:w="609" w:type="pct"/>
            <w:noWrap/>
            <w:vAlign w:val="center"/>
          </w:tcPr>
          <w:p w14:paraId="611B5761" w14:textId="77777777" w:rsidR="00135C0D" w:rsidRPr="0029055C" w:rsidRDefault="00777039"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8</w:t>
            </w:r>
          </w:p>
        </w:tc>
        <w:tc>
          <w:tcPr>
            <w:tcW w:w="609" w:type="pct"/>
            <w:vAlign w:val="center"/>
          </w:tcPr>
          <w:p w14:paraId="70F41A06"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609" w:type="pct"/>
            <w:vAlign w:val="center"/>
          </w:tcPr>
          <w:p w14:paraId="5F9746B3" w14:textId="77777777" w:rsidR="00135C0D" w:rsidRPr="0029055C" w:rsidRDefault="00777039"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25</w:t>
            </w:r>
          </w:p>
        </w:tc>
      </w:tr>
      <w:tr w:rsidR="00135C0D" w:rsidRPr="0029055C" w14:paraId="2C49DEB2" w14:textId="77777777" w:rsidTr="00B44C7E">
        <w:tc>
          <w:tcPr>
            <w:cnfStyle w:val="001000000000" w:firstRow="0" w:lastRow="0" w:firstColumn="1" w:lastColumn="0" w:oddVBand="0" w:evenVBand="0" w:oddHBand="0" w:evenHBand="0" w:firstRowFirstColumn="0" w:firstRowLastColumn="0" w:lastRowFirstColumn="0" w:lastRowLastColumn="0"/>
            <w:tcW w:w="1954" w:type="pct"/>
            <w:noWrap/>
          </w:tcPr>
          <w:p w14:paraId="52208D7E" w14:textId="77777777" w:rsidR="00135C0D" w:rsidRPr="0029055C" w:rsidRDefault="00135C0D" w:rsidP="00351B2D">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T4610. </w:t>
            </w:r>
            <w:r w:rsidRPr="0029055C">
              <w:rPr>
                <w:rFonts w:asciiTheme="minorHAnsi" w:hAnsiTheme="minorHAnsi" w:cstheme="minorHAnsi"/>
                <w:b w:val="0"/>
                <w:sz w:val="18"/>
                <w:szCs w:val="20"/>
              </w:rPr>
              <w:t>Αριθμός φορέων του δημόσιου τομέα που εφαρμόζουν συστήματα εσωτερικού ελέγχου</w:t>
            </w:r>
          </w:p>
        </w:tc>
        <w:tc>
          <w:tcPr>
            <w:tcW w:w="609" w:type="pct"/>
            <w:vAlign w:val="center"/>
          </w:tcPr>
          <w:p w14:paraId="45E0FF8D"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1</w:t>
            </w:r>
          </w:p>
        </w:tc>
        <w:tc>
          <w:tcPr>
            <w:tcW w:w="609" w:type="pct"/>
            <w:noWrap/>
            <w:vAlign w:val="center"/>
          </w:tcPr>
          <w:p w14:paraId="63B8A9D3"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26</w:t>
            </w:r>
          </w:p>
        </w:tc>
        <w:tc>
          <w:tcPr>
            <w:tcW w:w="609" w:type="pct"/>
            <w:noWrap/>
            <w:vAlign w:val="center"/>
          </w:tcPr>
          <w:p w14:paraId="3E57E92E" w14:textId="77777777" w:rsidR="00135C0D" w:rsidRPr="0029055C" w:rsidRDefault="00B0566B"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609" w:type="pct"/>
            <w:vAlign w:val="center"/>
          </w:tcPr>
          <w:p w14:paraId="4D996845"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609" w:type="pct"/>
            <w:vAlign w:val="center"/>
          </w:tcPr>
          <w:p w14:paraId="114201C0" w14:textId="77777777" w:rsidR="00135C0D" w:rsidRPr="0029055C" w:rsidRDefault="00B0566B"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r>
      <w:tr w:rsidR="00135C0D" w:rsidRPr="0029055C" w14:paraId="4E05FA79" w14:textId="77777777" w:rsidTr="00B44C7E">
        <w:tc>
          <w:tcPr>
            <w:cnfStyle w:val="001000000000" w:firstRow="0" w:lastRow="0" w:firstColumn="1" w:lastColumn="0" w:oddVBand="0" w:evenVBand="0" w:oddHBand="0" w:evenHBand="0" w:firstRowFirstColumn="0" w:firstRowLastColumn="0" w:lastRowFirstColumn="0" w:lastRowLastColumn="0"/>
            <w:tcW w:w="1954" w:type="pct"/>
            <w:noWrap/>
          </w:tcPr>
          <w:p w14:paraId="28F11221" w14:textId="77777777" w:rsidR="00135C0D" w:rsidRPr="0029055C" w:rsidRDefault="00135C0D" w:rsidP="00351B2D">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T4611. </w:t>
            </w:r>
            <w:r w:rsidRPr="0029055C">
              <w:rPr>
                <w:rFonts w:asciiTheme="minorHAnsi" w:hAnsiTheme="minorHAnsi" w:cstheme="minorHAnsi"/>
                <w:b w:val="0"/>
                <w:sz w:val="18"/>
                <w:szCs w:val="20"/>
              </w:rPr>
              <w:t>Αριθμός ελεγκτικών φορέων στους οποίους εφαρμόζονται δράσεις αναβάθμισης της λειτουργίας τους</w:t>
            </w:r>
          </w:p>
        </w:tc>
        <w:tc>
          <w:tcPr>
            <w:tcW w:w="609" w:type="pct"/>
            <w:vAlign w:val="center"/>
          </w:tcPr>
          <w:p w14:paraId="4351500F"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1</w:t>
            </w:r>
          </w:p>
        </w:tc>
        <w:tc>
          <w:tcPr>
            <w:tcW w:w="609" w:type="pct"/>
            <w:noWrap/>
            <w:vAlign w:val="center"/>
          </w:tcPr>
          <w:p w14:paraId="217921A6"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9</w:t>
            </w:r>
          </w:p>
        </w:tc>
        <w:tc>
          <w:tcPr>
            <w:tcW w:w="609" w:type="pct"/>
            <w:noWrap/>
            <w:vAlign w:val="center"/>
          </w:tcPr>
          <w:p w14:paraId="3F0C9ABF" w14:textId="77777777" w:rsidR="00135C0D" w:rsidRPr="0029055C" w:rsidRDefault="00777039"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w:t>
            </w:r>
          </w:p>
        </w:tc>
        <w:tc>
          <w:tcPr>
            <w:tcW w:w="609" w:type="pct"/>
            <w:vAlign w:val="center"/>
          </w:tcPr>
          <w:p w14:paraId="61996920" w14:textId="77777777" w:rsidR="00135C0D" w:rsidRPr="0029055C" w:rsidRDefault="00135C0D" w:rsidP="00135C0D">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609" w:type="pct"/>
            <w:vAlign w:val="center"/>
          </w:tcPr>
          <w:p w14:paraId="5562E55D" w14:textId="77777777" w:rsidR="00135C0D" w:rsidRPr="0029055C" w:rsidRDefault="00135C0D" w:rsidP="000B4A14">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p>
        </w:tc>
      </w:tr>
    </w:tbl>
    <w:p w14:paraId="5666DE0E" w14:textId="77777777" w:rsidR="00135C0D" w:rsidRPr="0029055C" w:rsidRDefault="00135C0D" w:rsidP="00135C0D">
      <w:pPr>
        <w:rPr>
          <w:rFonts w:cstheme="minorHAnsi"/>
          <w:sz w:val="22"/>
          <w:szCs w:val="22"/>
        </w:rPr>
      </w:pPr>
      <w:r w:rsidRPr="0029055C">
        <w:rPr>
          <w:rFonts w:cstheme="minorHAnsi"/>
          <w:sz w:val="22"/>
          <w:szCs w:val="22"/>
        </w:rPr>
        <w:t xml:space="preserve">Με βάση τα στοιχεία του ανωτέρω Πίνακα, η πρόοδος υλοποίησης των δεικτών αποτελέσματος του Θεματικού Άξονα </w:t>
      </w:r>
      <w:r w:rsidR="001B3747" w:rsidRPr="0029055C">
        <w:rPr>
          <w:rFonts w:cstheme="minorHAnsi"/>
          <w:sz w:val="22"/>
          <w:szCs w:val="22"/>
        </w:rPr>
        <w:t>Ι</w:t>
      </w:r>
      <w:r w:rsidRPr="0029055C">
        <w:rPr>
          <w:rFonts w:cstheme="minorHAnsi"/>
          <w:sz w:val="22"/>
          <w:szCs w:val="22"/>
        </w:rPr>
        <w:t xml:space="preserve"> έχει ως εξής:</w:t>
      </w:r>
    </w:p>
    <w:p w14:paraId="4361A0B8" w14:textId="77777777" w:rsidR="00253DF2" w:rsidRPr="0029055C" w:rsidRDefault="00253DF2" w:rsidP="00253DF2">
      <w:pPr>
        <w:pStyle w:val="ListParagraph"/>
        <w:numPr>
          <w:ilvl w:val="0"/>
          <w:numId w:val="17"/>
        </w:numPr>
        <w:spacing w:line="280" w:lineRule="atLeast"/>
        <w:contextualSpacing w:val="0"/>
        <w:rPr>
          <w:rFonts w:cstheme="minorHAnsi"/>
          <w:b/>
          <w:sz w:val="22"/>
          <w:szCs w:val="22"/>
        </w:rPr>
      </w:pPr>
      <w:r w:rsidRPr="0029055C">
        <w:rPr>
          <w:rFonts w:cstheme="minorHAnsi"/>
          <w:b/>
          <w:color w:val="31849B" w:themeColor="accent5" w:themeShade="BF"/>
          <w:sz w:val="22"/>
          <w:szCs w:val="22"/>
        </w:rPr>
        <w:t xml:space="preserve">T4604: </w:t>
      </w:r>
      <w:r w:rsidRPr="0029055C">
        <w:rPr>
          <w:rFonts w:cstheme="minorHAnsi"/>
          <w:color w:val="31849B" w:themeColor="accent5" w:themeShade="BF"/>
          <w:sz w:val="22"/>
          <w:szCs w:val="22"/>
        </w:rPr>
        <w:t xml:space="preserve">Αριθμός τομέων δημόσιας πολιτικής στους οποίους εφαρμόστηκε κωδικοποίηση του ρυθμιστικού περιβάλλοντος, η οποία διατίθεται από το διαδίκτυο. </w:t>
      </w:r>
      <w:r w:rsidRPr="0029055C">
        <w:rPr>
          <w:rFonts w:cstheme="minorHAnsi"/>
          <w:sz w:val="22"/>
          <w:szCs w:val="22"/>
        </w:rPr>
        <w:t xml:space="preserve">Ο δείκτης αποτελέσματος Τ4604 τροφοδοτείται από τον δείκτη εκροής </w:t>
      </w:r>
      <w:r w:rsidRPr="0029055C">
        <w:rPr>
          <w:rFonts w:cstheme="minorHAnsi"/>
          <w:i/>
          <w:sz w:val="22"/>
          <w:szCs w:val="22"/>
        </w:rPr>
        <w:t>Τ4618 «Αριθμός έργων κωδικοποίησης θεσμικού και νομοθετικού πλαισίου»</w:t>
      </w:r>
      <w:r w:rsidRPr="0029055C">
        <w:rPr>
          <w:rFonts w:cstheme="minorHAnsi"/>
          <w:sz w:val="22"/>
          <w:szCs w:val="22"/>
        </w:rPr>
        <w:t xml:space="preserve">. </w:t>
      </w:r>
      <w:r w:rsidR="00E4753E" w:rsidRPr="0029055C">
        <w:rPr>
          <w:rFonts w:cstheme="minorHAnsi"/>
          <w:sz w:val="22"/>
          <w:szCs w:val="22"/>
        </w:rPr>
        <w:t>Ο δείκτης έχει τιμή στόχο 7 και η</w:t>
      </w:r>
      <w:r w:rsidRPr="0029055C">
        <w:rPr>
          <w:rFonts w:cstheme="minorHAnsi"/>
          <w:sz w:val="22"/>
          <w:szCs w:val="22"/>
        </w:rPr>
        <w:t xml:space="preserve"> μέχρι τέλος του 2017 τιμή υλοποίησης του δείκτη ανέρχεται σε 2 </w:t>
      </w:r>
      <w:r w:rsidR="00777846" w:rsidRPr="0029055C">
        <w:rPr>
          <w:rFonts w:cstheme="minorHAnsi"/>
          <w:sz w:val="22"/>
          <w:szCs w:val="22"/>
        </w:rPr>
        <w:t>(επίτευξη του στόχου σε ποσοστό 28,6%)</w:t>
      </w:r>
      <w:r w:rsidR="00E4753E" w:rsidRPr="0029055C">
        <w:rPr>
          <w:rFonts w:cstheme="minorHAnsi"/>
          <w:sz w:val="22"/>
          <w:szCs w:val="22"/>
        </w:rPr>
        <w:t>, η οποία</w:t>
      </w:r>
      <w:r w:rsidRPr="0029055C">
        <w:rPr>
          <w:rFonts w:cstheme="minorHAnsi"/>
          <w:sz w:val="22"/>
          <w:szCs w:val="22"/>
        </w:rPr>
        <w:t xml:space="preserve"> προκύπτει από την κωδικοποίηση της δασικής και της τουριστικής νομοθεσίας. Ο δείκτης εκτιμάται ότι θα επιτευχθεί έως το τέλος της ΠΠ.</w:t>
      </w:r>
    </w:p>
    <w:p w14:paraId="135F8053" w14:textId="77777777" w:rsidR="00253DF2" w:rsidRPr="0029055C" w:rsidRDefault="00253DF2" w:rsidP="00BF3CAB">
      <w:pPr>
        <w:pStyle w:val="ListParagraph"/>
        <w:numPr>
          <w:ilvl w:val="0"/>
          <w:numId w:val="17"/>
        </w:numPr>
        <w:spacing w:line="280" w:lineRule="atLeast"/>
        <w:contextualSpacing w:val="0"/>
        <w:rPr>
          <w:rFonts w:cstheme="minorHAnsi"/>
          <w:color w:val="31849B" w:themeColor="accent5" w:themeShade="BF"/>
          <w:sz w:val="22"/>
          <w:szCs w:val="22"/>
        </w:rPr>
      </w:pPr>
      <w:r w:rsidRPr="0029055C">
        <w:rPr>
          <w:rFonts w:cstheme="minorHAnsi"/>
          <w:b/>
          <w:color w:val="31849B" w:themeColor="accent5" w:themeShade="BF"/>
          <w:sz w:val="22"/>
          <w:szCs w:val="22"/>
        </w:rPr>
        <w:lastRenderedPageBreak/>
        <w:t>T4605:</w:t>
      </w:r>
      <w:r w:rsidRPr="0029055C">
        <w:rPr>
          <w:rFonts w:cstheme="minorHAnsi"/>
          <w:b/>
          <w:color w:val="31849B" w:themeColor="accent5" w:themeShade="BF"/>
          <w:sz w:val="22"/>
          <w:szCs w:val="22"/>
        </w:rPr>
        <w:tab/>
      </w:r>
      <w:r w:rsidRPr="0029055C">
        <w:rPr>
          <w:rFonts w:cstheme="minorHAnsi"/>
          <w:color w:val="31849B" w:themeColor="accent5" w:themeShade="BF"/>
          <w:sz w:val="22"/>
          <w:szCs w:val="22"/>
        </w:rPr>
        <w:t xml:space="preserve">Αριθμός επιτελικών λειτουργιών της Δημόσιας Διοίκησης που ενισχύονται. </w:t>
      </w:r>
      <w:r w:rsidRPr="0029055C">
        <w:rPr>
          <w:rFonts w:cstheme="minorHAnsi"/>
          <w:sz w:val="22"/>
          <w:szCs w:val="22"/>
        </w:rPr>
        <w:t xml:space="preserve">Ο δείκτης αποτελέσματος Τ4605 τροφοδοτείται από τους δείκτες εκροής </w:t>
      </w:r>
      <w:r w:rsidRPr="0029055C">
        <w:rPr>
          <w:rFonts w:cstheme="minorHAnsi"/>
          <w:i/>
          <w:sz w:val="22"/>
          <w:szCs w:val="22"/>
        </w:rPr>
        <w:t xml:space="preserve">Τ4616 </w:t>
      </w:r>
      <w:r w:rsidR="00BF3CAB" w:rsidRPr="0029055C">
        <w:rPr>
          <w:rFonts w:cstheme="minorHAnsi"/>
          <w:i/>
          <w:sz w:val="22"/>
          <w:szCs w:val="22"/>
        </w:rPr>
        <w:t>«Αριθμός έργων ενίσχυσης επιτελικών λειτουργιών της Δημόσιας Διοίκησης, περιλαμβανομένων μηχανισμών και συστημάτων παρακολούθησης εφαρμογής δημόσιων πολιτικών»</w:t>
      </w:r>
      <w:r w:rsidR="00BF3CAB" w:rsidRPr="0029055C">
        <w:rPr>
          <w:rFonts w:cstheme="minorHAnsi"/>
          <w:sz w:val="22"/>
          <w:szCs w:val="22"/>
        </w:rPr>
        <w:t xml:space="preserve"> και </w:t>
      </w:r>
      <w:r w:rsidR="00BF3CAB" w:rsidRPr="0029055C">
        <w:rPr>
          <w:rFonts w:cstheme="minorHAnsi"/>
          <w:i/>
          <w:sz w:val="22"/>
          <w:szCs w:val="22"/>
        </w:rPr>
        <w:t>Τ4617 «Αριθμός έργων δημιουργίας Παρατηρητηρίου για την Περιφερειακή διοίκηση και την Τοπική Αυτοδιοίκηση»</w:t>
      </w:r>
      <w:r w:rsidRPr="0029055C">
        <w:rPr>
          <w:rFonts w:cstheme="minorHAnsi"/>
          <w:sz w:val="22"/>
          <w:szCs w:val="22"/>
        </w:rPr>
        <w:t>. Ο δείκτης παρουσιάζει μηδενική υλοποίηση</w:t>
      </w:r>
      <w:r w:rsidR="0009299C" w:rsidRPr="0029055C">
        <w:rPr>
          <w:rFonts w:cstheme="minorHAnsi"/>
          <w:sz w:val="22"/>
          <w:szCs w:val="22"/>
        </w:rPr>
        <w:t xml:space="preserve">, αλλά </w:t>
      </w:r>
      <w:r w:rsidR="00777846" w:rsidRPr="0029055C">
        <w:rPr>
          <w:rFonts w:cstheme="minorHAnsi"/>
          <w:sz w:val="22"/>
          <w:szCs w:val="22"/>
        </w:rPr>
        <w:t>εκτιμάται ότι θα επιτευχθεί έως το τέλος της ΠΠ. Προτείνεται η μείωση της τιμής στόχου του δείκτη από 8 σε 6</w:t>
      </w:r>
      <w:r w:rsidR="0009299C" w:rsidRPr="0029055C">
        <w:rPr>
          <w:rFonts w:cstheme="minorHAnsi"/>
          <w:sz w:val="22"/>
          <w:szCs w:val="22"/>
        </w:rPr>
        <w:t>, λαμβάνοντας υπόψη ότι η τιμή βάσης δεν συμπεριλαμβάνεται στην τιμή στόχου</w:t>
      </w:r>
      <w:r w:rsidR="00777846" w:rsidRPr="0029055C">
        <w:rPr>
          <w:rFonts w:cstheme="minorHAnsi"/>
          <w:sz w:val="22"/>
          <w:szCs w:val="22"/>
        </w:rPr>
        <w:t xml:space="preserve">. </w:t>
      </w:r>
    </w:p>
    <w:p w14:paraId="51CA9C96" w14:textId="77777777" w:rsidR="0009299C" w:rsidRPr="0029055C" w:rsidRDefault="0009299C" w:rsidP="00BF3CAB">
      <w:pPr>
        <w:pStyle w:val="ListParagraph"/>
        <w:numPr>
          <w:ilvl w:val="0"/>
          <w:numId w:val="17"/>
        </w:numPr>
        <w:spacing w:line="280" w:lineRule="atLeast"/>
        <w:contextualSpacing w:val="0"/>
        <w:rPr>
          <w:rFonts w:cstheme="minorHAnsi"/>
          <w:b/>
          <w:color w:val="31849B" w:themeColor="accent5" w:themeShade="BF"/>
          <w:sz w:val="22"/>
          <w:szCs w:val="22"/>
        </w:rPr>
      </w:pPr>
      <w:r w:rsidRPr="0029055C">
        <w:rPr>
          <w:rFonts w:cstheme="minorHAnsi"/>
          <w:b/>
          <w:color w:val="31849B" w:themeColor="accent5" w:themeShade="BF"/>
          <w:sz w:val="22"/>
          <w:szCs w:val="22"/>
        </w:rPr>
        <w:t xml:space="preserve">Τ4606: </w:t>
      </w:r>
      <w:r w:rsidRPr="0029055C">
        <w:rPr>
          <w:rFonts w:cstheme="minorHAnsi"/>
          <w:color w:val="31849B" w:themeColor="accent5" w:themeShade="BF"/>
          <w:sz w:val="22"/>
          <w:szCs w:val="22"/>
        </w:rPr>
        <w:t xml:space="preserve">Αριθμός λειτουργικών περιοχών στις οποίες εφαρμόζεται επαναοριοθέτηση αρμοδιοτήτων μεταξύ των τεσσάρων επιπέδων διοίκησης. </w:t>
      </w:r>
      <w:r w:rsidRPr="0029055C">
        <w:rPr>
          <w:rFonts w:cstheme="minorHAnsi"/>
          <w:sz w:val="22"/>
          <w:szCs w:val="22"/>
        </w:rPr>
        <w:t xml:space="preserve">Ο δείκτης αποτελέσματος Τ4606 τροφοδοτείται από τον δείκτη εκροής </w:t>
      </w:r>
      <w:r w:rsidRPr="0029055C">
        <w:rPr>
          <w:rFonts w:cstheme="minorHAnsi"/>
          <w:i/>
          <w:sz w:val="22"/>
          <w:szCs w:val="22"/>
        </w:rPr>
        <w:t xml:space="preserve">Τ4615 </w:t>
      </w:r>
      <w:r w:rsidR="00BF3CAB" w:rsidRPr="0029055C">
        <w:rPr>
          <w:rFonts w:cstheme="minorHAnsi"/>
          <w:i/>
          <w:sz w:val="22"/>
          <w:szCs w:val="22"/>
        </w:rPr>
        <w:t>«Αριθμός έργων επαναοριοθέτησης αρμοδιοτήτων των τεσσάρων επιπέδων διοίκησης»</w:t>
      </w:r>
      <w:r w:rsidRPr="0029055C">
        <w:rPr>
          <w:rFonts w:cstheme="minorHAnsi"/>
          <w:sz w:val="22"/>
          <w:szCs w:val="22"/>
        </w:rPr>
        <w:t xml:space="preserve">. Ο δείκτης παρουσιάζει μηδενική υλοποίηση, αλλά εκτιμάται ότι θα επιτευχθεί έως το τέλος της ΠΠ. </w:t>
      </w:r>
    </w:p>
    <w:p w14:paraId="64E5F551" w14:textId="77777777" w:rsidR="0009299C" w:rsidRPr="0029055C" w:rsidRDefault="0009299C" w:rsidP="00BF3CAB">
      <w:pPr>
        <w:pStyle w:val="ListParagraph"/>
        <w:numPr>
          <w:ilvl w:val="0"/>
          <w:numId w:val="17"/>
        </w:numPr>
        <w:spacing w:line="280" w:lineRule="atLeast"/>
        <w:contextualSpacing w:val="0"/>
        <w:rPr>
          <w:rFonts w:cstheme="minorHAnsi"/>
          <w:color w:val="31849B" w:themeColor="accent5" w:themeShade="BF"/>
          <w:sz w:val="22"/>
          <w:szCs w:val="22"/>
        </w:rPr>
      </w:pPr>
      <w:r w:rsidRPr="0029055C">
        <w:rPr>
          <w:rFonts w:cstheme="minorHAnsi"/>
          <w:b/>
          <w:color w:val="31849B" w:themeColor="accent5" w:themeShade="BF"/>
          <w:sz w:val="22"/>
          <w:szCs w:val="22"/>
        </w:rPr>
        <w:t>Τ4607</w:t>
      </w:r>
      <w:r w:rsidRPr="0029055C">
        <w:rPr>
          <w:rFonts w:cstheme="minorHAnsi"/>
          <w:color w:val="31849B" w:themeColor="accent5" w:themeShade="BF"/>
          <w:sz w:val="22"/>
          <w:szCs w:val="22"/>
        </w:rPr>
        <w:t xml:space="preserve">: Αριθμός φορέων του δημόσιου τομέα που εφαρμόζουν απλοποιημένες εσωτερικές διαδικασίες. </w:t>
      </w:r>
      <w:r w:rsidRPr="0029055C">
        <w:rPr>
          <w:rFonts w:cstheme="minorHAnsi"/>
          <w:sz w:val="22"/>
          <w:szCs w:val="22"/>
        </w:rPr>
        <w:t xml:space="preserve">Ο δείκτης αποτελέσματος Τ4607 τροφοδοτείται από τον δείκτη εκροής </w:t>
      </w:r>
      <w:r w:rsidRPr="0029055C">
        <w:rPr>
          <w:rFonts w:cstheme="minorHAnsi"/>
          <w:i/>
          <w:sz w:val="22"/>
          <w:szCs w:val="22"/>
        </w:rPr>
        <w:t>Τ46</w:t>
      </w:r>
      <w:r w:rsidR="00287DBB" w:rsidRPr="0029055C">
        <w:rPr>
          <w:rFonts w:cstheme="minorHAnsi"/>
          <w:i/>
          <w:sz w:val="22"/>
          <w:szCs w:val="22"/>
        </w:rPr>
        <w:t>20</w:t>
      </w:r>
      <w:r w:rsidRPr="0029055C">
        <w:rPr>
          <w:rFonts w:cstheme="minorHAnsi"/>
          <w:i/>
          <w:sz w:val="22"/>
          <w:szCs w:val="22"/>
        </w:rPr>
        <w:t xml:space="preserve"> </w:t>
      </w:r>
      <w:r w:rsidR="00BF3CAB" w:rsidRPr="0029055C">
        <w:rPr>
          <w:rFonts w:cstheme="minorHAnsi"/>
          <w:i/>
          <w:sz w:val="22"/>
          <w:szCs w:val="22"/>
        </w:rPr>
        <w:t>«Αριθμός έργων απλοποίησης εσωτερικών διαδικασιών φορέων του δημοσίου τομέα»</w:t>
      </w:r>
      <w:r w:rsidRPr="0029055C">
        <w:rPr>
          <w:rFonts w:cstheme="minorHAnsi"/>
          <w:sz w:val="22"/>
          <w:szCs w:val="22"/>
        </w:rPr>
        <w:t>.</w:t>
      </w:r>
      <w:r w:rsidR="00287DBB" w:rsidRPr="0029055C">
        <w:rPr>
          <w:rFonts w:cstheme="minorHAnsi"/>
          <w:sz w:val="22"/>
          <w:szCs w:val="22"/>
        </w:rPr>
        <w:t xml:space="preserve"> Ο δείκτης παρουσιάζει πολύ μικρή υλοποίηση (η μέχρι τέλος του 2017 τιμή υλοποίησης του δείκτη ανέρχεται σε 2 και αφορά τους φορείς Υπ. Πολιτισμού &amp; Υπ. Τουρισμού).  Λαμβάνοντας υπόψη τη νέα προσέγγιση του ΥΠΕΣ για την εφαρμογή ενός ολοκληρωμένου προγράμματος αναδιοργάνωσης και διοικητικής μεταρρύθμισης της Τοπικής Αυτοδιοίκησης α’ και β’ βαθμού, στο πλαίσιο του οποίου το ΕΠ ΜΔΤ θα χρηματοδοτήσει δράσεις στις Περιφέρειες και στους Δήμους, η τιμή στόχος του δείκτη θα πρέπει να μειωθεί από 363 σε 356. Η νέα τιμή στόχος του δείκτη εκτιμάται ότι θα επιτευχθεί έως το τέλος της ΠΠ. </w:t>
      </w:r>
    </w:p>
    <w:p w14:paraId="6501018F" w14:textId="77777777" w:rsidR="00BF3CAB" w:rsidRPr="0029055C" w:rsidRDefault="00BF3CAB" w:rsidP="00744DD0">
      <w:pPr>
        <w:pStyle w:val="ListParagraph"/>
        <w:numPr>
          <w:ilvl w:val="0"/>
          <w:numId w:val="17"/>
        </w:numPr>
        <w:spacing w:line="280" w:lineRule="atLeast"/>
        <w:contextualSpacing w:val="0"/>
        <w:rPr>
          <w:rFonts w:cstheme="minorHAnsi"/>
          <w:color w:val="31849B" w:themeColor="accent5" w:themeShade="BF"/>
          <w:sz w:val="22"/>
          <w:szCs w:val="22"/>
        </w:rPr>
      </w:pPr>
      <w:r w:rsidRPr="0029055C">
        <w:rPr>
          <w:rFonts w:cstheme="minorHAnsi"/>
          <w:b/>
          <w:color w:val="31849B" w:themeColor="accent5" w:themeShade="BF"/>
          <w:sz w:val="22"/>
          <w:szCs w:val="22"/>
        </w:rPr>
        <w:t xml:space="preserve">Τ4608: </w:t>
      </w:r>
      <w:r w:rsidRPr="0029055C">
        <w:rPr>
          <w:rFonts w:cstheme="minorHAnsi"/>
          <w:color w:val="31849B" w:themeColor="accent5" w:themeShade="BF"/>
          <w:sz w:val="22"/>
          <w:szCs w:val="22"/>
        </w:rPr>
        <w:t>Αριθμός τομέων στους οποίους εφαρμόζεται απλοποίηση διαδικασιών και προτυποποίηση υπηρεσιών προς τους πολίτες.</w:t>
      </w:r>
      <w:r w:rsidRPr="0029055C">
        <w:rPr>
          <w:rFonts w:cstheme="minorHAnsi"/>
          <w:b/>
          <w:color w:val="31849B" w:themeColor="accent5" w:themeShade="BF"/>
          <w:sz w:val="22"/>
          <w:szCs w:val="22"/>
        </w:rPr>
        <w:t xml:space="preserve"> </w:t>
      </w:r>
      <w:r w:rsidRPr="0029055C">
        <w:rPr>
          <w:rFonts w:cstheme="minorHAnsi"/>
          <w:sz w:val="22"/>
          <w:szCs w:val="22"/>
        </w:rPr>
        <w:t xml:space="preserve">Ο συγκεκριμένος δείκτης αποτελέσματος συνδέεται με τους δείκτες εκροής </w:t>
      </w:r>
      <w:r w:rsidRPr="0029055C">
        <w:rPr>
          <w:rFonts w:cstheme="minorHAnsi"/>
          <w:i/>
          <w:sz w:val="22"/>
          <w:szCs w:val="22"/>
        </w:rPr>
        <w:t xml:space="preserve">T4621 «Αριθμός έργων απλοποίησης διαδικασιών και προτυποποίησης υπηρεσιών προς τους πολίτες» </w:t>
      </w:r>
      <w:r w:rsidRPr="0029055C">
        <w:rPr>
          <w:rFonts w:cstheme="minorHAnsi"/>
          <w:sz w:val="22"/>
          <w:szCs w:val="22"/>
        </w:rPr>
        <w:t xml:space="preserve">και </w:t>
      </w:r>
      <w:r w:rsidRPr="0029055C">
        <w:rPr>
          <w:rFonts w:cstheme="minorHAnsi"/>
          <w:i/>
          <w:sz w:val="22"/>
          <w:szCs w:val="22"/>
        </w:rPr>
        <w:t>T4651 «Αριθμός Τοπικών Μονάδων Υγείας που δημιουργούνται»</w:t>
      </w:r>
      <w:r w:rsidRPr="0029055C">
        <w:rPr>
          <w:rFonts w:cstheme="minorHAnsi"/>
          <w:sz w:val="22"/>
          <w:szCs w:val="22"/>
        </w:rPr>
        <w:t>.</w:t>
      </w:r>
      <w:r w:rsidR="00951BC5" w:rsidRPr="0029055C">
        <w:rPr>
          <w:rFonts w:cstheme="minorHAnsi"/>
          <w:sz w:val="22"/>
          <w:szCs w:val="22"/>
        </w:rPr>
        <w:t xml:space="preserve"> Η τιμή στόχος του δείκτη είναι 18 και προκύπτει από τη χρηματοδότηση δράσεων απλοποίησης διαδικασιών και προτυποποίησης υπηρεσιών προς τους πολίτες σε 8 επιπλέον τομείς</w:t>
      </w:r>
      <w:r w:rsidR="00744DD0" w:rsidRPr="0029055C">
        <w:rPr>
          <w:rFonts w:cstheme="minorHAnsi"/>
          <w:sz w:val="22"/>
          <w:szCs w:val="22"/>
        </w:rPr>
        <w:t xml:space="preserve"> (τιμή βάσης 10). Ο δείκτης έχει ήδη επιτευχθεί σε ποσοστό 50% το οποίο προκύπτει από την απλοποίηση διαδικασιών και προτυποποίηση υπηρεσιών προς τους πολίτες στους τομείς πολιτισμού, τουρισμού, δικαιοσύνης και περιβάλλον. Ο στόχος του δείκτη εκτιμάται ότι θα επιτευχθεί έως το τέλος της ΠΠ.</w:t>
      </w:r>
    </w:p>
    <w:p w14:paraId="72A5C2AF" w14:textId="77777777" w:rsidR="00253DF2" w:rsidRPr="0029055C" w:rsidRDefault="002424D1" w:rsidP="00744DD0">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 xml:space="preserve">Τ4609: Αριθμός φορέων που εφαρμόζουν συστήματα στοχοθεσίας και αξιολόγησης. </w:t>
      </w:r>
      <w:r w:rsidRPr="0029055C">
        <w:rPr>
          <w:rFonts w:cstheme="minorHAnsi"/>
          <w:sz w:val="22"/>
          <w:szCs w:val="22"/>
        </w:rPr>
        <w:t xml:space="preserve">Ο συγκεκριμένος δείκτης αποτελέσματος συνδέεται με το δείκτη εκροής </w:t>
      </w:r>
      <w:r w:rsidRPr="0029055C">
        <w:rPr>
          <w:rFonts w:cstheme="minorHAnsi"/>
          <w:i/>
          <w:sz w:val="22"/>
          <w:szCs w:val="22"/>
        </w:rPr>
        <w:t>Τ4622 «Αριθμός έργων εισαγωγής συστημάτων στοχοθεσίας και αξιολόγησης σε φορείς του δημόσιου τομέα»</w:t>
      </w:r>
      <w:r w:rsidRPr="0029055C">
        <w:rPr>
          <w:rFonts w:cstheme="minorHAnsi"/>
          <w:sz w:val="22"/>
          <w:szCs w:val="22"/>
        </w:rPr>
        <w:t>.</w:t>
      </w:r>
      <w:r w:rsidR="00744DD0" w:rsidRPr="0029055C">
        <w:rPr>
          <w:rFonts w:cstheme="minorHAnsi"/>
          <w:sz w:val="22"/>
          <w:szCs w:val="22"/>
        </w:rPr>
        <w:t xml:space="preserve"> Ο δείκτης παρουσιάζει μηδενική υλοποίηση, αλλά εκτιμάται ότι θα επιτευχθεί έως το τέλος της ΠΠ.</w:t>
      </w:r>
    </w:p>
    <w:p w14:paraId="5C2A9774" w14:textId="77777777" w:rsidR="002424D1" w:rsidRPr="0029055C" w:rsidRDefault="002424D1" w:rsidP="002424D1">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 xml:space="preserve">Τ4610: Αριθμός φορέων του δημόσιου τομέα που εφαρμόζουν συστήματα εσωτερικού ελέγχου. </w:t>
      </w:r>
      <w:r w:rsidRPr="0029055C">
        <w:rPr>
          <w:rFonts w:cstheme="minorHAnsi"/>
          <w:sz w:val="22"/>
          <w:szCs w:val="22"/>
        </w:rPr>
        <w:t xml:space="preserve">Ο συγκεκριμένος δείκτης αποτελέσματος συνδέεται με το δείκτη εκροής </w:t>
      </w:r>
      <w:r w:rsidRPr="0029055C">
        <w:rPr>
          <w:rFonts w:cstheme="minorHAnsi"/>
          <w:i/>
          <w:sz w:val="22"/>
          <w:szCs w:val="22"/>
        </w:rPr>
        <w:t>Τ4623 «Αριθμός συστημάτων εσωτερικού ελέγχου φορέων του δημόσιου τομέα που δημιουργούνται ή αναβαθμίζονται»</w:t>
      </w:r>
      <w:r w:rsidRPr="0029055C">
        <w:rPr>
          <w:rFonts w:cstheme="minorHAnsi"/>
          <w:sz w:val="22"/>
          <w:szCs w:val="22"/>
        </w:rPr>
        <w:t xml:space="preserve">. Ο δείκτης Τ4610 </w:t>
      </w:r>
      <w:r w:rsidR="00513FC6" w:rsidRPr="0029055C">
        <w:rPr>
          <w:rFonts w:cstheme="minorHAnsi"/>
          <w:sz w:val="22"/>
          <w:szCs w:val="22"/>
        </w:rPr>
        <w:t xml:space="preserve">προτείνεται να </w:t>
      </w:r>
      <w:r w:rsidRPr="0029055C">
        <w:rPr>
          <w:rFonts w:cstheme="minorHAnsi"/>
          <w:sz w:val="22"/>
          <w:szCs w:val="22"/>
        </w:rPr>
        <w:t>αφαιρ</w:t>
      </w:r>
      <w:r w:rsidR="00513FC6" w:rsidRPr="0029055C">
        <w:rPr>
          <w:rFonts w:cstheme="minorHAnsi"/>
          <w:sz w:val="22"/>
          <w:szCs w:val="22"/>
        </w:rPr>
        <w:t>εθεί</w:t>
      </w:r>
      <w:r w:rsidRPr="0029055C">
        <w:rPr>
          <w:rFonts w:cstheme="minorHAnsi"/>
          <w:sz w:val="22"/>
          <w:szCs w:val="22"/>
        </w:rPr>
        <w:t xml:space="preserve"> από το σύστημα δεικτών του ΕΠ ΜΔΤ, δεδομένου ότι στον πρόσφατο ανασχεδιασμό της δομής 16 Υπουργείων (Π.Δ. έτους 2017 &amp; 2018) προβλέφθηκαν αυτοτελή τμήματα εσωτερικού ελέγχου σε κάθε Υπουργείο, για την οργάνωση και λειτουργία των οποίων δεν έχει προταθεί εξειδίκευση σχετικής δράσης προς συγχρηματοδότηση  από το Πρόγραμμα.</w:t>
      </w:r>
    </w:p>
    <w:p w14:paraId="69011BEC" w14:textId="77777777" w:rsidR="002424D1" w:rsidRPr="0029055C" w:rsidRDefault="002424D1" w:rsidP="007502B3">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lastRenderedPageBreak/>
        <w:t xml:space="preserve">Τ4611: Αριθμός ελεγκτικών φορέων στους οποίους εφαρμόζονται δράσεις αναβάθμισης της λειτουργίας τους. </w:t>
      </w:r>
      <w:r w:rsidRPr="0029055C">
        <w:rPr>
          <w:rFonts w:cstheme="minorHAnsi"/>
          <w:sz w:val="22"/>
          <w:szCs w:val="22"/>
        </w:rPr>
        <w:t xml:space="preserve">Ο συγκεκριμένος δείκτης αποτελέσματος συνδέεται με τους δείκτες εκροής </w:t>
      </w:r>
      <w:r w:rsidRPr="0029055C">
        <w:rPr>
          <w:rFonts w:cstheme="minorHAnsi"/>
          <w:i/>
          <w:sz w:val="22"/>
          <w:szCs w:val="22"/>
        </w:rPr>
        <w:t>Τ4625 «Αριθμός Σχεδίων αναβάθμισης της λειτουργίας ελεγκτικών φορέων»</w:t>
      </w:r>
      <w:r w:rsidRPr="0029055C">
        <w:rPr>
          <w:rFonts w:cstheme="minorHAnsi"/>
          <w:sz w:val="22"/>
          <w:szCs w:val="22"/>
        </w:rPr>
        <w:t xml:space="preserve"> και </w:t>
      </w:r>
      <w:r w:rsidRPr="0029055C">
        <w:rPr>
          <w:rFonts w:cstheme="minorHAnsi"/>
          <w:i/>
          <w:sz w:val="22"/>
          <w:szCs w:val="22"/>
        </w:rPr>
        <w:t>Τ4624 «Αριθμός έργων για τον επαναπροσδιορισμό των πεδίων ευθύνης και την αντιμετώπιση επικαλύψεων των ελεγκτικών φορέων και σωμάτων επιθεώρησης»</w:t>
      </w:r>
      <w:r w:rsidRPr="0029055C">
        <w:rPr>
          <w:rFonts w:cstheme="minorHAnsi"/>
          <w:sz w:val="22"/>
          <w:szCs w:val="22"/>
        </w:rPr>
        <w:t>.</w:t>
      </w:r>
      <w:r w:rsidR="007502B3" w:rsidRPr="0029055C">
        <w:rPr>
          <w:rFonts w:cstheme="minorHAnsi"/>
          <w:sz w:val="22"/>
          <w:szCs w:val="22"/>
        </w:rPr>
        <w:t xml:space="preserve"> Η δυνατότητα επίτευξης του δείκτη έως το τέλος της ΠΠ θα πρέπει να επανεξετασθεί.</w:t>
      </w:r>
    </w:p>
    <w:p w14:paraId="6A992451" w14:textId="77777777" w:rsidR="00C97DDE" w:rsidRPr="0029055C" w:rsidRDefault="00C97DDE" w:rsidP="00EC0536">
      <w:pPr>
        <w:pStyle w:val="Heading3"/>
        <w:pageBreakBefore/>
      </w:pPr>
      <w:bookmarkStart w:id="15" w:name="_Toc519758763"/>
      <w:r w:rsidRPr="0029055C">
        <w:lastRenderedPageBreak/>
        <w:t xml:space="preserve">Θεματικός Άξονας </w:t>
      </w:r>
      <w:r w:rsidR="001B3747" w:rsidRPr="0029055C">
        <w:t>ΙΙ</w:t>
      </w:r>
      <w:r w:rsidRPr="0029055C">
        <w:t xml:space="preserve"> «Ενίσχυση της Ηλεκτρονικής Διακυβέρνησης» - Ταμείο ΕΤΠΑ (Άξονες Προτεραιότητας 4, 5 &amp; 6)</w:t>
      </w:r>
      <w:bookmarkEnd w:id="15"/>
    </w:p>
    <w:p w14:paraId="101333BC" w14:textId="77777777" w:rsidR="00C97DDE" w:rsidRPr="0029055C" w:rsidRDefault="00C97DDE" w:rsidP="00C97DDE">
      <w:pPr>
        <w:rPr>
          <w:sz w:val="22"/>
        </w:rPr>
      </w:pPr>
      <w:r w:rsidRPr="0029055C">
        <w:rPr>
          <w:sz w:val="22"/>
        </w:rPr>
        <w:t xml:space="preserve">Ο Θεματικός Άξονας </w:t>
      </w:r>
      <w:r w:rsidR="001B3747" w:rsidRPr="0029055C">
        <w:rPr>
          <w:sz w:val="22"/>
        </w:rPr>
        <w:t>ΙΙ</w:t>
      </w:r>
      <w:r w:rsidR="00AC462E" w:rsidRPr="0029055C">
        <w:rPr>
          <w:sz w:val="22"/>
        </w:rPr>
        <w:t xml:space="preserve"> </w:t>
      </w:r>
      <w:r w:rsidRPr="0029055C">
        <w:rPr>
          <w:sz w:val="22"/>
        </w:rPr>
        <w:t xml:space="preserve">του Προγράμματος στοχεύει στον εκσυγχρονισμό του Δημόσιου Τομέα, με όχημα τις Τεχνολογίες Πληροφορικής και Επικοινωνιών (ΤΠΕ), για τον μετασχηματισμό των υφιστάμενων διαδικασιών και την αναβάθμιση των παρεχόμενων υπηρεσιών, σε υπηρεσίες προστιθέμενης αξίας, προκειμένου η Διοίκηση να καταστεί αποτελεσματικότερη και αποδοτικότερη, εξασφαλίζοντας την ικανοποίηση των αναγκών του κοινωνικού συνόλου και προάγοντας την ενεργή ενεργό συμμετοχή των πολιτών. </w:t>
      </w:r>
    </w:p>
    <w:p w14:paraId="4BB473E2" w14:textId="77777777" w:rsidR="00C97DDE" w:rsidRPr="0029055C" w:rsidRDefault="00C97DDE" w:rsidP="00C97DDE">
      <w:pPr>
        <w:rPr>
          <w:sz w:val="22"/>
        </w:rPr>
      </w:pPr>
      <w:r w:rsidRPr="0029055C">
        <w:rPr>
          <w:sz w:val="22"/>
        </w:rPr>
        <w:t xml:space="preserve">Ο ΘΑ </w:t>
      </w:r>
      <w:r w:rsidR="001B3747" w:rsidRPr="0029055C">
        <w:rPr>
          <w:sz w:val="22"/>
        </w:rPr>
        <w:t>ΙΙ</w:t>
      </w:r>
      <w:r w:rsidRPr="0029055C">
        <w:rPr>
          <w:sz w:val="22"/>
        </w:rPr>
        <w:t xml:space="preserve"> αφορά δράσεις που χρηματοδοτούνται στο πλαίσιο του Θεματικού Στόχου 2 (Ταμείο ΕΤΠΑ) για ανάπτυξη ή αναβάθμιση των συστημάτων, εφαρμογών και υπηρεσιών ΤΠΕ που χρησιμοποιούν οι φορείς του Δημοσίου Τομέα για:</w:t>
      </w:r>
    </w:p>
    <w:p w14:paraId="64CE94F8" w14:textId="77777777" w:rsidR="00C97DDE" w:rsidRPr="0029055C" w:rsidRDefault="00C97DDE" w:rsidP="00C97DDE">
      <w:pPr>
        <w:pStyle w:val="ListParagraph"/>
        <w:numPr>
          <w:ilvl w:val="0"/>
          <w:numId w:val="15"/>
        </w:numPr>
        <w:spacing w:line="280" w:lineRule="atLeast"/>
        <w:contextualSpacing w:val="0"/>
        <w:rPr>
          <w:sz w:val="22"/>
        </w:rPr>
      </w:pPr>
      <w:r w:rsidRPr="0029055C">
        <w:rPr>
          <w:sz w:val="22"/>
        </w:rPr>
        <w:t xml:space="preserve">την οργάνωση και λειτουργία τους, </w:t>
      </w:r>
    </w:p>
    <w:p w14:paraId="6435CF33" w14:textId="77777777" w:rsidR="00C97DDE" w:rsidRPr="0029055C" w:rsidRDefault="00C97DDE" w:rsidP="00C97DDE">
      <w:pPr>
        <w:pStyle w:val="ListParagraph"/>
        <w:numPr>
          <w:ilvl w:val="0"/>
          <w:numId w:val="15"/>
        </w:numPr>
        <w:spacing w:line="280" w:lineRule="atLeast"/>
        <w:contextualSpacing w:val="0"/>
        <w:rPr>
          <w:sz w:val="22"/>
        </w:rPr>
      </w:pPr>
      <w:r w:rsidRPr="0029055C">
        <w:rPr>
          <w:sz w:val="22"/>
        </w:rPr>
        <w:t>την παροχή πλήρως και ολοκληρωμένων ηλεκτρονικών υπηρεσιών προς τους πολίτες και τις επιχειρήσεις.</w:t>
      </w:r>
    </w:p>
    <w:p w14:paraId="7F5AC0F3" w14:textId="475E8DD6" w:rsidR="00C97DDE" w:rsidRPr="0029055C" w:rsidRDefault="00C97DDE" w:rsidP="00C97DDE">
      <w:pPr>
        <w:spacing w:line="280" w:lineRule="atLeast"/>
        <w:rPr>
          <w:sz w:val="22"/>
        </w:rPr>
      </w:pPr>
      <w:r w:rsidRPr="0029055C">
        <w:rPr>
          <w:sz w:val="22"/>
        </w:rPr>
        <w:t xml:space="preserve">Η συγχρηματοδοτούμενη δημόσια δαπάνη του Θεματικού Άξονα </w:t>
      </w:r>
      <w:r w:rsidR="001B3747" w:rsidRPr="0029055C">
        <w:rPr>
          <w:sz w:val="22"/>
        </w:rPr>
        <w:t>ΙΙ</w:t>
      </w:r>
      <w:r w:rsidRPr="0029055C">
        <w:rPr>
          <w:sz w:val="22"/>
        </w:rPr>
        <w:t xml:space="preserve"> ανέρχεται σε </w:t>
      </w:r>
      <w:r w:rsidRPr="0029055C">
        <w:rPr>
          <w:b/>
          <w:sz w:val="22"/>
        </w:rPr>
        <w:t>223.137.222 €</w:t>
      </w:r>
      <w:r w:rsidRPr="0029055C">
        <w:rPr>
          <w:sz w:val="22"/>
        </w:rPr>
        <w:t xml:space="preserve"> και αντιπροσωπεύει το </w:t>
      </w:r>
      <w:r w:rsidRPr="0029055C">
        <w:rPr>
          <w:b/>
          <w:sz w:val="22"/>
        </w:rPr>
        <w:t>43,22%</w:t>
      </w:r>
      <w:r w:rsidRPr="0029055C">
        <w:rPr>
          <w:sz w:val="22"/>
        </w:rPr>
        <w:t xml:space="preserve"> του συνολικού προϋπολογισμού του Προγράμματος. Η συνολική </w:t>
      </w:r>
      <w:r w:rsidRPr="0029055C">
        <w:rPr>
          <w:b/>
          <w:sz w:val="22"/>
        </w:rPr>
        <w:t>εξειδίκευση</w:t>
      </w:r>
      <w:r w:rsidRPr="0029055C">
        <w:rPr>
          <w:sz w:val="22"/>
        </w:rPr>
        <w:t xml:space="preserve"> του Θεματικού Άξονα </w:t>
      </w:r>
      <w:r w:rsidR="001B3747" w:rsidRPr="0029055C">
        <w:rPr>
          <w:sz w:val="22"/>
        </w:rPr>
        <w:t>ΙΙ</w:t>
      </w:r>
      <w:r w:rsidRPr="0029055C">
        <w:rPr>
          <w:sz w:val="22"/>
        </w:rPr>
        <w:t xml:space="preserve"> ανέρχεται στο </w:t>
      </w:r>
      <w:r w:rsidRPr="0029055C">
        <w:rPr>
          <w:b/>
          <w:sz w:val="22"/>
        </w:rPr>
        <w:t>136%</w:t>
      </w:r>
      <w:r w:rsidRPr="0029055C">
        <w:rPr>
          <w:sz w:val="22"/>
        </w:rPr>
        <w:t>,</w:t>
      </w:r>
      <w:r w:rsidRPr="0029055C">
        <w:rPr>
          <w:b/>
          <w:sz w:val="22"/>
        </w:rPr>
        <w:t xml:space="preserve"> </w:t>
      </w:r>
      <w:r w:rsidRPr="0029055C">
        <w:rPr>
          <w:sz w:val="22"/>
        </w:rPr>
        <w:t>έχουν εκδοθεί</w:t>
      </w:r>
      <w:r w:rsidRPr="0029055C">
        <w:rPr>
          <w:b/>
          <w:sz w:val="22"/>
        </w:rPr>
        <w:t xml:space="preserve"> 6 Προσκλήσεις</w:t>
      </w:r>
      <w:r w:rsidRPr="0029055C">
        <w:rPr>
          <w:sz w:val="22"/>
        </w:rPr>
        <w:t xml:space="preserve"> συνολικού προϋπολογισμού 135.718.863,94 € (</w:t>
      </w:r>
      <w:r w:rsidRPr="0029055C">
        <w:rPr>
          <w:b/>
          <w:sz w:val="22"/>
        </w:rPr>
        <w:t>60,82%</w:t>
      </w:r>
      <w:r w:rsidRPr="0029055C">
        <w:rPr>
          <w:sz w:val="22"/>
        </w:rPr>
        <w:t xml:space="preserve"> του εγκεκριμένου π/υ του ΘΑ) και η πρόοδος υλοποίησης του οικονομικού αντικειμένου του ανά Ειδικό Στόχο </w:t>
      </w:r>
      <w:r w:rsidRPr="0085139F">
        <w:rPr>
          <w:sz w:val="22"/>
        </w:rPr>
        <w:t xml:space="preserve">παρουσιάζεται στο ακόλουθο </w:t>
      </w:r>
      <w:r w:rsidR="000B4A14" w:rsidRPr="0085139F">
        <w:rPr>
          <w:sz w:val="22"/>
        </w:rPr>
        <w:t>Διάγραμμα</w:t>
      </w:r>
      <w:r w:rsidRPr="0085139F">
        <w:rPr>
          <w:sz w:val="22"/>
        </w:rPr>
        <w:t xml:space="preserve">, ενώ αναλυτικότερα ανά Ειδικό Στόχο και Κατηγορία Δράσης παρατίθεται στον Πίνακα </w:t>
      </w:r>
      <w:r w:rsidR="00231162" w:rsidRPr="0085139F">
        <w:rPr>
          <w:sz w:val="22"/>
        </w:rPr>
        <w:t>1</w:t>
      </w:r>
      <w:r w:rsidR="0085139F" w:rsidRPr="0085139F">
        <w:rPr>
          <w:sz w:val="22"/>
        </w:rPr>
        <w:t>7</w:t>
      </w:r>
      <w:r w:rsidRPr="0085139F">
        <w:rPr>
          <w:sz w:val="22"/>
        </w:rPr>
        <w:t>.</w:t>
      </w:r>
    </w:p>
    <w:p w14:paraId="57A919EB" w14:textId="77777777" w:rsidR="00C97DDE" w:rsidRPr="0029055C" w:rsidRDefault="000B4A14" w:rsidP="00C97DDE">
      <w:pPr>
        <w:tabs>
          <w:tab w:val="left" w:pos="851"/>
        </w:tabs>
        <w:spacing w:line="300" w:lineRule="atLeast"/>
        <w:ind w:left="851" w:hanging="851"/>
        <w:rPr>
          <w:rFonts w:cstheme="minorHAnsi"/>
          <w:sz w:val="22"/>
        </w:rPr>
      </w:pPr>
      <w:r w:rsidRPr="0029055C">
        <w:rPr>
          <w:b/>
          <w:sz w:val="22"/>
        </w:rPr>
        <w:t xml:space="preserve">Διάγραμμα </w:t>
      </w:r>
      <w:r w:rsidRPr="0029055C">
        <w:rPr>
          <w:b/>
          <w:sz w:val="22"/>
        </w:rPr>
        <w:fldChar w:fldCharType="begin"/>
      </w:r>
      <w:r w:rsidRPr="0029055C">
        <w:rPr>
          <w:b/>
          <w:sz w:val="22"/>
        </w:rPr>
        <w:instrText xml:space="preserve"> SEQ Διάγραμμα \* ARABIC </w:instrText>
      </w:r>
      <w:r w:rsidRPr="0029055C">
        <w:rPr>
          <w:b/>
          <w:sz w:val="22"/>
        </w:rPr>
        <w:fldChar w:fldCharType="separate"/>
      </w:r>
      <w:r w:rsidR="00292BCA">
        <w:rPr>
          <w:b/>
          <w:noProof/>
          <w:sz w:val="22"/>
        </w:rPr>
        <w:t>2</w:t>
      </w:r>
      <w:r w:rsidRPr="0029055C">
        <w:rPr>
          <w:b/>
          <w:sz w:val="22"/>
        </w:rPr>
        <w:fldChar w:fldCharType="end"/>
      </w:r>
      <w:r w:rsidR="00C97DDE" w:rsidRPr="0029055C">
        <w:rPr>
          <w:rFonts w:cstheme="minorHAnsi"/>
          <w:b/>
          <w:sz w:val="22"/>
        </w:rPr>
        <w:t>.</w:t>
      </w:r>
      <w:r w:rsidR="00C97DDE" w:rsidRPr="0029055C">
        <w:rPr>
          <w:rFonts w:cstheme="minorHAnsi"/>
          <w:sz w:val="22"/>
        </w:rPr>
        <w:t xml:space="preserve"> </w:t>
      </w:r>
      <w:r w:rsidR="00C97DDE" w:rsidRPr="0029055C">
        <w:t xml:space="preserve"> </w:t>
      </w:r>
      <w:r w:rsidR="00C97DDE" w:rsidRPr="0029055C">
        <w:rPr>
          <w:rFonts w:cstheme="minorHAnsi"/>
          <w:sz w:val="22"/>
        </w:rPr>
        <w:t xml:space="preserve">Πρόοδος οικονομικού αντικειμένου του ΘΑ </w:t>
      </w:r>
      <w:r w:rsidR="001B3747" w:rsidRPr="0029055C">
        <w:rPr>
          <w:rFonts w:cstheme="minorHAnsi"/>
          <w:sz w:val="22"/>
        </w:rPr>
        <w:t>ΙΙ</w:t>
      </w:r>
      <w:r w:rsidR="00C97DDE" w:rsidRPr="0029055C">
        <w:rPr>
          <w:rFonts w:cstheme="minorHAnsi"/>
          <w:sz w:val="22"/>
        </w:rPr>
        <w:t xml:space="preserve"> ανά Ειδικό Στόχο (ποσά σε ΔΔ, εκ. €) </w:t>
      </w:r>
    </w:p>
    <w:p w14:paraId="0D543F17" w14:textId="77777777" w:rsidR="00C97DDE" w:rsidRPr="0029055C" w:rsidRDefault="00C97DDE" w:rsidP="00C97DDE">
      <w:r w:rsidRPr="0029055C">
        <w:rPr>
          <w:noProof/>
        </w:rPr>
        <w:drawing>
          <wp:inline distT="0" distB="0" distL="0" distR="0" wp14:anchorId="138D97B3" wp14:editId="3A015D3C">
            <wp:extent cx="5759450" cy="2551814"/>
            <wp:effectExtent l="0" t="0" r="12700" b="1270"/>
            <wp:docPr id="23" name="Chart 2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4050C5A" w14:textId="77777777" w:rsidR="00C97DDE" w:rsidRPr="0029055C" w:rsidRDefault="001B3747" w:rsidP="00C97DDE">
      <w:pPr>
        <w:sectPr w:rsidR="00C97DDE" w:rsidRPr="0029055C" w:rsidSect="003154D4">
          <w:headerReference w:type="default" r:id="rId26"/>
          <w:footerReference w:type="default" r:id="rId27"/>
          <w:pgSz w:w="11906" w:h="16838" w:code="9"/>
          <w:pgMar w:top="1814" w:right="1418" w:bottom="1134" w:left="1418" w:header="567" w:footer="284" w:gutter="0"/>
          <w:cols w:space="708"/>
          <w:docGrid w:linePitch="360"/>
        </w:sectPr>
      </w:pPr>
      <w:r w:rsidRPr="0029055C">
        <w:rPr>
          <w:i/>
          <w:color w:val="215868" w:themeColor="accent5" w:themeShade="80"/>
        </w:rPr>
        <w:t>Πηγή: ΟΠΣ 01.06.2018</w:t>
      </w:r>
    </w:p>
    <w:p w14:paraId="00B7BEFA" w14:textId="5870CCF6" w:rsidR="00C97DDE" w:rsidRPr="0029055C" w:rsidRDefault="00C97DDE" w:rsidP="00C97DDE">
      <w:pPr>
        <w:pStyle w:val="Caption"/>
        <w:spacing w:before="240" w:after="120" w:line="280" w:lineRule="atLeast"/>
        <w:rPr>
          <w:b w:val="0"/>
          <w:sz w:val="22"/>
          <w:szCs w:val="22"/>
        </w:rPr>
      </w:pPr>
      <w:r w:rsidRPr="0029055C">
        <w:rPr>
          <w:sz w:val="22"/>
          <w:szCs w:val="22"/>
        </w:rPr>
        <w:lastRenderedPageBreak/>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17</w:t>
      </w:r>
      <w:r w:rsidRPr="0029055C">
        <w:rPr>
          <w:sz w:val="22"/>
          <w:szCs w:val="22"/>
        </w:rPr>
        <w:fldChar w:fldCharType="end"/>
      </w:r>
      <w:r w:rsidRPr="0029055C">
        <w:rPr>
          <w:b w:val="0"/>
          <w:sz w:val="22"/>
          <w:szCs w:val="22"/>
        </w:rPr>
        <w:t xml:space="preserve">. Πρόοδος οικονομικού αντικειμένου του ΘΑ </w:t>
      </w:r>
      <w:r w:rsidR="001B3747" w:rsidRPr="0029055C">
        <w:rPr>
          <w:b w:val="0"/>
          <w:sz w:val="22"/>
          <w:szCs w:val="22"/>
        </w:rPr>
        <w:t>ΙΙ</w:t>
      </w:r>
      <w:r w:rsidRPr="0029055C">
        <w:rPr>
          <w:b w:val="0"/>
          <w:sz w:val="22"/>
          <w:szCs w:val="22"/>
        </w:rPr>
        <w:t xml:space="preserve"> ανά Ειδικό Στόχο και Κατηγορία Δράσης (ποσά σε Δημόσια Δαπάνη)</w:t>
      </w:r>
    </w:p>
    <w:tbl>
      <w:tblPr>
        <w:tblW w:w="5000" w:type="pct"/>
        <w:jc w:val="center"/>
        <w:tblLayout w:type="fixed"/>
        <w:tblCellMar>
          <w:left w:w="28" w:type="dxa"/>
          <w:right w:w="28" w:type="dxa"/>
        </w:tblCellMar>
        <w:tblLook w:val="04A0" w:firstRow="1" w:lastRow="0" w:firstColumn="1" w:lastColumn="0" w:noHBand="0" w:noVBand="1"/>
      </w:tblPr>
      <w:tblGrid>
        <w:gridCol w:w="1700"/>
        <w:gridCol w:w="1627"/>
        <w:gridCol w:w="1627"/>
        <w:gridCol w:w="1452"/>
        <w:gridCol w:w="1570"/>
        <w:gridCol w:w="1357"/>
        <w:gridCol w:w="1553"/>
        <w:gridCol w:w="1553"/>
        <w:gridCol w:w="1553"/>
      </w:tblGrid>
      <w:tr w:rsidR="00C97DDE" w:rsidRPr="0029055C" w14:paraId="54D2BD5C" w14:textId="77777777" w:rsidTr="00507AF3">
        <w:trPr>
          <w:jc w:val="center"/>
        </w:trPr>
        <w:tc>
          <w:tcPr>
            <w:tcW w:w="607" w:type="pct"/>
            <w:tcBorders>
              <w:top w:val="single" w:sz="4" w:space="0" w:color="92CDDC"/>
              <w:left w:val="single" w:sz="4" w:space="0" w:color="92CDDC"/>
              <w:bottom w:val="single" w:sz="12" w:space="0" w:color="92CDDC"/>
              <w:right w:val="single" w:sz="4" w:space="0" w:color="92CDDC"/>
            </w:tcBorders>
            <w:shd w:val="clear" w:color="auto" w:fill="auto"/>
            <w:vAlign w:val="center"/>
            <w:hideMark/>
          </w:tcPr>
          <w:p w14:paraId="24262E0D" w14:textId="77777777" w:rsidR="00C97DDE" w:rsidRPr="0029055C" w:rsidRDefault="00C97DDE" w:rsidP="00507AF3">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Ειδικός Στόχος / Κατηγορία Δράσης</w:t>
            </w:r>
          </w:p>
        </w:tc>
        <w:tc>
          <w:tcPr>
            <w:tcW w:w="581" w:type="pct"/>
            <w:tcBorders>
              <w:top w:val="single" w:sz="4" w:space="0" w:color="92CDDC"/>
              <w:left w:val="nil"/>
              <w:bottom w:val="single" w:sz="12" w:space="0" w:color="92CDDC"/>
              <w:right w:val="single" w:sz="4" w:space="0" w:color="92CDDC"/>
            </w:tcBorders>
            <w:shd w:val="clear" w:color="auto" w:fill="auto"/>
            <w:vAlign w:val="center"/>
            <w:hideMark/>
          </w:tcPr>
          <w:p w14:paraId="67C16929" w14:textId="77777777" w:rsidR="00C97DDE" w:rsidRPr="0029055C" w:rsidRDefault="00C97DDE" w:rsidP="00507AF3">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Προϋπολογισμός</w:t>
            </w:r>
            <w:r w:rsidRPr="0029055C">
              <w:rPr>
                <w:rFonts w:asciiTheme="minorHAnsi" w:hAnsiTheme="minorHAnsi" w:cstheme="minorHAnsi"/>
                <w:color w:val="31849B"/>
                <w:szCs w:val="20"/>
              </w:rPr>
              <w:t xml:space="preserve"> </w:t>
            </w:r>
            <w:r w:rsidRPr="0029055C">
              <w:rPr>
                <w:rFonts w:asciiTheme="minorHAnsi" w:hAnsiTheme="minorHAnsi" w:cstheme="minorHAnsi"/>
                <w:color w:val="31849B"/>
                <w:szCs w:val="20"/>
              </w:rPr>
              <w:br/>
              <w:t>(με βάση την 1η Αναθεώρηση)</w:t>
            </w:r>
          </w:p>
        </w:tc>
        <w:tc>
          <w:tcPr>
            <w:tcW w:w="581" w:type="pct"/>
            <w:tcBorders>
              <w:top w:val="single" w:sz="4" w:space="0" w:color="92CDDC"/>
              <w:left w:val="nil"/>
              <w:bottom w:val="single" w:sz="12" w:space="0" w:color="92CDDC"/>
              <w:right w:val="single" w:sz="4" w:space="0" w:color="92CDDC"/>
            </w:tcBorders>
            <w:shd w:val="clear" w:color="auto" w:fill="auto"/>
            <w:noWrap/>
            <w:vAlign w:val="center"/>
            <w:hideMark/>
          </w:tcPr>
          <w:p w14:paraId="01EC3755" w14:textId="77777777" w:rsidR="00C97DDE" w:rsidRPr="0029055C" w:rsidRDefault="00C97DDE" w:rsidP="00507AF3">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Εξειδίκευση</w:t>
            </w:r>
          </w:p>
        </w:tc>
        <w:tc>
          <w:tcPr>
            <w:tcW w:w="519" w:type="pct"/>
            <w:tcBorders>
              <w:top w:val="single" w:sz="4" w:space="0" w:color="92CDDC"/>
              <w:left w:val="nil"/>
              <w:bottom w:val="single" w:sz="12" w:space="0" w:color="92CDDC"/>
              <w:right w:val="single" w:sz="4" w:space="0" w:color="92CDDC"/>
            </w:tcBorders>
            <w:shd w:val="clear" w:color="auto" w:fill="auto"/>
            <w:vAlign w:val="center"/>
            <w:hideMark/>
          </w:tcPr>
          <w:p w14:paraId="5E136330" w14:textId="77777777" w:rsidR="00C97DDE" w:rsidRPr="0029055C" w:rsidRDefault="00C97DDE" w:rsidP="00507AF3">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Αριθμός Προσκλήσεων*</w:t>
            </w:r>
          </w:p>
        </w:tc>
        <w:tc>
          <w:tcPr>
            <w:tcW w:w="561" w:type="pct"/>
            <w:tcBorders>
              <w:top w:val="single" w:sz="4" w:space="0" w:color="92CDDC"/>
              <w:left w:val="nil"/>
              <w:bottom w:val="single" w:sz="12" w:space="0" w:color="92CDDC"/>
              <w:right w:val="single" w:sz="4" w:space="0" w:color="92CDDC"/>
            </w:tcBorders>
            <w:shd w:val="clear" w:color="auto" w:fill="auto"/>
            <w:vAlign w:val="center"/>
            <w:hideMark/>
          </w:tcPr>
          <w:p w14:paraId="28D101D5" w14:textId="77777777" w:rsidR="00C97DDE" w:rsidRPr="0029055C" w:rsidRDefault="00C97DDE" w:rsidP="00507AF3">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Π/Υ Προσκλήσεων</w:t>
            </w:r>
          </w:p>
        </w:tc>
        <w:tc>
          <w:tcPr>
            <w:tcW w:w="485" w:type="pct"/>
            <w:tcBorders>
              <w:top w:val="single" w:sz="4" w:space="0" w:color="92CDDC"/>
              <w:left w:val="nil"/>
              <w:bottom w:val="single" w:sz="12" w:space="0" w:color="92CDDC"/>
              <w:right w:val="single" w:sz="4" w:space="0" w:color="92CDDC"/>
            </w:tcBorders>
            <w:shd w:val="clear" w:color="auto" w:fill="auto"/>
            <w:vAlign w:val="center"/>
            <w:hideMark/>
          </w:tcPr>
          <w:p w14:paraId="7540073E" w14:textId="77777777" w:rsidR="00C97DDE" w:rsidRPr="0029055C" w:rsidRDefault="00C97DDE" w:rsidP="00507AF3">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Αριθμός Ενταγμένων Έργων**</w:t>
            </w:r>
          </w:p>
        </w:tc>
        <w:tc>
          <w:tcPr>
            <w:tcW w:w="555" w:type="pct"/>
            <w:tcBorders>
              <w:top w:val="single" w:sz="4" w:space="0" w:color="92CDDC"/>
              <w:left w:val="nil"/>
              <w:bottom w:val="single" w:sz="12" w:space="0" w:color="92CDDC"/>
              <w:right w:val="single" w:sz="4" w:space="0" w:color="92CDDC"/>
            </w:tcBorders>
            <w:shd w:val="clear" w:color="auto" w:fill="auto"/>
            <w:noWrap/>
            <w:vAlign w:val="center"/>
            <w:hideMark/>
          </w:tcPr>
          <w:p w14:paraId="3462BE93" w14:textId="77777777" w:rsidR="00C97DDE" w:rsidRPr="0029055C" w:rsidRDefault="00C97DDE" w:rsidP="00507AF3">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Π/Υ Εντάξεων</w:t>
            </w:r>
          </w:p>
        </w:tc>
        <w:tc>
          <w:tcPr>
            <w:tcW w:w="555" w:type="pct"/>
            <w:tcBorders>
              <w:top w:val="single" w:sz="4" w:space="0" w:color="92CDDC"/>
              <w:left w:val="nil"/>
              <w:bottom w:val="single" w:sz="12" w:space="0" w:color="92CDDC"/>
              <w:right w:val="single" w:sz="4" w:space="0" w:color="92CDDC"/>
            </w:tcBorders>
            <w:shd w:val="clear" w:color="auto" w:fill="auto"/>
            <w:vAlign w:val="center"/>
            <w:hideMark/>
          </w:tcPr>
          <w:p w14:paraId="4B35DA5A" w14:textId="77777777" w:rsidR="00C97DDE" w:rsidRPr="0029055C" w:rsidRDefault="00C97DDE" w:rsidP="00507AF3">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Νομικές Δεσμεύσεις</w:t>
            </w:r>
          </w:p>
        </w:tc>
        <w:tc>
          <w:tcPr>
            <w:tcW w:w="555" w:type="pct"/>
            <w:tcBorders>
              <w:top w:val="single" w:sz="4" w:space="0" w:color="92CDDC"/>
              <w:left w:val="nil"/>
              <w:bottom w:val="single" w:sz="12" w:space="0" w:color="92CDDC"/>
              <w:right w:val="single" w:sz="4" w:space="0" w:color="92CDDC"/>
            </w:tcBorders>
            <w:shd w:val="clear" w:color="auto" w:fill="auto"/>
            <w:vAlign w:val="center"/>
            <w:hideMark/>
          </w:tcPr>
          <w:p w14:paraId="6C069D70" w14:textId="77777777" w:rsidR="00C97DDE" w:rsidRPr="0029055C" w:rsidRDefault="00C97DDE" w:rsidP="00507AF3">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Πιστοποιημένες Δαπάνες</w:t>
            </w:r>
          </w:p>
        </w:tc>
      </w:tr>
      <w:tr w:rsidR="00C97DDE" w:rsidRPr="0029055C" w14:paraId="0EA315F7" w14:textId="77777777" w:rsidTr="00507AF3">
        <w:trPr>
          <w:jc w:val="center"/>
        </w:trPr>
        <w:tc>
          <w:tcPr>
            <w:tcW w:w="607" w:type="pct"/>
            <w:tcBorders>
              <w:top w:val="nil"/>
              <w:left w:val="single" w:sz="4" w:space="0" w:color="92CDDC"/>
              <w:bottom w:val="single" w:sz="4" w:space="0" w:color="92CDDC"/>
              <w:right w:val="single" w:sz="4" w:space="0" w:color="92CDDC"/>
            </w:tcBorders>
            <w:shd w:val="clear" w:color="000000" w:fill="DAEEF3"/>
            <w:noWrap/>
            <w:vAlign w:val="bottom"/>
            <w:hideMark/>
          </w:tcPr>
          <w:p w14:paraId="33B74D03" w14:textId="77777777" w:rsidR="00C97DDE" w:rsidRPr="0029055C" w:rsidRDefault="00C97DDE" w:rsidP="00507AF3">
            <w:pPr>
              <w:spacing w:before="80" w:after="80" w:line="240" w:lineRule="auto"/>
              <w:jc w:val="left"/>
              <w:rPr>
                <w:rFonts w:asciiTheme="minorHAnsi" w:hAnsiTheme="minorHAnsi" w:cstheme="minorHAnsi"/>
                <w:b/>
                <w:bCs/>
                <w:color w:val="31869B"/>
                <w:szCs w:val="20"/>
              </w:rPr>
            </w:pPr>
            <w:r w:rsidRPr="0029055C">
              <w:rPr>
                <w:rFonts w:cs="Calibri"/>
                <w:b/>
                <w:bCs/>
                <w:color w:val="31869B"/>
                <w:szCs w:val="18"/>
              </w:rPr>
              <w:t>Β.1</w:t>
            </w:r>
          </w:p>
        </w:tc>
        <w:tc>
          <w:tcPr>
            <w:tcW w:w="581" w:type="pct"/>
            <w:tcBorders>
              <w:top w:val="nil"/>
              <w:left w:val="nil"/>
              <w:bottom w:val="single" w:sz="4" w:space="0" w:color="92CDDC"/>
              <w:right w:val="single" w:sz="4" w:space="0" w:color="92CDDC"/>
            </w:tcBorders>
            <w:shd w:val="clear" w:color="000000" w:fill="DAEEF3"/>
            <w:noWrap/>
            <w:vAlign w:val="bottom"/>
            <w:hideMark/>
          </w:tcPr>
          <w:p w14:paraId="1A1236B9"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135.000.000,00</w:t>
            </w:r>
          </w:p>
        </w:tc>
        <w:tc>
          <w:tcPr>
            <w:tcW w:w="581" w:type="pct"/>
            <w:tcBorders>
              <w:top w:val="nil"/>
              <w:left w:val="nil"/>
              <w:bottom w:val="single" w:sz="4" w:space="0" w:color="92CDDC"/>
              <w:right w:val="single" w:sz="4" w:space="0" w:color="92CDDC"/>
            </w:tcBorders>
            <w:shd w:val="clear" w:color="000000" w:fill="DAEEF3"/>
            <w:noWrap/>
            <w:vAlign w:val="bottom"/>
            <w:hideMark/>
          </w:tcPr>
          <w:p w14:paraId="47CA0763"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213.009.495,99</w:t>
            </w:r>
          </w:p>
        </w:tc>
        <w:tc>
          <w:tcPr>
            <w:tcW w:w="519" w:type="pct"/>
            <w:tcBorders>
              <w:top w:val="nil"/>
              <w:left w:val="nil"/>
              <w:bottom w:val="single" w:sz="4" w:space="0" w:color="92CDDC"/>
              <w:right w:val="single" w:sz="4" w:space="0" w:color="92CDDC"/>
            </w:tcBorders>
            <w:shd w:val="clear" w:color="000000" w:fill="DAEEF3"/>
            <w:noWrap/>
            <w:vAlign w:val="bottom"/>
            <w:hideMark/>
          </w:tcPr>
          <w:p w14:paraId="2C8A32F0" w14:textId="77777777" w:rsidR="00C97DDE" w:rsidRPr="0029055C" w:rsidRDefault="00C97DDE" w:rsidP="00507AF3">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9</w:t>
            </w:r>
          </w:p>
        </w:tc>
        <w:tc>
          <w:tcPr>
            <w:tcW w:w="561" w:type="pct"/>
            <w:tcBorders>
              <w:top w:val="nil"/>
              <w:left w:val="nil"/>
              <w:bottom w:val="single" w:sz="4" w:space="0" w:color="92CDDC"/>
              <w:right w:val="single" w:sz="4" w:space="0" w:color="92CDDC"/>
            </w:tcBorders>
            <w:shd w:val="clear" w:color="000000" w:fill="DAEEF3"/>
            <w:noWrap/>
            <w:vAlign w:val="bottom"/>
            <w:hideMark/>
          </w:tcPr>
          <w:p w14:paraId="4CD0F016"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98.803.456,82</w:t>
            </w:r>
          </w:p>
        </w:tc>
        <w:tc>
          <w:tcPr>
            <w:tcW w:w="485" w:type="pct"/>
            <w:tcBorders>
              <w:top w:val="nil"/>
              <w:left w:val="nil"/>
              <w:bottom w:val="single" w:sz="4" w:space="0" w:color="92CDDC"/>
              <w:right w:val="single" w:sz="4" w:space="0" w:color="92CDDC"/>
            </w:tcBorders>
            <w:shd w:val="clear" w:color="000000" w:fill="DAEEF3"/>
            <w:noWrap/>
            <w:vAlign w:val="bottom"/>
            <w:hideMark/>
          </w:tcPr>
          <w:p w14:paraId="0697601A" w14:textId="77777777" w:rsidR="00C97DDE" w:rsidRPr="0029055C" w:rsidRDefault="00C97DDE" w:rsidP="00507AF3">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7</w:t>
            </w:r>
          </w:p>
        </w:tc>
        <w:tc>
          <w:tcPr>
            <w:tcW w:w="555" w:type="pct"/>
            <w:tcBorders>
              <w:top w:val="nil"/>
              <w:left w:val="nil"/>
              <w:bottom w:val="single" w:sz="4" w:space="0" w:color="92CDDC"/>
              <w:right w:val="single" w:sz="4" w:space="0" w:color="92CDDC"/>
            </w:tcBorders>
            <w:shd w:val="clear" w:color="000000" w:fill="DAEEF3"/>
            <w:noWrap/>
            <w:vAlign w:val="bottom"/>
            <w:hideMark/>
          </w:tcPr>
          <w:p w14:paraId="784E6C54" w14:textId="77777777" w:rsidR="00C97DDE" w:rsidRPr="0029055C" w:rsidRDefault="00C97DDE" w:rsidP="00507AF3">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29.379.928,24</w:t>
            </w:r>
          </w:p>
        </w:tc>
        <w:tc>
          <w:tcPr>
            <w:tcW w:w="555" w:type="pct"/>
            <w:tcBorders>
              <w:top w:val="nil"/>
              <w:left w:val="nil"/>
              <w:bottom w:val="single" w:sz="4" w:space="0" w:color="92CDDC"/>
              <w:right w:val="single" w:sz="4" w:space="0" w:color="92CDDC"/>
            </w:tcBorders>
            <w:shd w:val="clear" w:color="000000" w:fill="DAEEF3"/>
            <w:noWrap/>
            <w:vAlign w:val="bottom"/>
            <w:hideMark/>
          </w:tcPr>
          <w:p w14:paraId="739EDD21"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20.522.850,01</w:t>
            </w:r>
          </w:p>
        </w:tc>
        <w:tc>
          <w:tcPr>
            <w:tcW w:w="555" w:type="pct"/>
            <w:tcBorders>
              <w:top w:val="nil"/>
              <w:left w:val="nil"/>
              <w:bottom w:val="single" w:sz="4" w:space="0" w:color="92CDDC"/>
              <w:right w:val="single" w:sz="4" w:space="0" w:color="92CDDC"/>
            </w:tcBorders>
            <w:shd w:val="clear" w:color="000000" w:fill="DAEEF3"/>
            <w:noWrap/>
            <w:vAlign w:val="bottom"/>
            <w:hideMark/>
          </w:tcPr>
          <w:p w14:paraId="30963CB1"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17.443.725,62</w:t>
            </w:r>
          </w:p>
        </w:tc>
      </w:tr>
      <w:tr w:rsidR="00C97DDE" w:rsidRPr="0029055C" w14:paraId="5E7A87A7" w14:textId="77777777" w:rsidTr="00507AF3">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center"/>
            <w:hideMark/>
          </w:tcPr>
          <w:p w14:paraId="218E5908"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Β.1.1</w:t>
            </w:r>
          </w:p>
        </w:tc>
        <w:tc>
          <w:tcPr>
            <w:tcW w:w="581" w:type="pct"/>
            <w:tcBorders>
              <w:top w:val="nil"/>
              <w:left w:val="nil"/>
              <w:bottom w:val="single" w:sz="4" w:space="0" w:color="92CDDC"/>
              <w:right w:val="single" w:sz="4" w:space="0" w:color="92CDDC"/>
            </w:tcBorders>
            <w:shd w:val="clear" w:color="auto" w:fill="auto"/>
            <w:noWrap/>
            <w:vAlign w:val="center"/>
            <w:hideMark/>
          </w:tcPr>
          <w:p w14:paraId="6CFA5980"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105.000.000,00</w:t>
            </w:r>
          </w:p>
        </w:tc>
        <w:tc>
          <w:tcPr>
            <w:tcW w:w="581" w:type="pct"/>
            <w:tcBorders>
              <w:top w:val="nil"/>
              <w:left w:val="nil"/>
              <w:bottom w:val="single" w:sz="4" w:space="0" w:color="92CDDC"/>
              <w:right w:val="single" w:sz="4" w:space="0" w:color="92CDDC"/>
            </w:tcBorders>
            <w:shd w:val="clear" w:color="auto" w:fill="auto"/>
            <w:noWrap/>
            <w:vAlign w:val="center"/>
            <w:hideMark/>
          </w:tcPr>
          <w:p w14:paraId="5B487C48"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190.544.763,97</w:t>
            </w:r>
          </w:p>
        </w:tc>
        <w:tc>
          <w:tcPr>
            <w:tcW w:w="519" w:type="pct"/>
            <w:tcBorders>
              <w:top w:val="nil"/>
              <w:left w:val="nil"/>
              <w:bottom w:val="single" w:sz="4" w:space="0" w:color="92CDDC"/>
              <w:right w:val="single" w:sz="4" w:space="0" w:color="92CDDC"/>
            </w:tcBorders>
            <w:shd w:val="clear" w:color="auto" w:fill="auto"/>
            <w:noWrap/>
            <w:vAlign w:val="center"/>
            <w:hideMark/>
          </w:tcPr>
          <w:p w14:paraId="06D4CEDF" w14:textId="77777777" w:rsidR="00C97DDE" w:rsidRPr="0029055C" w:rsidRDefault="00C97DDE" w:rsidP="00507AF3">
            <w:pPr>
              <w:spacing w:before="80" w:after="80" w:line="240" w:lineRule="auto"/>
              <w:jc w:val="center"/>
              <w:rPr>
                <w:rFonts w:asciiTheme="minorHAnsi" w:hAnsiTheme="minorHAnsi" w:cstheme="minorHAnsi"/>
                <w:color w:val="000000"/>
                <w:szCs w:val="20"/>
              </w:rPr>
            </w:pPr>
            <w:r w:rsidRPr="0029055C">
              <w:rPr>
                <w:rFonts w:cs="Calibri"/>
                <w:color w:val="000000"/>
                <w:szCs w:val="18"/>
              </w:rPr>
              <w:t>6</w:t>
            </w:r>
          </w:p>
        </w:tc>
        <w:tc>
          <w:tcPr>
            <w:tcW w:w="561" w:type="pct"/>
            <w:tcBorders>
              <w:top w:val="nil"/>
              <w:left w:val="nil"/>
              <w:bottom w:val="single" w:sz="4" w:space="0" w:color="92CDDC"/>
              <w:right w:val="single" w:sz="4" w:space="0" w:color="92CDDC"/>
            </w:tcBorders>
            <w:shd w:val="clear" w:color="auto" w:fill="auto"/>
            <w:noWrap/>
            <w:vAlign w:val="center"/>
            <w:hideMark/>
          </w:tcPr>
          <w:p w14:paraId="2D10E607"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81.151.456,82</w:t>
            </w:r>
          </w:p>
        </w:tc>
        <w:tc>
          <w:tcPr>
            <w:tcW w:w="485" w:type="pct"/>
            <w:tcBorders>
              <w:top w:val="nil"/>
              <w:left w:val="nil"/>
              <w:bottom w:val="single" w:sz="4" w:space="0" w:color="92CDDC"/>
              <w:right w:val="single" w:sz="4" w:space="0" w:color="92CDDC"/>
            </w:tcBorders>
            <w:shd w:val="clear" w:color="auto" w:fill="auto"/>
            <w:noWrap/>
            <w:vAlign w:val="center"/>
            <w:hideMark/>
          </w:tcPr>
          <w:p w14:paraId="7C556A0A" w14:textId="77777777" w:rsidR="00C97DDE" w:rsidRPr="0029055C" w:rsidRDefault="00C97DDE" w:rsidP="00507AF3">
            <w:pPr>
              <w:spacing w:before="80" w:after="80" w:line="240" w:lineRule="auto"/>
              <w:jc w:val="center"/>
              <w:rPr>
                <w:rFonts w:asciiTheme="minorHAnsi" w:hAnsiTheme="minorHAnsi" w:cstheme="minorHAnsi"/>
                <w:color w:val="000000"/>
                <w:szCs w:val="20"/>
              </w:rPr>
            </w:pPr>
            <w:r w:rsidRPr="0029055C">
              <w:rPr>
                <w:rFonts w:cs="Calibri"/>
                <w:color w:val="000000"/>
                <w:szCs w:val="18"/>
              </w:rPr>
              <w:t>6</w:t>
            </w:r>
          </w:p>
        </w:tc>
        <w:tc>
          <w:tcPr>
            <w:tcW w:w="555" w:type="pct"/>
            <w:tcBorders>
              <w:top w:val="nil"/>
              <w:left w:val="nil"/>
              <w:bottom w:val="single" w:sz="4" w:space="0" w:color="92CDDC"/>
              <w:right w:val="single" w:sz="4" w:space="0" w:color="92CDDC"/>
            </w:tcBorders>
            <w:shd w:val="clear" w:color="auto" w:fill="auto"/>
            <w:noWrap/>
            <w:vAlign w:val="center"/>
            <w:hideMark/>
          </w:tcPr>
          <w:p w14:paraId="73D1F71E" w14:textId="77777777" w:rsidR="00C97DDE" w:rsidRPr="0029055C" w:rsidRDefault="00C97DDE" w:rsidP="00507AF3">
            <w:pPr>
              <w:spacing w:before="80" w:after="80" w:line="240" w:lineRule="auto"/>
              <w:jc w:val="center"/>
              <w:rPr>
                <w:rFonts w:asciiTheme="minorHAnsi" w:hAnsiTheme="minorHAnsi" w:cstheme="minorHAnsi"/>
                <w:color w:val="000000"/>
                <w:szCs w:val="20"/>
              </w:rPr>
            </w:pPr>
            <w:r w:rsidRPr="0029055C">
              <w:rPr>
                <w:rFonts w:cs="Calibri"/>
                <w:color w:val="000000"/>
                <w:szCs w:val="18"/>
              </w:rPr>
              <w:t>21.469.019,80</w:t>
            </w:r>
          </w:p>
        </w:tc>
        <w:tc>
          <w:tcPr>
            <w:tcW w:w="555" w:type="pct"/>
            <w:tcBorders>
              <w:top w:val="nil"/>
              <w:left w:val="nil"/>
              <w:bottom w:val="single" w:sz="4" w:space="0" w:color="92CDDC"/>
              <w:right w:val="single" w:sz="4" w:space="0" w:color="92CDDC"/>
            </w:tcBorders>
            <w:shd w:val="clear" w:color="auto" w:fill="auto"/>
            <w:noWrap/>
            <w:vAlign w:val="center"/>
            <w:hideMark/>
          </w:tcPr>
          <w:p w14:paraId="590232E8"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20.325.555,81</w:t>
            </w:r>
          </w:p>
        </w:tc>
        <w:tc>
          <w:tcPr>
            <w:tcW w:w="555" w:type="pct"/>
            <w:tcBorders>
              <w:top w:val="nil"/>
              <w:left w:val="nil"/>
              <w:bottom w:val="single" w:sz="4" w:space="0" w:color="92CDDC"/>
              <w:right w:val="single" w:sz="4" w:space="0" w:color="92CDDC"/>
            </w:tcBorders>
            <w:shd w:val="clear" w:color="auto" w:fill="auto"/>
            <w:noWrap/>
            <w:vAlign w:val="center"/>
            <w:hideMark/>
          </w:tcPr>
          <w:p w14:paraId="4467D59B"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17.443.725,62</w:t>
            </w:r>
          </w:p>
        </w:tc>
      </w:tr>
      <w:tr w:rsidR="00C97DDE" w:rsidRPr="0029055C" w14:paraId="6042E9F7" w14:textId="77777777" w:rsidTr="00507AF3">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center"/>
            <w:hideMark/>
          </w:tcPr>
          <w:p w14:paraId="1DB30489"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Β.1.2</w:t>
            </w:r>
          </w:p>
        </w:tc>
        <w:tc>
          <w:tcPr>
            <w:tcW w:w="581" w:type="pct"/>
            <w:tcBorders>
              <w:top w:val="nil"/>
              <w:left w:val="nil"/>
              <w:bottom w:val="single" w:sz="4" w:space="0" w:color="92CDDC"/>
              <w:right w:val="single" w:sz="4" w:space="0" w:color="92CDDC"/>
            </w:tcBorders>
            <w:shd w:val="clear" w:color="auto" w:fill="auto"/>
            <w:noWrap/>
            <w:vAlign w:val="center"/>
            <w:hideMark/>
          </w:tcPr>
          <w:p w14:paraId="77C1C0B3"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30.000.000,00</w:t>
            </w:r>
          </w:p>
        </w:tc>
        <w:tc>
          <w:tcPr>
            <w:tcW w:w="581" w:type="pct"/>
            <w:tcBorders>
              <w:top w:val="nil"/>
              <w:left w:val="nil"/>
              <w:bottom w:val="single" w:sz="4" w:space="0" w:color="92CDDC"/>
              <w:right w:val="single" w:sz="4" w:space="0" w:color="92CDDC"/>
            </w:tcBorders>
            <w:shd w:val="clear" w:color="auto" w:fill="auto"/>
            <w:noWrap/>
            <w:vAlign w:val="center"/>
            <w:hideMark/>
          </w:tcPr>
          <w:p w14:paraId="5F0A976D"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22.464.732,02</w:t>
            </w:r>
          </w:p>
        </w:tc>
        <w:tc>
          <w:tcPr>
            <w:tcW w:w="519" w:type="pct"/>
            <w:tcBorders>
              <w:top w:val="nil"/>
              <w:left w:val="nil"/>
              <w:bottom w:val="single" w:sz="4" w:space="0" w:color="92CDDC"/>
              <w:right w:val="single" w:sz="4" w:space="0" w:color="92CDDC"/>
            </w:tcBorders>
            <w:shd w:val="clear" w:color="auto" w:fill="auto"/>
            <w:noWrap/>
            <w:vAlign w:val="center"/>
            <w:hideMark/>
          </w:tcPr>
          <w:p w14:paraId="346008F0" w14:textId="77777777" w:rsidR="00C97DDE" w:rsidRPr="0029055C" w:rsidRDefault="00C97DDE" w:rsidP="00507AF3">
            <w:pPr>
              <w:spacing w:before="80" w:after="80" w:line="240" w:lineRule="auto"/>
              <w:jc w:val="center"/>
              <w:rPr>
                <w:rFonts w:asciiTheme="minorHAnsi" w:hAnsiTheme="minorHAnsi" w:cstheme="minorHAnsi"/>
                <w:color w:val="000000"/>
                <w:szCs w:val="20"/>
              </w:rPr>
            </w:pPr>
            <w:r w:rsidRPr="0029055C">
              <w:rPr>
                <w:rFonts w:cs="Calibri"/>
                <w:color w:val="000000"/>
                <w:szCs w:val="18"/>
              </w:rPr>
              <w:t>3</w:t>
            </w:r>
          </w:p>
        </w:tc>
        <w:tc>
          <w:tcPr>
            <w:tcW w:w="561" w:type="pct"/>
            <w:tcBorders>
              <w:top w:val="nil"/>
              <w:left w:val="nil"/>
              <w:bottom w:val="single" w:sz="4" w:space="0" w:color="92CDDC"/>
              <w:right w:val="single" w:sz="4" w:space="0" w:color="92CDDC"/>
            </w:tcBorders>
            <w:shd w:val="clear" w:color="auto" w:fill="auto"/>
            <w:noWrap/>
            <w:vAlign w:val="center"/>
            <w:hideMark/>
          </w:tcPr>
          <w:p w14:paraId="6343BEF2"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17.652.000,00</w:t>
            </w:r>
          </w:p>
        </w:tc>
        <w:tc>
          <w:tcPr>
            <w:tcW w:w="485" w:type="pct"/>
            <w:tcBorders>
              <w:top w:val="nil"/>
              <w:left w:val="nil"/>
              <w:bottom w:val="single" w:sz="4" w:space="0" w:color="92CDDC"/>
              <w:right w:val="single" w:sz="4" w:space="0" w:color="92CDDC"/>
            </w:tcBorders>
            <w:shd w:val="clear" w:color="auto" w:fill="auto"/>
            <w:noWrap/>
            <w:vAlign w:val="center"/>
            <w:hideMark/>
          </w:tcPr>
          <w:p w14:paraId="39012900" w14:textId="77777777" w:rsidR="00C97DDE" w:rsidRPr="0029055C" w:rsidRDefault="00C97DDE" w:rsidP="00507AF3">
            <w:pPr>
              <w:spacing w:before="80" w:after="80" w:line="240" w:lineRule="auto"/>
              <w:jc w:val="center"/>
              <w:rPr>
                <w:rFonts w:asciiTheme="minorHAnsi" w:hAnsiTheme="minorHAnsi" w:cstheme="minorHAnsi"/>
                <w:color w:val="000000"/>
                <w:szCs w:val="20"/>
              </w:rPr>
            </w:pPr>
            <w:r w:rsidRPr="0029055C">
              <w:rPr>
                <w:rFonts w:cs="Calibri"/>
                <w:color w:val="000000"/>
                <w:szCs w:val="18"/>
              </w:rPr>
              <w:t>1</w:t>
            </w:r>
          </w:p>
        </w:tc>
        <w:tc>
          <w:tcPr>
            <w:tcW w:w="555" w:type="pct"/>
            <w:tcBorders>
              <w:top w:val="nil"/>
              <w:left w:val="nil"/>
              <w:bottom w:val="single" w:sz="4" w:space="0" w:color="92CDDC"/>
              <w:right w:val="single" w:sz="4" w:space="0" w:color="92CDDC"/>
            </w:tcBorders>
            <w:shd w:val="clear" w:color="auto" w:fill="auto"/>
            <w:noWrap/>
            <w:vAlign w:val="center"/>
            <w:hideMark/>
          </w:tcPr>
          <w:p w14:paraId="7C8EABBB" w14:textId="77777777" w:rsidR="00C97DDE" w:rsidRPr="0029055C" w:rsidRDefault="00C97DDE" w:rsidP="00507AF3">
            <w:pPr>
              <w:spacing w:before="80" w:after="80" w:line="240" w:lineRule="auto"/>
              <w:jc w:val="center"/>
              <w:rPr>
                <w:rFonts w:asciiTheme="minorHAnsi" w:hAnsiTheme="minorHAnsi" w:cstheme="minorHAnsi"/>
                <w:color w:val="000000"/>
                <w:szCs w:val="20"/>
              </w:rPr>
            </w:pPr>
            <w:r w:rsidRPr="0029055C">
              <w:rPr>
                <w:rFonts w:cs="Calibri"/>
                <w:color w:val="000000"/>
                <w:szCs w:val="18"/>
              </w:rPr>
              <w:t>7.910.908,44</w:t>
            </w:r>
          </w:p>
        </w:tc>
        <w:tc>
          <w:tcPr>
            <w:tcW w:w="555" w:type="pct"/>
            <w:tcBorders>
              <w:top w:val="nil"/>
              <w:left w:val="nil"/>
              <w:bottom w:val="single" w:sz="4" w:space="0" w:color="92CDDC"/>
              <w:right w:val="single" w:sz="4" w:space="0" w:color="92CDDC"/>
            </w:tcBorders>
            <w:shd w:val="clear" w:color="auto" w:fill="auto"/>
            <w:noWrap/>
            <w:vAlign w:val="center"/>
            <w:hideMark/>
          </w:tcPr>
          <w:p w14:paraId="085F10C2"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197.294,20</w:t>
            </w:r>
          </w:p>
        </w:tc>
        <w:tc>
          <w:tcPr>
            <w:tcW w:w="555" w:type="pct"/>
            <w:tcBorders>
              <w:top w:val="nil"/>
              <w:left w:val="nil"/>
              <w:bottom w:val="single" w:sz="4" w:space="0" w:color="92CDDC"/>
              <w:right w:val="single" w:sz="4" w:space="0" w:color="92CDDC"/>
            </w:tcBorders>
            <w:shd w:val="clear" w:color="auto" w:fill="auto"/>
            <w:noWrap/>
            <w:vAlign w:val="center"/>
            <w:hideMark/>
          </w:tcPr>
          <w:p w14:paraId="4212A4A3"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0,00</w:t>
            </w:r>
          </w:p>
        </w:tc>
      </w:tr>
      <w:tr w:rsidR="00C97DDE" w:rsidRPr="0029055C" w14:paraId="731CED16" w14:textId="77777777" w:rsidTr="00507AF3">
        <w:trPr>
          <w:jc w:val="center"/>
        </w:trPr>
        <w:tc>
          <w:tcPr>
            <w:tcW w:w="607" w:type="pct"/>
            <w:tcBorders>
              <w:top w:val="nil"/>
              <w:left w:val="single" w:sz="4" w:space="0" w:color="92CDDC"/>
              <w:bottom w:val="single" w:sz="4" w:space="0" w:color="92CDDC"/>
              <w:right w:val="single" w:sz="4" w:space="0" w:color="92CDDC"/>
            </w:tcBorders>
            <w:shd w:val="clear" w:color="000000" w:fill="DAEEF3"/>
            <w:noWrap/>
            <w:vAlign w:val="bottom"/>
            <w:hideMark/>
          </w:tcPr>
          <w:p w14:paraId="02168007" w14:textId="77777777" w:rsidR="00C97DDE" w:rsidRPr="0029055C" w:rsidRDefault="00C97DDE" w:rsidP="00507AF3">
            <w:pPr>
              <w:spacing w:before="80" w:after="80" w:line="240" w:lineRule="auto"/>
              <w:jc w:val="left"/>
              <w:rPr>
                <w:rFonts w:asciiTheme="minorHAnsi" w:hAnsiTheme="minorHAnsi" w:cstheme="minorHAnsi"/>
                <w:b/>
                <w:bCs/>
                <w:color w:val="31869B"/>
                <w:szCs w:val="20"/>
              </w:rPr>
            </w:pPr>
            <w:r w:rsidRPr="0029055C">
              <w:rPr>
                <w:rFonts w:cs="Calibri"/>
                <w:b/>
                <w:bCs/>
                <w:color w:val="31869B"/>
                <w:szCs w:val="18"/>
              </w:rPr>
              <w:t>Β.2</w:t>
            </w:r>
          </w:p>
        </w:tc>
        <w:tc>
          <w:tcPr>
            <w:tcW w:w="581" w:type="pct"/>
            <w:tcBorders>
              <w:top w:val="nil"/>
              <w:left w:val="nil"/>
              <w:bottom w:val="single" w:sz="4" w:space="0" w:color="92CDDC"/>
              <w:right w:val="single" w:sz="4" w:space="0" w:color="92CDDC"/>
            </w:tcBorders>
            <w:shd w:val="clear" w:color="000000" w:fill="DAEEF3"/>
            <w:noWrap/>
            <w:vAlign w:val="bottom"/>
            <w:hideMark/>
          </w:tcPr>
          <w:p w14:paraId="343A311C"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88.137.222,00</w:t>
            </w:r>
          </w:p>
        </w:tc>
        <w:tc>
          <w:tcPr>
            <w:tcW w:w="581" w:type="pct"/>
            <w:tcBorders>
              <w:top w:val="nil"/>
              <w:left w:val="nil"/>
              <w:bottom w:val="single" w:sz="4" w:space="0" w:color="92CDDC"/>
              <w:right w:val="single" w:sz="4" w:space="0" w:color="92CDDC"/>
            </w:tcBorders>
            <w:shd w:val="clear" w:color="000000" w:fill="DAEEF3"/>
            <w:noWrap/>
            <w:vAlign w:val="bottom"/>
            <w:hideMark/>
          </w:tcPr>
          <w:p w14:paraId="377ACB3A"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90.045.497,90</w:t>
            </w:r>
          </w:p>
        </w:tc>
        <w:tc>
          <w:tcPr>
            <w:tcW w:w="519" w:type="pct"/>
            <w:tcBorders>
              <w:top w:val="nil"/>
              <w:left w:val="nil"/>
              <w:bottom w:val="single" w:sz="4" w:space="0" w:color="92CDDC"/>
              <w:right w:val="single" w:sz="4" w:space="0" w:color="92CDDC"/>
            </w:tcBorders>
            <w:shd w:val="clear" w:color="000000" w:fill="DAEEF3"/>
            <w:noWrap/>
            <w:vAlign w:val="bottom"/>
            <w:hideMark/>
          </w:tcPr>
          <w:p w14:paraId="7CD3488F" w14:textId="77777777" w:rsidR="00C97DDE" w:rsidRPr="0029055C" w:rsidRDefault="00C97DDE" w:rsidP="00507AF3">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3</w:t>
            </w:r>
          </w:p>
        </w:tc>
        <w:tc>
          <w:tcPr>
            <w:tcW w:w="561" w:type="pct"/>
            <w:tcBorders>
              <w:top w:val="nil"/>
              <w:left w:val="nil"/>
              <w:bottom w:val="single" w:sz="4" w:space="0" w:color="92CDDC"/>
              <w:right w:val="single" w:sz="4" w:space="0" w:color="92CDDC"/>
            </w:tcBorders>
            <w:shd w:val="clear" w:color="000000" w:fill="DAEEF3"/>
            <w:noWrap/>
            <w:vAlign w:val="bottom"/>
            <w:hideMark/>
          </w:tcPr>
          <w:p w14:paraId="509383A5"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36.915.407,12</w:t>
            </w:r>
          </w:p>
        </w:tc>
        <w:tc>
          <w:tcPr>
            <w:tcW w:w="485" w:type="pct"/>
            <w:tcBorders>
              <w:top w:val="nil"/>
              <w:left w:val="nil"/>
              <w:bottom w:val="single" w:sz="4" w:space="0" w:color="92CDDC"/>
              <w:right w:val="single" w:sz="4" w:space="0" w:color="92CDDC"/>
            </w:tcBorders>
            <w:shd w:val="clear" w:color="000000" w:fill="DAEEF3"/>
            <w:noWrap/>
            <w:vAlign w:val="bottom"/>
            <w:hideMark/>
          </w:tcPr>
          <w:p w14:paraId="462E27C9" w14:textId="77777777" w:rsidR="00C97DDE" w:rsidRPr="0029055C" w:rsidRDefault="00C97DDE" w:rsidP="00507AF3">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8</w:t>
            </w:r>
          </w:p>
        </w:tc>
        <w:tc>
          <w:tcPr>
            <w:tcW w:w="555" w:type="pct"/>
            <w:tcBorders>
              <w:top w:val="nil"/>
              <w:left w:val="nil"/>
              <w:bottom w:val="single" w:sz="4" w:space="0" w:color="92CDDC"/>
              <w:right w:val="single" w:sz="4" w:space="0" w:color="92CDDC"/>
            </w:tcBorders>
            <w:shd w:val="clear" w:color="000000" w:fill="DAEEF3"/>
            <w:noWrap/>
            <w:vAlign w:val="bottom"/>
            <w:hideMark/>
          </w:tcPr>
          <w:p w14:paraId="73B91180" w14:textId="77777777" w:rsidR="00C97DDE" w:rsidRPr="0029055C" w:rsidRDefault="00C97DDE" w:rsidP="00507AF3">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40.346.846,50</w:t>
            </w:r>
          </w:p>
        </w:tc>
        <w:tc>
          <w:tcPr>
            <w:tcW w:w="555" w:type="pct"/>
            <w:tcBorders>
              <w:top w:val="nil"/>
              <w:left w:val="nil"/>
              <w:bottom w:val="single" w:sz="4" w:space="0" w:color="92CDDC"/>
              <w:right w:val="single" w:sz="4" w:space="0" w:color="92CDDC"/>
            </w:tcBorders>
            <w:shd w:val="clear" w:color="000000" w:fill="DAEEF3"/>
            <w:noWrap/>
            <w:vAlign w:val="bottom"/>
            <w:hideMark/>
          </w:tcPr>
          <w:p w14:paraId="1DE14048"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35.617.786,35</w:t>
            </w:r>
          </w:p>
        </w:tc>
        <w:tc>
          <w:tcPr>
            <w:tcW w:w="555" w:type="pct"/>
            <w:tcBorders>
              <w:top w:val="nil"/>
              <w:left w:val="nil"/>
              <w:bottom w:val="single" w:sz="4" w:space="0" w:color="92CDDC"/>
              <w:right w:val="single" w:sz="4" w:space="0" w:color="92CDDC"/>
            </w:tcBorders>
            <w:shd w:val="clear" w:color="000000" w:fill="DAEEF3"/>
            <w:noWrap/>
            <w:vAlign w:val="bottom"/>
            <w:hideMark/>
          </w:tcPr>
          <w:p w14:paraId="656BC978"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18.818.952,91</w:t>
            </w:r>
          </w:p>
        </w:tc>
      </w:tr>
      <w:tr w:rsidR="00C97DDE" w:rsidRPr="0029055C" w14:paraId="31304F01" w14:textId="77777777" w:rsidTr="00507AF3">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bottom"/>
            <w:hideMark/>
          </w:tcPr>
          <w:p w14:paraId="37C065CB"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Β.2.1</w:t>
            </w:r>
          </w:p>
        </w:tc>
        <w:tc>
          <w:tcPr>
            <w:tcW w:w="581" w:type="pct"/>
            <w:tcBorders>
              <w:top w:val="nil"/>
              <w:left w:val="nil"/>
              <w:bottom w:val="single" w:sz="4" w:space="0" w:color="92CDDC"/>
              <w:right w:val="single" w:sz="4" w:space="0" w:color="92CDDC"/>
            </w:tcBorders>
            <w:shd w:val="clear" w:color="auto" w:fill="auto"/>
            <w:noWrap/>
            <w:vAlign w:val="center"/>
            <w:hideMark/>
          </w:tcPr>
          <w:p w14:paraId="6B0DFFE0"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88.137.222,00</w:t>
            </w:r>
          </w:p>
        </w:tc>
        <w:tc>
          <w:tcPr>
            <w:tcW w:w="581" w:type="pct"/>
            <w:tcBorders>
              <w:top w:val="nil"/>
              <w:left w:val="nil"/>
              <w:bottom w:val="single" w:sz="4" w:space="0" w:color="92CDDC"/>
              <w:right w:val="single" w:sz="4" w:space="0" w:color="92CDDC"/>
            </w:tcBorders>
            <w:shd w:val="clear" w:color="auto" w:fill="auto"/>
            <w:noWrap/>
            <w:vAlign w:val="center"/>
            <w:hideMark/>
          </w:tcPr>
          <w:p w14:paraId="131E1A21"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90.045.497,90</w:t>
            </w:r>
          </w:p>
        </w:tc>
        <w:tc>
          <w:tcPr>
            <w:tcW w:w="519" w:type="pct"/>
            <w:tcBorders>
              <w:top w:val="nil"/>
              <w:left w:val="nil"/>
              <w:bottom w:val="single" w:sz="4" w:space="0" w:color="92CDDC"/>
              <w:right w:val="single" w:sz="4" w:space="0" w:color="92CDDC"/>
            </w:tcBorders>
            <w:shd w:val="clear" w:color="auto" w:fill="auto"/>
            <w:noWrap/>
            <w:vAlign w:val="center"/>
            <w:hideMark/>
          </w:tcPr>
          <w:p w14:paraId="04DD313E" w14:textId="77777777" w:rsidR="00C97DDE" w:rsidRPr="0029055C" w:rsidRDefault="00C97DDE" w:rsidP="00507AF3">
            <w:pPr>
              <w:spacing w:before="80" w:after="80" w:line="240" w:lineRule="auto"/>
              <w:jc w:val="center"/>
              <w:rPr>
                <w:rFonts w:asciiTheme="minorHAnsi" w:hAnsiTheme="minorHAnsi" w:cstheme="minorHAnsi"/>
                <w:color w:val="000000"/>
                <w:szCs w:val="20"/>
              </w:rPr>
            </w:pPr>
            <w:r w:rsidRPr="0029055C">
              <w:rPr>
                <w:rFonts w:cs="Calibri"/>
                <w:color w:val="000000"/>
                <w:szCs w:val="18"/>
              </w:rPr>
              <w:t>3</w:t>
            </w:r>
          </w:p>
        </w:tc>
        <w:tc>
          <w:tcPr>
            <w:tcW w:w="561" w:type="pct"/>
            <w:tcBorders>
              <w:top w:val="nil"/>
              <w:left w:val="nil"/>
              <w:bottom w:val="single" w:sz="4" w:space="0" w:color="92CDDC"/>
              <w:right w:val="single" w:sz="4" w:space="0" w:color="92CDDC"/>
            </w:tcBorders>
            <w:shd w:val="clear" w:color="auto" w:fill="auto"/>
            <w:noWrap/>
            <w:vAlign w:val="center"/>
            <w:hideMark/>
          </w:tcPr>
          <w:p w14:paraId="34B6D56A"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36.915.407,12</w:t>
            </w:r>
          </w:p>
        </w:tc>
        <w:tc>
          <w:tcPr>
            <w:tcW w:w="485" w:type="pct"/>
            <w:tcBorders>
              <w:top w:val="nil"/>
              <w:left w:val="nil"/>
              <w:bottom w:val="single" w:sz="4" w:space="0" w:color="92CDDC"/>
              <w:right w:val="single" w:sz="4" w:space="0" w:color="92CDDC"/>
            </w:tcBorders>
            <w:shd w:val="clear" w:color="auto" w:fill="auto"/>
            <w:noWrap/>
            <w:vAlign w:val="center"/>
            <w:hideMark/>
          </w:tcPr>
          <w:p w14:paraId="65261EB2" w14:textId="77777777" w:rsidR="00C97DDE" w:rsidRPr="0029055C" w:rsidRDefault="00C97DDE" w:rsidP="00507AF3">
            <w:pPr>
              <w:spacing w:before="80" w:after="80" w:line="240" w:lineRule="auto"/>
              <w:jc w:val="center"/>
              <w:rPr>
                <w:rFonts w:asciiTheme="minorHAnsi" w:hAnsiTheme="minorHAnsi" w:cstheme="minorHAnsi"/>
                <w:color w:val="000000"/>
                <w:szCs w:val="20"/>
              </w:rPr>
            </w:pPr>
            <w:r w:rsidRPr="0029055C">
              <w:rPr>
                <w:rFonts w:cs="Calibri"/>
                <w:color w:val="000000"/>
                <w:szCs w:val="18"/>
              </w:rPr>
              <w:t>8</w:t>
            </w:r>
          </w:p>
        </w:tc>
        <w:tc>
          <w:tcPr>
            <w:tcW w:w="555" w:type="pct"/>
            <w:tcBorders>
              <w:top w:val="nil"/>
              <w:left w:val="nil"/>
              <w:bottom w:val="single" w:sz="4" w:space="0" w:color="92CDDC"/>
              <w:right w:val="single" w:sz="4" w:space="0" w:color="92CDDC"/>
            </w:tcBorders>
            <w:shd w:val="clear" w:color="auto" w:fill="auto"/>
            <w:noWrap/>
            <w:vAlign w:val="center"/>
            <w:hideMark/>
          </w:tcPr>
          <w:p w14:paraId="02746EAE" w14:textId="77777777" w:rsidR="00C97DDE" w:rsidRPr="0029055C" w:rsidRDefault="00C97DDE" w:rsidP="00507AF3">
            <w:pPr>
              <w:spacing w:before="80" w:after="80" w:line="240" w:lineRule="auto"/>
              <w:jc w:val="center"/>
              <w:rPr>
                <w:rFonts w:asciiTheme="minorHAnsi" w:hAnsiTheme="minorHAnsi" w:cstheme="minorHAnsi"/>
                <w:color w:val="000000"/>
                <w:szCs w:val="20"/>
              </w:rPr>
            </w:pPr>
            <w:r w:rsidRPr="0029055C">
              <w:rPr>
                <w:rFonts w:cs="Calibri"/>
                <w:color w:val="000000"/>
                <w:szCs w:val="18"/>
              </w:rPr>
              <w:t>40.346.846,50</w:t>
            </w:r>
          </w:p>
        </w:tc>
        <w:tc>
          <w:tcPr>
            <w:tcW w:w="555" w:type="pct"/>
            <w:tcBorders>
              <w:top w:val="nil"/>
              <w:left w:val="nil"/>
              <w:bottom w:val="single" w:sz="4" w:space="0" w:color="92CDDC"/>
              <w:right w:val="single" w:sz="4" w:space="0" w:color="92CDDC"/>
            </w:tcBorders>
            <w:shd w:val="clear" w:color="auto" w:fill="auto"/>
            <w:noWrap/>
            <w:vAlign w:val="center"/>
            <w:hideMark/>
          </w:tcPr>
          <w:p w14:paraId="47C6BEC9"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35.617.786,35</w:t>
            </w:r>
          </w:p>
        </w:tc>
        <w:tc>
          <w:tcPr>
            <w:tcW w:w="555" w:type="pct"/>
            <w:tcBorders>
              <w:top w:val="nil"/>
              <w:left w:val="nil"/>
              <w:bottom w:val="single" w:sz="4" w:space="0" w:color="92CDDC"/>
              <w:right w:val="single" w:sz="4" w:space="0" w:color="92CDDC"/>
            </w:tcBorders>
            <w:shd w:val="clear" w:color="auto" w:fill="auto"/>
            <w:noWrap/>
            <w:vAlign w:val="center"/>
            <w:hideMark/>
          </w:tcPr>
          <w:p w14:paraId="2E91F9FE" w14:textId="77777777" w:rsidR="00C97DDE" w:rsidRPr="0029055C" w:rsidRDefault="00C97DDE" w:rsidP="00507AF3">
            <w:pPr>
              <w:spacing w:before="80" w:after="80" w:line="240" w:lineRule="auto"/>
              <w:jc w:val="right"/>
              <w:rPr>
                <w:rFonts w:asciiTheme="minorHAnsi" w:hAnsiTheme="minorHAnsi" w:cstheme="minorHAnsi"/>
                <w:color w:val="000000"/>
                <w:szCs w:val="20"/>
              </w:rPr>
            </w:pPr>
            <w:r w:rsidRPr="0029055C">
              <w:rPr>
                <w:rFonts w:cs="Calibri"/>
                <w:color w:val="000000"/>
                <w:szCs w:val="18"/>
              </w:rPr>
              <w:t>18.818.952,91</w:t>
            </w:r>
          </w:p>
        </w:tc>
      </w:tr>
      <w:tr w:rsidR="00C97DDE" w:rsidRPr="0029055C" w14:paraId="2A245E2C" w14:textId="77777777" w:rsidTr="00507AF3">
        <w:trPr>
          <w:jc w:val="center"/>
        </w:trPr>
        <w:tc>
          <w:tcPr>
            <w:tcW w:w="607" w:type="pct"/>
            <w:tcBorders>
              <w:top w:val="single" w:sz="12" w:space="0" w:color="92CDDC"/>
              <w:left w:val="single" w:sz="4" w:space="0" w:color="92CDDC"/>
              <w:bottom w:val="single" w:sz="12" w:space="0" w:color="92CDDC"/>
              <w:right w:val="single" w:sz="4" w:space="0" w:color="92CDDC"/>
            </w:tcBorders>
            <w:shd w:val="clear" w:color="auto" w:fill="auto"/>
            <w:noWrap/>
            <w:vAlign w:val="bottom"/>
            <w:hideMark/>
          </w:tcPr>
          <w:p w14:paraId="2553A904" w14:textId="77777777" w:rsidR="00C97DDE" w:rsidRPr="0029055C" w:rsidRDefault="00C97DDE" w:rsidP="00AC462E">
            <w:pPr>
              <w:spacing w:before="80" w:after="80" w:line="240" w:lineRule="auto"/>
              <w:jc w:val="left"/>
              <w:rPr>
                <w:rFonts w:asciiTheme="minorHAnsi" w:hAnsiTheme="minorHAnsi" w:cstheme="minorHAnsi"/>
                <w:b/>
                <w:bCs/>
                <w:color w:val="31869B"/>
                <w:szCs w:val="20"/>
              </w:rPr>
            </w:pPr>
            <w:r w:rsidRPr="0029055C">
              <w:rPr>
                <w:rFonts w:asciiTheme="minorHAnsi" w:hAnsiTheme="minorHAnsi" w:cstheme="minorHAnsi"/>
                <w:b/>
                <w:bCs/>
                <w:color w:val="31869B"/>
                <w:szCs w:val="20"/>
              </w:rPr>
              <w:t xml:space="preserve">Σύνολο Θεματικού Άξονα </w:t>
            </w:r>
            <w:r w:rsidR="00AC462E" w:rsidRPr="0029055C">
              <w:rPr>
                <w:rFonts w:asciiTheme="minorHAnsi" w:hAnsiTheme="minorHAnsi" w:cstheme="minorHAnsi"/>
                <w:b/>
                <w:bCs/>
                <w:color w:val="31869B"/>
                <w:szCs w:val="20"/>
              </w:rPr>
              <w:t>ΙΙ</w:t>
            </w:r>
          </w:p>
        </w:tc>
        <w:tc>
          <w:tcPr>
            <w:tcW w:w="581" w:type="pct"/>
            <w:tcBorders>
              <w:top w:val="single" w:sz="12" w:space="0" w:color="92CDDC"/>
              <w:left w:val="nil"/>
              <w:bottom w:val="single" w:sz="12" w:space="0" w:color="92CDDC"/>
              <w:right w:val="single" w:sz="4" w:space="0" w:color="92CDDC"/>
            </w:tcBorders>
            <w:shd w:val="clear" w:color="auto" w:fill="auto"/>
            <w:noWrap/>
            <w:vAlign w:val="center"/>
            <w:hideMark/>
          </w:tcPr>
          <w:p w14:paraId="1587B527"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223.137.222,00</w:t>
            </w:r>
          </w:p>
        </w:tc>
        <w:tc>
          <w:tcPr>
            <w:tcW w:w="581" w:type="pct"/>
            <w:tcBorders>
              <w:top w:val="single" w:sz="12" w:space="0" w:color="92CDDC"/>
              <w:left w:val="nil"/>
              <w:bottom w:val="single" w:sz="12" w:space="0" w:color="92CDDC"/>
              <w:right w:val="single" w:sz="4" w:space="0" w:color="92CDDC"/>
            </w:tcBorders>
            <w:shd w:val="clear" w:color="auto" w:fill="auto"/>
            <w:noWrap/>
            <w:vAlign w:val="center"/>
            <w:hideMark/>
          </w:tcPr>
          <w:p w14:paraId="123D6393"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303.054.993,89</w:t>
            </w:r>
          </w:p>
        </w:tc>
        <w:tc>
          <w:tcPr>
            <w:tcW w:w="519" w:type="pct"/>
            <w:tcBorders>
              <w:top w:val="single" w:sz="12" w:space="0" w:color="92CDDC"/>
              <w:left w:val="nil"/>
              <w:bottom w:val="single" w:sz="12" w:space="0" w:color="92CDDC"/>
              <w:right w:val="single" w:sz="4" w:space="0" w:color="92CDDC"/>
            </w:tcBorders>
            <w:shd w:val="clear" w:color="auto" w:fill="auto"/>
            <w:noWrap/>
            <w:vAlign w:val="center"/>
            <w:hideMark/>
          </w:tcPr>
          <w:p w14:paraId="5821C00A" w14:textId="77777777" w:rsidR="00C97DDE" w:rsidRPr="0029055C" w:rsidRDefault="00C97DDE" w:rsidP="00507AF3">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6</w:t>
            </w:r>
          </w:p>
        </w:tc>
        <w:tc>
          <w:tcPr>
            <w:tcW w:w="561" w:type="pct"/>
            <w:tcBorders>
              <w:top w:val="single" w:sz="12" w:space="0" w:color="92CDDC"/>
              <w:left w:val="nil"/>
              <w:bottom w:val="single" w:sz="12" w:space="0" w:color="92CDDC"/>
              <w:right w:val="single" w:sz="4" w:space="0" w:color="92CDDC"/>
            </w:tcBorders>
            <w:shd w:val="clear" w:color="auto" w:fill="auto"/>
            <w:noWrap/>
            <w:vAlign w:val="center"/>
            <w:hideMark/>
          </w:tcPr>
          <w:p w14:paraId="21D11DF8"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135.718.863,94</w:t>
            </w:r>
          </w:p>
        </w:tc>
        <w:tc>
          <w:tcPr>
            <w:tcW w:w="485" w:type="pct"/>
            <w:tcBorders>
              <w:top w:val="single" w:sz="12" w:space="0" w:color="92CDDC"/>
              <w:left w:val="nil"/>
              <w:bottom w:val="single" w:sz="12" w:space="0" w:color="92CDDC"/>
              <w:right w:val="single" w:sz="4" w:space="0" w:color="92CDDC"/>
            </w:tcBorders>
            <w:shd w:val="clear" w:color="auto" w:fill="auto"/>
            <w:noWrap/>
            <w:vAlign w:val="center"/>
            <w:hideMark/>
          </w:tcPr>
          <w:p w14:paraId="6E7780DE" w14:textId="77777777" w:rsidR="00C97DDE" w:rsidRPr="0029055C" w:rsidRDefault="00C97DDE" w:rsidP="00507AF3">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11</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7997B350"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69.726.774,74</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4BC70F34"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56.140.636,36</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2E9F2392" w14:textId="77777777" w:rsidR="00C97DDE" w:rsidRPr="0029055C" w:rsidRDefault="00C97DDE" w:rsidP="00507A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36.262.678,53</w:t>
            </w:r>
          </w:p>
        </w:tc>
      </w:tr>
    </w:tbl>
    <w:p w14:paraId="503D986C" w14:textId="77777777" w:rsidR="00C97DDE" w:rsidRPr="0029055C" w:rsidRDefault="00C97DDE" w:rsidP="00C97DDE">
      <w:pPr>
        <w:spacing w:before="60" w:line="240" w:lineRule="auto"/>
        <w:rPr>
          <w:i/>
          <w:color w:val="215868" w:themeColor="accent5" w:themeShade="80"/>
        </w:rPr>
      </w:pPr>
      <w:r w:rsidRPr="0029055C">
        <w:rPr>
          <w:i/>
          <w:color w:val="215868" w:themeColor="accent5" w:themeShade="80"/>
        </w:rPr>
        <w:t>Πηγή: ΟΠΣ 01.06.2018</w:t>
      </w:r>
    </w:p>
    <w:p w14:paraId="660D4A4A" w14:textId="77777777" w:rsidR="00C97DDE" w:rsidRPr="0029055C" w:rsidRDefault="00C97DDE" w:rsidP="00C97DDE">
      <w:pPr>
        <w:tabs>
          <w:tab w:val="left" w:pos="252"/>
        </w:tabs>
        <w:ind w:left="266" w:hanging="266"/>
        <w:rPr>
          <w:i/>
        </w:rPr>
      </w:pPr>
      <w:r w:rsidRPr="0029055C">
        <w:rPr>
          <w:i/>
        </w:rPr>
        <w:t xml:space="preserve">* </w:t>
      </w:r>
      <w:r w:rsidRPr="0029055C">
        <w:rPr>
          <w:i/>
        </w:rPr>
        <w:tab/>
        <w:t xml:space="preserve">Ο αριθμός των προσκλήσεων ανά Ειδικό Στόχο και Κατηγορία Δράσης δεν αντιστοιχεί σε μοναδικό αριθμό δεδομένου ότι μία πρόσκληση μπορεί να αφορά σε περισσότερους από έναν Ειδικό Στόχο και σε περισσότερες από μία Κατηγορίες Δράσης. Το σύνολο των προσκλήσεων για το Θεματικό Άξονα </w:t>
      </w:r>
      <w:r w:rsidR="001B3747" w:rsidRPr="0029055C">
        <w:rPr>
          <w:i/>
        </w:rPr>
        <w:t>ΙΙ</w:t>
      </w:r>
      <w:r w:rsidRPr="0029055C">
        <w:rPr>
          <w:i/>
        </w:rPr>
        <w:t xml:space="preserve"> αντιστοιχεί σε μοναδικό αριθμό και δεν προκύπτει από τα επιμέρους αθροίσματα.</w:t>
      </w:r>
    </w:p>
    <w:p w14:paraId="26E7D7AB" w14:textId="77777777" w:rsidR="00C97DDE" w:rsidRPr="0029055C" w:rsidRDefault="00C97DDE" w:rsidP="00C97DDE">
      <w:pPr>
        <w:tabs>
          <w:tab w:val="left" w:pos="252"/>
        </w:tabs>
        <w:ind w:left="266" w:hanging="266"/>
        <w:rPr>
          <w:i/>
        </w:rPr>
      </w:pPr>
      <w:r w:rsidRPr="0029055C">
        <w:rPr>
          <w:i/>
        </w:rPr>
        <w:t xml:space="preserve">** Ο αριθμός των ενταγμένων έργων ανά Ειδικό Στόχο και Κατηγορία Δράσης δεν αντιστοιχεί σε μοναδικό αριθμό, δεδομένου ότι ένα έργο μπορεί να εντάσσεται σε περισσότερες από μία Κατηγορίες Δράσης. Το σύνολο των ενταγμένων έργων για το Θεματικό Άξονα </w:t>
      </w:r>
      <w:r w:rsidR="001B3747" w:rsidRPr="0029055C">
        <w:rPr>
          <w:i/>
        </w:rPr>
        <w:t>ΙΙ</w:t>
      </w:r>
      <w:r w:rsidRPr="0029055C">
        <w:rPr>
          <w:i/>
        </w:rPr>
        <w:t xml:space="preserve"> αντιστοιχεί σε μοναδικό αριθμό και δεν προκύπτει από τα επιμέρους αθροίσματα.</w:t>
      </w:r>
    </w:p>
    <w:p w14:paraId="27498C58" w14:textId="77777777" w:rsidR="00C97DDE" w:rsidRPr="0029055C" w:rsidRDefault="00C97DDE" w:rsidP="00C97DDE"/>
    <w:p w14:paraId="4B99E1E9" w14:textId="77777777" w:rsidR="00C97DDE" w:rsidRPr="0029055C" w:rsidRDefault="00C97DDE" w:rsidP="00C97DDE">
      <w:pPr>
        <w:sectPr w:rsidR="00C97DDE" w:rsidRPr="0029055C" w:rsidSect="00037A41">
          <w:headerReference w:type="default" r:id="rId28"/>
          <w:footerReference w:type="default" r:id="rId29"/>
          <w:pgSz w:w="16838" w:h="11906" w:orient="landscape" w:code="9"/>
          <w:pgMar w:top="1814" w:right="1418" w:bottom="1134" w:left="1418" w:header="567" w:footer="284" w:gutter="0"/>
          <w:cols w:space="708"/>
          <w:docGrid w:linePitch="360"/>
        </w:sectPr>
      </w:pPr>
    </w:p>
    <w:p w14:paraId="697C8E98" w14:textId="507696F3" w:rsidR="00C97DDE" w:rsidRPr="0029055C" w:rsidRDefault="00C97DDE" w:rsidP="00C97DDE">
      <w:pPr>
        <w:spacing w:line="300" w:lineRule="atLeast"/>
        <w:rPr>
          <w:sz w:val="22"/>
        </w:rPr>
      </w:pPr>
      <w:r w:rsidRPr="0029055C">
        <w:rPr>
          <w:sz w:val="22"/>
        </w:rPr>
        <w:lastRenderedPageBreak/>
        <w:t xml:space="preserve">Στο Θεματικό Άξονα </w:t>
      </w:r>
      <w:r w:rsidR="001B3747" w:rsidRPr="0029055C">
        <w:rPr>
          <w:sz w:val="22"/>
        </w:rPr>
        <w:t>ΙΙ</w:t>
      </w:r>
      <w:r w:rsidRPr="0029055C">
        <w:rPr>
          <w:sz w:val="22"/>
        </w:rPr>
        <w:t xml:space="preserve"> του ΕΠ ΜΔΤ (Άξονες Προτεραιότητας 4,5,6) έχουν </w:t>
      </w:r>
      <w:r w:rsidRPr="0029055C">
        <w:rPr>
          <w:b/>
          <w:sz w:val="22"/>
        </w:rPr>
        <w:t>ενταχθεί</w:t>
      </w:r>
      <w:r w:rsidRPr="0029055C">
        <w:rPr>
          <w:sz w:val="22"/>
        </w:rPr>
        <w:t xml:space="preserve"> </w:t>
      </w:r>
      <w:r w:rsidRPr="0029055C">
        <w:rPr>
          <w:b/>
          <w:sz w:val="22"/>
        </w:rPr>
        <w:t>11 έργα</w:t>
      </w:r>
      <w:r w:rsidRPr="0029055C">
        <w:rPr>
          <w:sz w:val="22"/>
        </w:rPr>
        <w:t xml:space="preserve"> συνολικού προϋπολογισμού 69,73 εκ. € (</w:t>
      </w:r>
      <w:r w:rsidRPr="0029055C">
        <w:rPr>
          <w:b/>
          <w:sz w:val="22"/>
        </w:rPr>
        <w:t>31,25%</w:t>
      </w:r>
      <w:r w:rsidRPr="0029055C">
        <w:rPr>
          <w:sz w:val="22"/>
        </w:rPr>
        <w:t xml:space="preserve"> του διαθέσιμου π/υ του Θεματικού Άξονα). Έχουν αναληφθεί </w:t>
      </w:r>
      <w:r w:rsidRPr="0029055C">
        <w:rPr>
          <w:b/>
          <w:sz w:val="22"/>
        </w:rPr>
        <w:t>νομικές δεσμεύσεις</w:t>
      </w:r>
      <w:r w:rsidRPr="0029055C">
        <w:rPr>
          <w:sz w:val="22"/>
        </w:rPr>
        <w:t xml:space="preserve"> ύψους 56,14 εκ. €, ήτοι το 25</w:t>
      </w:r>
      <w:r w:rsidR="00063FE8" w:rsidRPr="0029055C">
        <w:rPr>
          <w:sz w:val="22"/>
        </w:rPr>
        <w:t>,16</w:t>
      </w:r>
      <w:r w:rsidRPr="0029055C">
        <w:rPr>
          <w:sz w:val="22"/>
        </w:rPr>
        <w:t xml:space="preserve">% του διαθέσιμου π/υ του ΘΑ και το 80,52% του προϋπολογισμού των ενταγμένων έργων. Οι </w:t>
      </w:r>
      <w:r w:rsidRPr="0029055C">
        <w:rPr>
          <w:b/>
          <w:sz w:val="22"/>
        </w:rPr>
        <w:t>πιστοποιημένες δαπάνες</w:t>
      </w:r>
      <w:r w:rsidRPr="0029055C">
        <w:rPr>
          <w:sz w:val="22"/>
        </w:rPr>
        <w:t xml:space="preserve"> ανέρχονται σε 36,26 εκ. €, αντιπροσωπεύοντας το 16,25% του προϋπολογισμού του Θεματικού Άξονα, το 52% του προϋπολογισμού των ενταγμένων έργων και το 64,6% των νομικών δεσμεύσεων.</w:t>
      </w:r>
    </w:p>
    <w:p w14:paraId="6A774D16" w14:textId="77777777" w:rsidR="00C97DDE" w:rsidRPr="0029055C" w:rsidRDefault="00C97DDE" w:rsidP="00C97DDE">
      <w:pPr>
        <w:spacing w:line="300" w:lineRule="atLeast"/>
        <w:rPr>
          <w:sz w:val="22"/>
        </w:rPr>
      </w:pPr>
      <w:r w:rsidRPr="0029055C">
        <w:rPr>
          <w:sz w:val="22"/>
        </w:rPr>
        <w:t xml:space="preserve">Η πρόοδος του φυσικού αντικειμένου του Θεματικού Άξονα </w:t>
      </w:r>
      <w:r w:rsidR="001B3747" w:rsidRPr="0029055C">
        <w:rPr>
          <w:sz w:val="22"/>
        </w:rPr>
        <w:t>ΙΙ</w:t>
      </w:r>
      <w:r w:rsidRPr="0029055C">
        <w:rPr>
          <w:sz w:val="22"/>
        </w:rPr>
        <w:t xml:space="preserve">, όπως αυτή αποτυπώνεται μέσω της προόδου των </w:t>
      </w:r>
      <w:r w:rsidRPr="0029055C">
        <w:rPr>
          <w:b/>
          <w:sz w:val="22"/>
        </w:rPr>
        <w:t>δεικτών εκροής</w:t>
      </w:r>
      <w:r w:rsidRPr="0029055C">
        <w:rPr>
          <w:sz w:val="22"/>
        </w:rPr>
        <w:t xml:space="preserve"> του, παρατίθεται στον Πίνακα που ακολουθεί. Οι επισημασμένοι με σκίαση δείκτες αποτελούν </w:t>
      </w:r>
      <w:r w:rsidRPr="0029055C">
        <w:rPr>
          <w:b/>
          <w:sz w:val="22"/>
        </w:rPr>
        <w:t xml:space="preserve">δείκτες του Πλαισίου Επιδόσεων </w:t>
      </w:r>
      <w:r w:rsidRPr="0029055C">
        <w:rPr>
          <w:sz w:val="22"/>
        </w:rPr>
        <w:t>του ΕΠ.</w:t>
      </w:r>
    </w:p>
    <w:p w14:paraId="7DD52619" w14:textId="77777777" w:rsidR="00C97DDE" w:rsidRPr="0029055C" w:rsidRDefault="00C97DDE" w:rsidP="00C97DDE">
      <w:pPr>
        <w:pStyle w:val="Caption"/>
        <w:spacing w:before="240" w:after="120" w:line="280" w:lineRule="atLeast"/>
        <w:rPr>
          <w:b w:val="0"/>
          <w:sz w:val="22"/>
          <w:szCs w:val="22"/>
        </w:rPr>
      </w:pPr>
      <w:r w:rsidRPr="0029055C">
        <w:rPr>
          <w:sz w:val="22"/>
          <w:szCs w:val="22"/>
        </w:rPr>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18</w:t>
      </w:r>
      <w:r w:rsidRPr="0029055C">
        <w:rPr>
          <w:sz w:val="22"/>
          <w:szCs w:val="22"/>
        </w:rPr>
        <w:fldChar w:fldCharType="end"/>
      </w:r>
      <w:r w:rsidRPr="0029055C">
        <w:rPr>
          <w:b w:val="0"/>
          <w:sz w:val="22"/>
          <w:szCs w:val="22"/>
        </w:rPr>
        <w:t xml:space="preserve">. Πρόοδος φυσικού αντικειμένου του Θεματικού Άξονα </w:t>
      </w:r>
      <w:r w:rsidR="001B3747" w:rsidRPr="0029055C">
        <w:rPr>
          <w:b w:val="0"/>
          <w:sz w:val="22"/>
          <w:szCs w:val="22"/>
        </w:rPr>
        <w:t>ΙΙ</w:t>
      </w:r>
      <w:r w:rsidRPr="0029055C">
        <w:rPr>
          <w:b w:val="0"/>
          <w:sz w:val="22"/>
          <w:szCs w:val="22"/>
        </w:rPr>
        <w:t xml:space="preserve"> - Δείκτες Εκροής</w:t>
      </w:r>
    </w:p>
    <w:tbl>
      <w:tblPr>
        <w:tblStyle w:val="GridTable6Colorful-Accent5"/>
        <w:tblW w:w="5000" w:type="pct"/>
        <w:tblLayout w:type="fixed"/>
        <w:tblCellMar>
          <w:left w:w="28" w:type="dxa"/>
          <w:right w:w="28" w:type="dxa"/>
        </w:tblCellMar>
        <w:tblLook w:val="06A0" w:firstRow="1" w:lastRow="0" w:firstColumn="1" w:lastColumn="0" w:noHBand="1" w:noVBand="1"/>
      </w:tblPr>
      <w:tblGrid>
        <w:gridCol w:w="3119"/>
        <w:gridCol w:w="919"/>
        <w:gridCol w:w="920"/>
        <w:gridCol w:w="1133"/>
        <w:gridCol w:w="989"/>
        <w:gridCol w:w="991"/>
        <w:gridCol w:w="989"/>
      </w:tblGrid>
      <w:tr w:rsidR="00C97DDE" w:rsidRPr="0029055C" w14:paraId="6EBF1D7A" w14:textId="77777777" w:rsidTr="00507A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1" w:type="pct"/>
            <w:noWrap/>
            <w:vAlign w:val="center"/>
            <w:hideMark/>
          </w:tcPr>
          <w:p w14:paraId="75237681" w14:textId="77777777" w:rsidR="00C97DDE" w:rsidRPr="0029055C" w:rsidRDefault="00C97DDE" w:rsidP="00507AF3">
            <w:pPr>
              <w:spacing w:before="40" w:after="40" w:line="240" w:lineRule="auto"/>
              <w:jc w:val="center"/>
              <w:rPr>
                <w:rFonts w:asciiTheme="minorHAnsi" w:hAnsiTheme="minorHAnsi" w:cstheme="minorHAnsi"/>
                <w:sz w:val="18"/>
                <w:szCs w:val="20"/>
              </w:rPr>
            </w:pPr>
            <w:r w:rsidRPr="0029055C">
              <w:rPr>
                <w:rFonts w:asciiTheme="minorHAnsi" w:hAnsiTheme="minorHAnsi" w:cstheme="minorHAnsi"/>
                <w:sz w:val="18"/>
                <w:szCs w:val="20"/>
              </w:rPr>
              <w:t>Δείκτης</w:t>
            </w:r>
          </w:p>
        </w:tc>
        <w:tc>
          <w:tcPr>
            <w:tcW w:w="507" w:type="pct"/>
            <w:noWrap/>
            <w:vAlign w:val="center"/>
            <w:hideMark/>
          </w:tcPr>
          <w:p w14:paraId="6C862294"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2018</w:t>
            </w:r>
            <w:r w:rsidRPr="0029055C">
              <w:rPr>
                <w:rStyle w:val="FootnoteReference"/>
                <w:rFonts w:asciiTheme="minorHAnsi" w:hAnsiTheme="minorHAnsi" w:cstheme="minorHAnsi"/>
                <w:sz w:val="18"/>
                <w:szCs w:val="20"/>
              </w:rPr>
              <w:footnoteReference w:id="11"/>
            </w:r>
          </w:p>
        </w:tc>
        <w:tc>
          <w:tcPr>
            <w:tcW w:w="508" w:type="pct"/>
            <w:noWrap/>
            <w:vAlign w:val="center"/>
            <w:hideMark/>
          </w:tcPr>
          <w:p w14:paraId="70E9815F"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 xml:space="preserve">Στόχος </w:t>
            </w:r>
            <w:r w:rsidRPr="0029055C">
              <w:rPr>
                <w:rFonts w:asciiTheme="minorHAnsi" w:hAnsiTheme="minorHAnsi" w:cstheme="minorHAnsi"/>
                <w:sz w:val="18"/>
                <w:szCs w:val="20"/>
              </w:rPr>
              <w:br/>
              <w:t>2023</w:t>
            </w:r>
          </w:p>
        </w:tc>
        <w:tc>
          <w:tcPr>
            <w:tcW w:w="625" w:type="pct"/>
            <w:noWrap/>
            <w:vAlign w:val="center"/>
            <w:hideMark/>
          </w:tcPr>
          <w:p w14:paraId="49151239"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Ενταγμένων Πράξεων</w:t>
            </w:r>
          </w:p>
        </w:tc>
        <w:tc>
          <w:tcPr>
            <w:tcW w:w="546" w:type="pct"/>
            <w:vAlign w:val="center"/>
          </w:tcPr>
          <w:p w14:paraId="4868E029"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Επίτευξη 31.12.17</w:t>
            </w:r>
          </w:p>
        </w:tc>
        <w:tc>
          <w:tcPr>
            <w:tcW w:w="547" w:type="pct"/>
            <w:vAlign w:val="center"/>
          </w:tcPr>
          <w:p w14:paraId="7A6C5B5C"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Εκτίμηση Επίτευξης 31.12.18</w:t>
            </w:r>
          </w:p>
        </w:tc>
        <w:tc>
          <w:tcPr>
            <w:tcW w:w="546" w:type="pct"/>
            <w:vAlign w:val="center"/>
          </w:tcPr>
          <w:p w14:paraId="29F9C9CA"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Εκτίμηση Επίτευξης 31.12.23</w:t>
            </w:r>
          </w:p>
        </w:tc>
      </w:tr>
      <w:tr w:rsidR="00C97DDE" w:rsidRPr="0029055C" w14:paraId="48F8DA78" w14:textId="77777777" w:rsidTr="00507AF3">
        <w:tc>
          <w:tcPr>
            <w:cnfStyle w:val="001000000000" w:firstRow="0" w:lastRow="0" w:firstColumn="1" w:lastColumn="0" w:oddVBand="0" w:evenVBand="0" w:oddHBand="0" w:evenHBand="0" w:firstRowFirstColumn="0" w:firstRowLastColumn="0" w:lastRowFirstColumn="0" w:lastRowLastColumn="0"/>
            <w:tcW w:w="1721" w:type="pct"/>
            <w:shd w:val="clear" w:color="auto" w:fill="DAEEF3" w:themeFill="accent5" w:themeFillTint="33"/>
            <w:noWrap/>
            <w:vAlign w:val="center"/>
          </w:tcPr>
          <w:p w14:paraId="34DABC05" w14:textId="77777777" w:rsidR="00C97DDE" w:rsidRPr="0029055C" w:rsidRDefault="00C97DDE" w:rsidP="00507AF3">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T4627. </w:t>
            </w:r>
            <w:r w:rsidRPr="0029055C">
              <w:rPr>
                <w:rFonts w:asciiTheme="minorHAnsi" w:hAnsiTheme="minorHAnsi" w:cstheme="minorHAnsi"/>
                <w:b w:val="0"/>
                <w:sz w:val="18"/>
                <w:szCs w:val="20"/>
              </w:rPr>
              <w:t>Αριθμός έργων δημιουργίας ή αναβάθμισης συστημάτων ΤΠΕ για την υποστήριξη οριζόντιων λειτουργιών των δημόσιων φορέων</w:t>
            </w:r>
          </w:p>
        </w:tc>
        <w:tc>
          <w:tcPr>
            <w:tcW w:w="507" w:type="pct"/>
            <w:shd w:val="clear" w:color="auto" w:fill="DAEEF3" w:themeFill="accent5" w:themeFillTint="33"/>
            <w:noWrap/>
            <w:vAlign w:val="center"/>
          </w:tcPr>
          <w:p w14:paraId="466BD878"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8</w:t>
            </w:r>
          </w:p>
        </w:tc>
        <w:tc>
          <w:tcPr>
            <w:tcW w:w="508" w:type="pct"/>
            <w:shd w:val="clear" w:color="auto" w:fill="DAEEF3" w:themeFill="accent5" w:themeFillTint="33"/>
            <w:noWrap/>
            <w:vAlign w:val="center"/>
          </w:tcPr>
          <w:p w14:paraId="325C4677"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sz w:val="18"/>
              </w:rPr>
              <w:t>13</w:t>
            </w:r>
          </w:p>
        </w:tc>
        <w:tc>
          <w:tcPr>
            <w:tcW w:w="625" w:type="pct"/>
            <w:shd w:val="clear" w:color="auto" w:fill="DAEEF3" w:themeFill="accent5" w:themeFillTint="33"/>
            <w:noWrap/>
            <w:vAlign w:val="center"/>
          </w:tcPr>
          <w:p w14:paraId="19081907"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15</w:t>
            </w:r>
          </w:p>
        </w:tc>
        <w:tc>
          <w:tcPr>
            <w:tcW w:w="546" w:type="pct"/>
            <w:shd w:val="clear" w:color="auto" w:fill="DAEEF3" w:themeFill="accent5" w:themeFillTint="33"/>
            <w:vAlign w:val="center"/>
          </w:tcPr>
          <w:p w14:paraId="66B4D431"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1</w:t>
            </w:r>
          </w:p>
        </w:tc>
        <w:tc>
          <w:tcPr>
            <w:tcW w:w="547" w:type="pct"/>
            <w:shd w:val="clear" w:color="auto" w:fill="DAEEF3" w:themeFill="accent5" w:themeFillTint="33"/>
            <w:vAlign w:val="center"/>
          </w:tcPr>
          <w:p w14:paraId="423D53E9"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7</w:t>
            </w:r>
          </w:p>
        </w:tc>
        <w:tc>
          <w:tcPr>
            <w:tcW w:w="546" w:type="pct"/>
            <w:shd w:val="clear" w:color="auto" w:fill="DAEEF3" w:themeFill="accent5" w:themeFillTint="33"/>
            <w:vAlign w:val="center"/>
          </w:tcPr>
          <w:p w14:paraId="45C8F201"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17</w:t>
            </w:r>
          </w:p>
        </w:tc>
      </w:tr>
      <w:tr w:rsidR="00C97DDE" w:rsidRPr="0029055C" w14:paraId="175DBDCA" w14:textId="77777777" w:rsidTr="00507AF3">
        <w:tc>
          <w:tcPr>
            <w:cnfStyle w:val="001000000000" w:firstRow="0" w:lastRow="0" w:firstColumn="1" w:lastColumn="0" w:oddVBand="0" w:evenVBand="0" w:oddHBand="0" w:evenHBand="0" w:firstRowFirstColumn="0" w:firstRowLastColumn="0" w:lastRowFirstColumn="0" w:lastRowLastColumn="0"/>
            <w:tcW w:w="1721" w:type="pct"/>
            <w:shd w:val="clear" w:color="auto" w:fill="DAEEF3" w:themeFill="accent5" w:themeFillTint="33"/>
            <w:noWrap/>
            <w:vAlign w:val="center"/>
          </w:tcPr>
          <w:p w14:paraId="0DE1F9B9" w14:textId="77777777" w:rsidR="00C97DDE" w:rsidRPr="0029055C" w:rsidRDefault="00C97DDE" w:rsidP="00507AF3">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T4628. </w:t>
            </w:r>
            <w:r w:rsidRPr="0029055C">
              <w:rPr>
                <w:rFonts w:asciiTheme="minorHAnsi" w:hAnsiTheme="minorHAnsi" w:cstheme="minorHAnsi"/>
                <w:b w:val="0"/>
                <w:sz w:val="18"/>
                <w:szCs w:val="20"/>
              </w:rPr>
              <w:t>Αριθμός έργων ενίσχυσης της διαλειτουργικότητας μητρώων και υπηρεσιών του Δημόσιου Τομέα</w:t>
            </w:r>
          </w:p>
        </w:tc>
        <w:tc>
          <w:tcPr>
            <w:tcW w:w="507" w:type="pct"/>
            <w:shd w:val="clear" w:color="auto" w:fill="DAEEF3" w:themeFill="accent5" w:themeFillTint="33"/>
            <w:noWrap/>
            <w:vAlign w:val="center"/>
          </w:tcPr>
          <w:p w14:paraId="3135F6AA"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5</w:t>
            </w:r>
          </w:p>
        </w:tc>
        <w:tc>
          <w:tcPr>
            <w:tcW w:w="508" w:type="pct"/>
            <w:shd w:val="clear" w:color="auto" w:fill="DAEEF3" w:themeFill="accent5" w:themeFillTint="33"/>
            <w:noWrap/>
            <w:vAlign w:val="center"/>
          </w:tcPr>
          <w:p w14:paraId="7E44A408"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sz w:val="18"/>
              </w:rPr>
              <w:t>9</w:t>
            </w:r>
          </w:p>
        </w:tc>
        <w:tc>
          <w:tcPr>
            <w:tcW w:w="625" w:type="pct"/>
            <w:shd w:val="clear" w:color="auto" w:fill="DAEEF3" w:themeFill="accent5" w:themeFillTint="33"/>
            <w:noWrap/>
            <w:vAlign w:val="center"/>
          </w:tcPr>
          <w:p w14:paraId="2A55C3AA"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7</w:t>
            </w:r>
          </w:p>
        </w:tc>
        <w:tc>
          <w:tcPr>
            <w:tcW w:w="546" w:type="pct"/>
            <w:shd w:val="clear" w:color="auto" w:fill="DAEEF3" w:themeFill="accent5" w:themeFillTint="33"/>
            <w:vAlign w:val="center"/>
          </w:tcPr>
          <w:p w14:paraId="374014DE"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0</w:t>
            </w:r>
          </w:p>
        </w:tc>
        <w:tc>
          <w:tcPr>
            <w:tcW w:w="547" w:type="pct"/>
            <w:shd w:val="clear" w:color="auto" w:fill="DAEEF3" w:themeFill="accent5" w:themeFillTint="33"/>
            <w:vAlign w:val="center"/>
          </w:tcPr>
          <w:p w14:paraId="306D66C2"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4</w:t>
            </w:r>
          </w:p>
        </w:tc>
        <w:tc>
          <w:tcPr>
            <w:tcW w:w="546" w:type="pct"/>
            <w:shd w:val="clear" w:color="auto" w:fill="DAEEF3" w:themeFill="accent5" w:themeFillTint="33"/>
            <w:vAlign w:val="center"/>
          </w:tcPr>
          <w:p w14:paraId="700BFFB5"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9</w:t>
            </w:r>
          </w:p>
        </w:tc>
      </w:tr>
      <w:tr w:rsidR="00C97DDE" w:rsidRPr="0029055C" w14:paraId="03329C5F" w14:textId="77777777" w:rsidTr="00507AF3">
        <w:tc>
          <w:tcPr>
            <w:cnfStyle w:val="001000000000" w:firstRow="0" w:lastRow="0" w:firstColumn="1" w:lastColumn="0" w:oddVBand="0" w:evenVBand="0" w:oddHBand="0" w:evenHBand="0" w:firstRowFirstColumn="0" w:firstRowLastColumn="0" w:lastRowFirstColumn="0" w:lastRowLastColumn="0"/>
            <w:tcW w:w="1721" w:type="pct"/>
            <w:shd w:val="clear" w:color="auto" w:fill="auto"/>
            <w:noWrap/>
            <w:vAlign w:val="center"/>
          </w:tcPr>
          <w:p w14:paraId="0246ABC1" w14:textId="77777777" w:rsidR="00C97DDE" w:rsidRPr="0029055C" w:rsidRDefault="00C97DDE" w:rsidP="00507AF3">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T4629. </w:t>
            </w:r>
            <w:r w:rsidRPr="0029055C">
              <w:rPr>
                <w:rFonts w:asciiTheme="minorHAnsi" w:hAnsiTheme="minorHAnsi" w:cstheme="minorHAnsi"/>
                <w:b w:val="0"/>
                <w:sz w:val="18"/>
                <w:szCs w:val="20"/>
              </w:rPr>
              <w:t>Αριθμός έργων αναβάθμισης της λειτουργίας του ενιαίου σημείου πρόσβασης των πολιτών στις υπηρεσίες του δημόσιου τομέα</w:t>
            </w:r>
          </w:p>
        </w:tc>
        <w:tc>
          <w:tcPr>
            <w:tcW w:w="507" w:type="pct"/>
            <w:shd w:val="clear" w:color="auto" w:fill="auto"/>
            <w:noWrap/>
            <w:vAlign w:val="center"/>
          </w:tcPr>
          <w:p w14:paraId="6C37B585"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508" w:type="pct"/>
            <w:shd w:val="clear" w:color="auto" w:fill="auto"/>
            <w:noWrap/>
            <w:vAlign w:val="center"/>
          </w:tcPr>
          <w:p w14:paraId="303BA82E"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sz w:val="18"/>
              </w:rPr>
              <w:t>2</w:t>
            </w:r>
          </w:p>
        </w:tc>
        <w:tc>
          <w:tcPr>
            <w:tcW w:w="625" w:type="pct"/>
            <w:shd w:val="clear" w:color="auto" w:fill="auto"/>
            <w:noWrap/>
            <w:vAlign w:val="center"/>
          </w:tcPr>
          <w:p w14:paraId="7BAFB6A9"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0</w:t>
            </w:r>
          </w:p>
        </w:tc>
        <w:tc>
          <w:tcPr>
            <w:tcW w:w="546" w:type="pct"/>
            <w:shd w:val="clear" w:color="auto" w:fill="auto"/>
            <w:vAlign w:val="center"/>
          </w:tcPr>
          <w:p w14:paraId="1EFF7C50"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0</w:t>
            </w:r>
          </w:p>
        </w:tc>
        <w:tc>
          <w:tcPr>
            <w:tcW w:w="547" w:type="pct"/>
            <w:shd w:val="clear" w:color="auto" w:fill="auto"/>
            <w:vAlign w:val="center"/>
          </w:tcPr>
          <w:p w14:paraId="4A50D9E9"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0</w:t>
            </w:r>
          </w:p>
        </w:tc>
        <w:tc>
          <w:tcPr>
            <w:tcW w:w="546" w:type="pct"/>
            <w:shd w:val="clear" w:color="auto" w:fill="auto"/>
            <w:vAlign w:val="center"/>
          </w:tcPr>
          <w:p w14:paraId="1AC4991D"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w:t>
            </w:r>
          </w:p>
        </w:tc>
      </w:tr>
      <w:tr w:rsidR="00C97DDE" w:rsidRPr="0029055C" w14:paraId="308C412D" w14:textId="77777777" w:rsidTr="00507AF3">
        <w:tc>
          <w:tcPr>
            <w:cnfStyle w:val="001000000000" w:firstRow="0" w:lastRow="0" w:firstColumn="1" w:lastColumn="0" w:oddVBand="0" w:evenVBand="0" w:oddHBand="0" w:evenHBand="0" w:firstRowFirstColumn="0" w:firstRowLastColumn="0" w:lastRowFirstColumn="0" w:lastRowLastColumn="0"/>
            <w:tcW w:w="1721" w:type="pct"/>
            <w:shd w:val="clear" w:color="auto" w:fill="DAEEF3" w:themeFill="accent5" w:themeFillTint="33"/>
            <w:noWrap/>
            <w:vAlign w:val="center"/>
          </w:tcPr>
          <w:p w14:paraId="47A589C8" w14:textId="77777777" w:rsidR="00C97DDE" w:rsidRPr="0029055C" w:rsidRDefault="00C97DDE" w:rsidP="00507AF3">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T4630. </w:t>
            </w:r>
            <w:r w:rsidRPr="0029055C">
              <w:rPr>
                <w:rFonts w:asciiTheme="minorHAnsi" w:hAnsiTheme="minorHAnsi" w:cstheme="minorHAnsi"/>
                <w:b w:val="0"/>
                <w:sz w:val="18"/>
                <w:szCs w:val="20"/>
              </w:rPr>
              <w:t>Αριθμός έργων ανάπτυξης ή αναβάθμισης βασικών υπηρεσιών δημόσιας διοίκησης που παρέχονται πλήρως ηλεκτρονικά</w:t>
            </w:r>
          </w:p>
        </w:tc>
        <w:tc>
          <w:tcPr>
            <w:tcW w:w="507" w:type="pct"/>
            <w:shd w:val="clear" w:color="auto" w:fill="DAEEF3" w:themeFill="accent5" w:themeFillTint="33"/>
            <w:noWrap/>
            <w:vAlign w:val="center"/>
          </w:tcPr>
          <w:p w14:paraId="34A38A03"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1</w:t>
            </w:r>
          </w:p>
        </w:tc>
        <w:tc>
          <w:tcPr>
            <w:tcW w:w="508" w:type="pct"/>
            <w:shd w:val="clear" w:color="auto" w:fill="DAEEF3" w:themeFill="accent5" w:themeFillTint="33"/>
            <w:noWrap/>
            <w:vAlign w:val="center"/>
          </w:tcPr>
          <w:p w14:paraId="00F26318"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sz w:val="18"/>
              </w:rPr>
              <w:t>2</w:t>
            </w:r>
          </w:p>
        </w:tc>
        <w:tc>
          <w:tcPr>
            <w:tcW w:w="625" w:type="pct"/>
            <w:shd w:val="clear" w:color="auto" w:fill="DAEEF3" w:themeFill="accent5" w:themeFillTint="33"/>
            <w:noWrap/>
            <w:vAlign w:val="center"/>
          </w:tcPr>
          <w:p w14:paraId="6DD04690"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4</w:t>
            </w:r>
          </w:p>
        </w:tc>
        <w:tc>
          <w:tcPr>
            <w:tcW w:w="546" w:type="pct"/>
            <w:shd w:val="clear" w:color="auto" w:fill="DAEEF3" w:themeFill="accent5" w:themeFillTint="33"/>
            <w:vAlign w:val="center"/>
          </w:tcPr>
          <w:p w14:paraId="6A300104"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0</w:t>
            </w:r>
          </w:p>
        </w:tc>
        <w:tc>
          <w:tcPr>
            <w:tcW w:w="547" w:type="pct"/>
            <w:shd w:val="clear" w:color="auto" w:fill="DAEEF3" w:themeFill="accent5" w:themeFillTint="33"/>
            <w:vAlign w:val="center"/>
          </w:tcPr>
          <w:p w14:paraId="4EA3E1D3"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2</w:t>
            </w:r>
          </w:p>
        </w:tc>
        <w:tc>
          <w:tcPr>
            <w:tcW w:w="546" w:type="pct"/>
            <w:shd w:val="clear" w:color="auto" w:fill="DAEEF3" w:themeFill="accent5" w:themeFillTint="33"/>
            <w:vAlign w:val="center"/>
          </w:tcPr>
          <w:p w14:paraId="001B40A9"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4</w:t>
            </w:r>
          </w:p>
        </w:tc>
      </w:tr>
      <w:tr w:rsidR="00C97DDE" w:rsidRPr="0029055C" w14:paraId="7F1691F0" w14:textId="77777777" w:rsidTr="00507AF3">
        <w:tc>
          <w:tcPr>
            <w:cnfStyle w:val="001000000000" w:firstRow="0" w:lastRow="0" w:firstColumn="1" w:lastColumn="0" w:oddVBand="0" w:evenVBand="0" w:oddHBand="0" w:evenHBand="0" w:firstRowFirstColumn="0" w:firstRowLastColumn="0" w:lastRowFirstColumn="0" w:lastRowLastColumn="0"/>
            <w:tcW w:w="1721" w:type="pct"/>
            <w:shd w:val="clear" w:color="auto" w:fill="auto"/>
            <w:noWrap/>
            <w:vAlign w:val="center"/>
          </w:tcPr>
          <w:p w14:paraId="0FAD3484" w14:textId="77777777" w:rsidR="00C97DDE" w:rsidRPr="0029055C" w:rsidRDefault="00C97DDE" w:rsidP="00507AF3">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T4631. </w:t>
            </w:r>
            <w:r w:rsidRPr="0029055C">
              <w:rPr>
                <w:rFonts w:asciiTheme="minorHAnsi" w:hAnsiTheme="minorHAnsi" w:cstheme="minorHAnsi"/>
                <w:b w:val="0"/>
                <w:sz w:val="18"/>
                <w:szCs w:val="20"/>
              </w:rPr>
              <w:t xml:space="preserve">Αριθμός έργων ενίσχυσης της πληροφόρησης και της συμμετοχής των πολιτών </w:t>
            </w:r>
          </w:p>
        </w:tc>
        <w:tc>
          <w:tcPr>
            <w:tcW w:w="507" w:type="pct"/>
            <w:shd w:val="clear" w:color="auto" w:fill="auto"/>
            <w:noWrap/>
            <w:vAlign w:val="center"/>
          </w:tcPr>
          <w:p w14:paraId="02C473AA"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508" w:type="pct"/>
            <w:shd w:val="clear" w:color="auto" w:fill="auto"/>
            <w:noWrap/>
            <w:vAlign w:val="center"/>
          </w:tcPr>
          <w:p w14:paraId="4595EDB7"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sz w:val="18"/>
              </w:rPr>
              <w:t>3</w:t>
            </w:r>
          </w:p>
        </w:tc>
        <w:tc>
          <w:tcPr>
            <w:tcW w:w="625" w:type="pct"/>
            <w:shd w:val="clear" w:color="auto" w:fill="auto"/>
            <w:noWrap/>
            <w:vAlign w:val="center"/>
          </w:tcPr>
          <w:p w14:paraId="23CD5EB9"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0</w:t>
            </w:r>
          </w:p>
        </w:tc>
        <w:tc>
          <w:tcPr>
            <w:tcW w:w="546" w:type="pct"/>
            <w:shd w:val="clear" w:color="auto" w:fill="auto"/>
            <w:vAlign w:val="center"/>
          </w:tcPr>
          <w:p w14:paraId="18B7B680"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0</w:t>
            </w:r>
          </w:p>
        </w:tc>
        <w:tc>
          <w:tcPr>
            <w:tcW w:w="547" w:type="pct"/>
            <w:shd w:val="clear" w:color="auto" w:fill="auto"/>
            <w:vAlign w:val="center"/>
          </w:tcPr>
          <w:p w14:paraId="5AE1176D"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0</w:t>
            </w:r>
          </w:p>
        </w:tc>
        <w:tc>
          <w:tcPr>
            <w:tcW w:w="546" w:type="pct"/>
            <w:shd w:val="clear" w:color="auto" w:fill="auto"/>
            <w:vAlign w:val="center"/>
          </w:tcPr>
          <w:p w14:paraId="084CA304"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3</w:t>
            </w:r>
          </w:p>
        </w:tc>
      </w:tr>
      <w:tr w:rsidR="00C97DDE" w:rsidRPr="0029055C" w14:paraId="2DBFFD3D" w14:textId="77777777" w:rsidTr="00507AF3">
        <w:tc>
          <w:tcPr>
            <w:cnfStyle w:val="001000000000" w:firstRow="0" w:lastRow="0" w:firstColumn="1" w:lastColumn="0" w:oddVBand="0" w:evenVBand="0" w:oddHBand="0" w:evenHBand="0" w:firstRowFirstColumn="0" w:firstRowLastColumn="0" w:lastRowFirstColumn="0" w:lastRowLastColumn="0"/>
            <w:tcW w:w="1721" w:type="pct"/>
            <w:shd w:val="clear" w:color="auto" w:fill="DAEEF3" w:themeFill="accent5" w:themeFillTint="33"/>
            <w:noWrap/>
            <w:vAlign w:val="center"/>
          </w:tcPr>
          <w:p w14:paraId="1FE99AF3" w14:textId="77777777" w:rsidR="00C97DDE" w:rsidRPr="0029055C" w:rsidRDefault="00C97DDE" w:rsidP="00507AF3">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T4632. </w:t>
            </w:r>
            <w:r w:rsidRPr="0029055C">
              <w:rPr>
                <w:rFonts w:asciiTheme="minorHAnsi" w:hAnsiTheme="minorHAnsi" w:cstheme="minorHAnsi"/>
                <w:b w:val="0"/>
                <w:sz w:val="18"/>
                <w:szCs w:val="20"/>
              </w:rPr>
              <w:t>Αριθμός έργων ΤΠΕ που υποστηρίζουν την αναβάθμιση της λειτουργίας τομέων προτεραιότητας του ΕΠ για την παροχή υπηρεσιών προς πολίτες</w:t>
            </w:r>
          </w:p>
        </w:tc>
        <w:tc>
          <w:tcPr>
            <w:tcW w:w="507" w:type="pct"/>
            <w:shd w:val="clear" w:color="auto" w:fill="DAEEF3" w:themeFill="accent5" w:themeFillTint="33"/>
            <w:noWrap/>
            <w:vAlign w:val="center"/>
          </w:tcPr>
          <w:p w14:paraId="5FEA325E"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7</w:t>
            </w:r>
          </w:p>
        </w:tc>
        <w:tc>
          <w:tcPr>
            <w:tcW w:w="508" w:type="pct"/>
            <w:shd w:val="clear" w:color="auto" w:fill="DAEEF3" w:themeFill="accent5" w:themeFillTint="33"/>
            <w:noWrap/>
            <w:vAlign w:val="center"/>
          </w:tcPr>
          <w:p w14:paraId="369B350A"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sz w:val="18"/>
              </w:rPr>
              <w:t>13</w:t>
            </w:r>
          </w:p>
        </w:tc>
        <w:tc>
          <w:tcPr>
            <w:tcW w:w="625" w:type="pct"/>
            <w:shd w:val="clear" w:color="auto" w:fill="DAEEF3" w:themeFill="accent5" w:themeFillTint="33"/>
            <w:noWrap/>
            <w:vAlign w:val="center"/>
          </w:tcPr>
          <w:p w14:paraId="7B4E81E4"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7</w:t>
            </w:r>
          </w:p>
        </w:tc>
        <w:tc>
          <w:tcPr>
            <w:tcW w:w="546" w:type="pct"/>
            <w:shd w:val="clear" w:color="auto" w:fill="DAEEF3" w:themeFill="accent5" w:themeFillTint="33"/>
            <w:vAlign w:val="center"/>
          </w:tcPr>
          <w:p w14:paraId="0DDA100D"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1</w:t>
            </w:r>
          </w:p>
        </w:tc>
        <w:tc>
          <w:tcPr>
            <w:tcW w:w="547" w:type="pct"/>
            <w:shd w:val="clear" w:color="auto" w:fill="DAEEF3" w:themeFill="accent5" w:themeFillTint="33"/>
            <w:vAlign w:val="center"/>
          </w:tcPr>
          <w:p w14:paraId="01A67EE5"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cs="Calibri"/>
                <w:sz w:val="16"/>
                <w:szCs w:val="16"/>
              </w:rPr>
              <w:t>11</w:t>
            </w:r>
          </w:p>
        </w:tc>
        <w:tc>
          <w:tcPr>
            <w:tcW w:w="546" w:type="pct"/>
            <w:shd w:val="clear" w:color="auto" w:fill="DAEEF3" w:themeFill="accent5" w:themeFillTint="33"/>
            <w:vAlign w:val="center"/>
          </w:tcPr>
          <w:p w14:paraId="6B5EC532"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13</w:t>
            </w:r>
          </w:p>
        </w:tc>
      </w:tr>
    </w:tbl>
    <w:p w14:paraId="3962C5BB" w14:textId="77777777" w:rsidR="00C97DDE" w:rsidRPr="0029055C" w:rsidRDefault="00C97DDE" w:rsidP="00C97DDE">
      <w:pPr>
        <w:rPr>
          <w:rFonts w:cstheme="minorHAnsi"/>
          <w:sz w:val="22"/>
          <w:szCs w:val="22"/>
        </w:rPr>
      </w:pPr>
      <w:r w:rsidRPr="0029055C">
        <w:rPr>
          <w:rFonts w:cstheme="minorHAnsi"/>
          <w:sz w:val="22"/>
          <w:szCs w:val="22"/>
        </w:rPr>
        <w:t>Με βάση τα στοιχεία του ανωτέρω Πίνακα, η υλοποίηση του φυσικού αντικειμένου ανά δείκτη εκροής έχει ως εξής:</w:t>
      </w:r>
    </w:p>
    <w:p w14:paraId="1D487618" w14:textId="36A04780" w:rsidR="00C97DDE" w:rsidRPr="0029055C" w:rsidRDefault="00C97DDE" w:rsidP="00C97DDE">
      <w:pPr>
        <w:pStyle w:val="ListParagraph"/>
        <w:numPr>
          <w:ilvl w:val="0"/>
          <w:numId w:val="17"/>
        </w:numPr>
        <w:rPr>
          <w:rFonts w:cstheme="minorHAnsi"/>
          <w:sz w:val="22"/>
          <w:szCs w:val="22"/>
        </w:rPr>
      </w:pPr>
      <w:r w:rsidRPr="0029055C">
        <w:rPr>
          <w:rFonts w:cstheme="minorHAnsi"/>
          <w:b/>
          <w:color w:val="31849B" w:themeColor="accent5" w:themeShade="BF"/>
          <w:sz w:val="22"/>
          <w:szCs w:val="22"/>
        </w:rPr>
        <w:t>T4627: Αριθμός έργων δημιουργίας ή αναβάθμισης συστημάτων ΤΠΕ για την υποστήριξη οριζόντιων λειτουργιών των δημόσιων φορέων</w:t>
      </w:r>
      <w:r w:rsidRPr="0029055C">
        <w:rPr>
          <w:rFonts w:cstheme="minorHAnsi"/>
          <w:color w:val="31849B" w:themeColor="accent5" w:themeShade="BF"/>
          <w:sz w:val="22"/>
          <w:szCs w:val="22"/>
        </w:rPr>
        <w:t>.</w:t>
      </w:r>
      <w:r w:rsidRPr="0029055C">
        <w:rPr>
          <w:rFonts w:cstheme="minorHAnsi"/>
          <w:sz w:val="22"/>
          <w:szCs w:val="22"/>
        </w:rPr>
        <w:t xml:space="preserve"> Ο δείκτης, ο οποίος περιλαμβάνεται και στο Πλαίσιο Επιδόσεων του ΕΠ ΜΔΤ, τροφοδοτείται από τις δράσεις που προβλέπονται στο πλαίσιο της </w:t>
      </w:r>
      <w:r w:rsidRPr="0029055C">
        <w:rPr>
          <w:rFonts w:cstheme="minorHAnsi"/>
          <w:i/>
          <w:sz w:val="22"/>
          <w:szCs w:val="22"/>
        </w:rPr>
        <w:t>Κατηγορίας Δράσης Β.1.1: «Δράσεις αναβάθμισης, ανάπτυξης και λειτουργίας συστημάτων ΤΠΕ για την υποστήριξη της καλύτερης οργάνωσης και λειτουργίας του Δημοσίου Τομέα»</w:t>
      </w:r>
      <w:r w:rsidRPr="0029055C">
        <w:rPr>
          <w:rFonts w:cstheme="minorHAnsi"/>
          <w:sz w:val="22"/>
          <w:szCs w:val="22"/>
        </w:rPr>
        <w:t xml:space="preserve"> του Προγράμματος και περιλαμβάνουν δράσεις για την υποστήριξη οριζόντιων λειτουργιών των δημόσιων φορέων. Λαμβάνοντας υπόψη την πρόοδο υλοποίησης, αλλά και τη</w:t>
      </w:r>
      <w:r w:rsidR="00063FE8" w:rsidRPr="0029055C">
        <w:rPr>
          <w:rFonts w:cstheme="minorHAnsi"/>
          <w:sz w:val="22"/>
          <w:szCs w:val="22"/>
        </w:rPr>
        <w:t>ν</w:t>
      </w:r>
      <w:r w:rsidRPr="0029055C">
        <w:rPr>
          <w:rFonts w:cstheme="minorHAnsi"/>
          <w:sz w:val="22"/>
          <w:szCs w:val="22"/>
        </w:rPr>
        <w:t xml:space="preserve"> εξειδίκευση των σχετικών δράσεων στο πλαίσιο του ΕΠ ΜΔΤ 2014-2020, ο δείκτης αναμένεται να υπερβεί τον αρχικό στόχο για το έτος 2023 (από αρχική τιμή 13 σε νέα </w:t>
      </w:r>
      <w:r w:rsidRPr="0029055C">
        <w:rPr>
          <w:rFonts w:cstheme="minorHAnsi"/>
          <w:sz w:val="22"/>
          <w:szCs w:val="22"/>
        </w:rPr>
        <w:lastRenderedPageBreak/>
        <w:t>εκτίμηση 17), καθώς θα υπάρχουν αρκετά έργα τα οποία θα τον τροφοδοτούν (Ολοκληρωμένο Σύστημα Οικονομικής Διαχείρισης και Διαχείρισης Πόρων, Κεντρική Υποδομή για την Ηλεκτρονική Ανταλλαγή Εγγράφων μεταξύ των φορέων του Δημοσίου, με προηγμένες Ψηφιακές Υπογραφές, Ψηφιοποίηση αρχείων Δημόσια Διοίκησης, κ.ά.).</w:t>
      </w:r>
    </w:p>
    <w:p w14:paraId="7FE7446A" w14:textId="77777777" w:rsidR="00C97DDE" w:rsidRPr="0029055C" w:rsidRDefault="00C97DDE" w:rsidP="00C97DDE">
      <w:pPr>
        <w:pStyle w:val="ListParagraph"/>
        <w:numPr>
          <w:ilvl w:val="0"/>
          <w:numId w:val="17"/>
        </w:numPr>
        <w:spacing w:line="280" w:lineRule="atLeast"/>
        <w:contextualSpacing w:val="0"/>
        <w:rPr>
          <w:rFonts w:cstheme="minorHAnsi"/>
          <w:b/>
          <w:color w:val="31849B" w:themeColor="accent5" w:themeShade="BF"/>
          <w:sz w:val="22"/>
          <w:szCs w:val="22"/>
        </w:rPr>
      </w:pPr>
      <w:r w:rsidRPr="0029055C">
        <w:rPr>
          <w:rFonts w:cstheme="minorHAnsi"/>
          <w:b/>
          <w:color w:val="31849B" w:themeColor="accent5" w:themeShade="BF"/>
          <w:sz w:val="22"/>
          <w:szCs w:val="22"/>
        </w:rPr>
        <w:t>T4628: Αριθμός έργων ενίσχυσης της διαλειτουργικότητας μητρώων και υπηρεσιών του Δημόσιου Τομέα</w:t>
      </w:r>
      <w:r w:rsidRPr="0029055C">
        <w:rPr>
          <w:rFonts w:cstheme="minorHAnsi"/>
          <w:color w:val="31849B" w:themeColor="accent5" w:themeShade="BF"/>
          <w:sz w:val="22"/>
          <w:szCs w:val="22"/>
        </w:rPr>
        <w:t>.</w:t>
      </w:r>
      <w:r w:rsidRPr="0029055C">
        <w:rPr>
          <w:rFonts w:cstheme="minorHAnsi"/>
          <w:sz w:val="22"/>
          <w:szCs w:val="22"/>
        </w:rPr>
        <w:t xml:space="preserve"> Ο δείκτης, ο οποίος περιλαμβάνεται και στο Πλαίσιο Επιδόσεων του ΕΠ ΜΔΤ, τροφοδοτείται από τις δράσεις που προβλέπονται στο πλαίσιο της </w:t>
      </w:r>
      <w:r w:rsidRPr="0029055C">
        <w:rPr>
          <w:rFonts w:cstheme="minorHAnsi"/>
          <w:i/>
          <w:sz w:val="22"/>
          <w:szCs w:val="22"/>
        </w:rPr>
        <w:t>Κατηγορίας Δράσης Β.1.2: «Δράσεις διασφάλισης του ορθού σχεδιασμού, της ανοιχτής διάθεσης, της ορθής διαχείρισης, της ασφάλειας και της διαλειτουργικότητας δεδομένων και συστημάτων ΤΠΕ στο Δημόσιο Τομέα»</w:t>
      </w:r>
      <w:r w:rsidRPr="0029055C">
        <w:rPr>
          <w:rFonts w:cstheme="minorHAnsi"/>
          <w:sz w:val="22"/>
          <w:szCs w:val="22"/>
        </w:rPr>
        <w:t xml:space="preserve"> του Προγράμματος. Η τιμή στόχος για το έτος 2023 (9) εκτιμάται ότι θα επιτευχθεί, καθώς αναμένεται η ενσωμάτωση του δείκτη σε νέα έργα (ΟΠΣ ΕΦΚΑ, ΟΠΣ Δημοσιονομικής Πολιτικής, Ψηφιακές Υπηρεσίες Ενιαίας Μισθοδοσίας) και δράσεις διασύνδεσης των βασικών Μητρώων και ενίσχυσης της διαλειτουργικότητας  συστημάτων και υπηρεσιών του δημόσιου τομέα.</w:t>
      </w:r>
    </w:p>
    <w:p w14:paraId="59B7E454" w14:textId="77777777" w:rsidR="00063FE8" w:rsidRPr="0029055C" w:rsidRDefault="00C97DDE" w:rsidP="0029055C">
      <w:pPr>
        <w:pStyle w:val="ListParagraph"/>
        <w:numPr>
          <w:ilvl w:val="0"/>
          <w:numId w:val="17"/>
        </w:numPr>
        <w:spacing w:line="280" w:lineRule="atLeast"/>
        <w:contextualSpacing w:val="0"/>
        <w:rPr>
          <w:rFonts w:cstheme="minorHAnsi"/>
          <w:b/>
          <w:color w:val="31849B" w:themeColor="accent5" w:themeShade="BF"/>
          <w:sz w:val="22"/>
          <w:szCs w:val="22"/>
        </w:rPr>
      </w:pPr>
      <w:r w:rsidRPr="0029055C">
        <w:rPr>
          <w:rFonts w:cstheme="minorHAnsi"/>
          <w:b/>
          <w:color w:val="31849B" w:themeColor="accent5" w:themeShade="BF"/>
          <w:sz w:val="22"/>
          <w:szCs w:val="22"/>
        </w:rPr>
        <w:t xml:space="preserve">T4629: </w:t>
      </w:r>
      <w:r w:rsidRPr="0029055C">
        <w:rPr>
          <w:rFonts w:cstheme="minorHAnsi"/>
          <w:color w:val="31849B" w:themeColor="accent5" w:themeShade="BF"/>
          <w:sz w:val="22"/>
          <w:szCs w:val="22"/>
        </w:rPr>
        <w:t>Αριθμός έργων αναβάθμισης της λειτουργίας του ενιαίου σημείου πρόσβασης των πολιτών στις υπηρεσίες του δημόσιου τομέα.</w:t>
      </w:r>
      <w:r w:rsidRPr="0029055C">
        <w:rPr>
          <w:rFonts w:cstheme="minorHAnsi"/>
          <w:sz w:val="22"/>
          <w:szCs w:val="22"/>
        </w:rPr>
        <w:t xml:space="preserve"> O δείκτης παρουσιάζει μηδενική υλοποίηση, όμως λαμβάνοντας υπόψη την ωριμότητα σχετικών παρεμβάσεων</w:t>
      </w:r>
      <w:r w:rsidR="00063FE8" w:rsidRPr="0029055C">
        <w:rPr>
          <w:rFonts w:cstheme="minorHAnsi"/>
          <w:sz w:val="22"/>
          <w:szCs w:val="22"/>
        </w:rPr>
        <w:t xml:space="preserve"> (δράσεις αναβάθμισης, τόσο του ενιαίου σημείου πρόσβασης των πολιτών στις ηλεκτρονικές υπηρεσίες του δημοσίου, όσο και αυθεντικοποίησης των πολιτών, Πύλη ΕΡΜΗΣ), </w:t>
      </w:r>
      <w:r w:rsidRPr="0029055C">
        <w:rPr>
          <w:rFonts w:cstheme="minorHAnsi"/>
          <w:sz w:val="22"/>
          <w:szCs w:val="22"/>
        </w:rPr>
        <w:t xml:space="preserve">η τιμή στόχος για το έτος 2023 του δείκτη </w:t>
      </w:r>
      <w:r w:rsidR="00063FE8" w:rsidRPr="0029055C">
        <w:rPr>
          <w:rFonts w:cstheme="minorHAnsi"/>
          <w:sz w:val="22"/>
          <w:szCs w:val="22"/>
        </w:rPr>
        <w:t>(2) εκτιμάται ότι θα επιτευχθεί.</w:t>
      </w:r>
    </w:p>
    <w:p w14:paraId="260E5DDE" w14:textId="1C8B7C6D" w:rsidR="00C97DDE" w:rsidRPr="0029055C" w:rsidRDefault="00C97DDE" w:rsidP="0029055C">
      <w:pPr>
        <w:pStyle w:val="ListParagraph"/>
        <w:numPr>
          <w:ilvl w:val="0"/>
          <w:numId w:val="17"/>
        </w:numPr>
        <w:spacing w:line="280" w:lineRule="atLeast"/>
        <w:contextualSpacing w:val="0"/>
        <w:rPr>
          <w:rFonts w:cstheme="minorHAnsi"/>
          <w:b/>
          <w:color w:val="31849B" w:themeColor="accent5" w:themeShade="BF"/>
          <w:sz w:val="22"/>
          <w:szCs w:val="22"/>
        </w:rPr>
      </w:pPr>
      <w:r w:rsidRPr="0029055C">
        <w:rPr>
          <w:rFonts w:cstheme="minorHAnsi"/>
          <w:b/>
          <w:color w:val="31849B" w:themeColor="accent5" w:themeShade="BF"/>
          <w:sz w:val="22"/>
          <w:szCs w:val="22"/>
        </w:rPr>
        <w:t xml:space="preserve">T4630: </w:t>
      </w:r>
      <w:r w:rsidRPr="0029055C">
        <w:rPr>
          <w:rFonts w:cstheme="minorHAnsi"/>
          <w:color w:val="31849B" w:themeColor="accent5" w:themeShade="BF"/>
          <w:sz w:val="22"/>
          <w:szCs w:val="22"/>
        </w:rPr>
        <w:t>Αριθμός έργων ανάπτυξης ή αναβάθμισης βασικών υπηρεσιών δημόσιας διοίκησης που παρέχονται πλήρως ηλεκτρονικά.</w:t>
      </w:r>
      <w:r w:rsidRPr="0029055C">
        <w:rPr>
          <w:rFonts w:cstheme="minorHAnsi"/>
          <w:sz w:val="22"/>
          <w:szCs w:val="22"/>
        </w:rPr>
        <w:t xml:space="preserve"> Ο δείκτης, ο οποίος περιλαμβάνεται και στο Πλαίσιο Επιδόσεων του ΕΠ ΜΔΤ, τροφοδοτείται από δράσεις που προβλέπονται στο πλαίσιο της </w:t>
      </w:r>
      <w:r w:rsidRPr="0029055C">
        <w:rPr>
          <w:rFonts w:cstheme="minorHAnsi"/>
          <w:i/>
          <w:sz w:val="22"/>
          <w:szCs w:val="22"/>
        </w:rPr>
        <w:t>Κατηγορίας Δράσης Β.2.1: «Δράσεις αναβάθμισης, ανάπτυξης και λειτουργίας εργαλείων ΤΠΕ για την παροχή ηλεκτρονικών υπηρεσιών στους πολίτες»</w:t>
      </w:r>
      <w:r w:rsidRPr="0029055C">
        <w:rPr>
          <w:rFonts w:cstheme="minorHAnsi"/>
          <w:sz w:val="22"/>
          <w:szCs w:val="22"/>
        </w:rPr>
        <w:t xml:space="preserve"> του Προγράμματος.  Στο πλαίσιο της 2ης Αναθεώρησης του Προγράμματος, αφαιρείται από τον τίτλο του δείκτη ο προσδιορισμός «βασικές» για τις υπηρεσίες, προκειμένου να συνάδει με το eGovernment Benchmark Framework της Ευρωπαϊκής Στρατηγικής για την «Ψηφιακή Ενιαία Αγορά», σύμφωνα με το οποίο, οι σχετικές αξιολογήσεις περιλαμβάνουν επιμέρους «στιγμιότυπα» στη «ζωή» των επιχειρήσεων και των πολιτών (Life Events), προσεγγίζοντας με διευρυμένο τρόπο τον όρο «βασικές υπηρεσίες», ο οποίος δεν χρησιμοποιείται πλέον. Στο πλαίσιο αυτό, η τιμή στόχος του δείκτη για το έτος 2023 αυξάνεται από 2 σε 4, δεδομένου ότι</w:t>
      </w:r>
      <w:r w:rsidR="00D8133C" w:rsidRPr="0029055C">
        <w:rPr>
          <w:rFonts w:cstheme="minorHAnsi"/>
          <w:sz w:val="22"/>
          <w:szCs w:val="22"/>
        </w:rPr>
        <w:t>,</w:t>
      </w:r>
      <w:r w:rsidRPr="0029055C">
        <w:rPr>
          <w:rFonts w:cstheme="minorHAnsi"/>
          <w:sz w:val="22"/>
          <w:szCs w:val="22"/>
        </w:rPr>
        <w:t xml:space="preserve"> διευρύνεται το πεδίο ορισμού του, έτσι ώστε να συμπεριλάβει ευρύτερο φάσμα υπηρεσιών της δημόσιας διοίκησης που παρέχονται πλήρως ηλεκτρονικά και οι οποίες εκτιμάται ότι θα υλοποιηθούν (Ψηφιακό ΚΕΠ, Ενιαίο Σύστημα Εξυπηρέτησης Πολιτών). Η εκτιμώμενη τιμή υλοποίησης για το έτος 2018 ανέρχεται σε 2, από την υλοποίηση των έργων «Εθνικό Ληξιαρχείο – Β΄ Φάση» και «Ψηφιακή Υπηρεσία Ειδοποίησης και Αντιμετώπισης Πυρκαγιάς».</w:t>
      </w:r>
    </w:p>
    <w:p w14:paraId="1033C58C" w14:textId="2D2A5E41" w:rsidR="00C97DDE" w:rsidRPr="0029055C" w:rsidRDefault="00C97DDE" w:rsidP="00C97DDE">
      <w:pPr>
        <w:pStyle w:val="ListParagraph"/>
        <w:numPr>
          <w:ilvl w:val="0"/>
          <w:numId w:val="17"/>
        </w:numPr>
        <w:spacing w:line="280" w:lineRule="atLeast"/>
        <w:contextualSpacing w:val="0"/>
        <w:rPr>
          <w:rFonts w:cstheme="minorHAnsi"/>
          <w:b/>
          <w:color w:val="31849B" w:themeColor="accent5" w:themeShade="BF"/>
          <w:sz w:val="22"/>
          <w:szCs w:val="22"/>
        </w:rPr>
      </w:pPr>
      <w:r w:rsidRPr="0029055C">
        <w:rPr>
          <w:rFonts w:cstheme="minorHAnsi"/>
          <w:b/>
          <w:color w:val="31849B" w:themeColor="accent5" w:themeShade="BF"/>
          <w:sz w:val="22"/>
          <w:szCs w:val="22"/>
        </w:rPr>
        <w:t xml:space="preserve">T4631: </w:t>
      </w:r>
      <w:r w:rsidRPr="0029055C">
        <w:rPr>
          <w:rFonts w:cstheme="minorHAnsi"/>
          <w:color w:val="31849B" w:themeColor="accent5" w:themeShade="BF"/>
          <w:sz w:val="22"/>
          <w:szCs w:val="22"/>
        </w:rPr>
        <w:t>Αριθμός έργων ενίσχυσης της πληροφόρησης και της συμμετοχής των πολιτών.</w:t>
      </w:r>
      <w:r w:rsidRPr="0029055C">
        <w:rPr>
          <w:rFonts w:cstheme="minorHAnsi"/>
          <w:sz w:val="22"/>
          <w:szCs w:val="22"/>
        </w:rPr>
        <w:t xml:space="preserve"> Ο δείκτης αφορά σε δράσεις ενίσχυσης της πληροφόρησης και της συμμετοχής των πολιτών στις δημόσιες πολιτικές. Παρουσιάζει μηδενική υλοποίηση, αλλά η τιμή στόχος </w:t>
      </w:r>
      <w:r w:rsidR="00D8133C" w:rsidRPr="0029055C">
        <w:rPr>
          <w:rFonts w:cstheme="minorHAnsi"/>
          <w:sz w:val="22"/>
          <w:szCs w:val="22"/>
        </w:rPr>
        <w:t xml:space="preserve">3 </w:t>
      </w:r>
      <w:r w:rsidRPr="0029055C">
        <w:rPr>
          <w:rFonts w:cstheme="minorHAnsi"/>
          <w:sz w:val="22"/>
          <w:szCs w:val="22"/>
        </w:rPr>
        <w:t>για το έτος 2023 αναμένεται να επιτευχθεί με την υλοποίηση έργων αναβάθμισης των διαδικτυακών κόμβων opengov.gr και data.gov.gr, καθώς και από την υλοποίηση του έργου «Ψηφιακό Κέντρο Ενημέρωσης».</w:t>
      </w:r>
    </w:p>
    <w:p w14:paraId="2D2E52AB" w14:textId="031A093C" w:rsidR="00C97DDE" w:rsidRPr="0029055C" w:rsidRDefault="00C97DDE" w:rsidP="00C97DDE">
      <w:pPr>
        <w:pStyle w:val="ListParagraph"/>
        <w:numPr>
          <w:ilvl w:val="0"/>
          <w:numId w:val="17"/>
        </w:numPr>
        <w:rPr>
          <w:rFonts w:cstheme="minorHAnsi"/>
          <w:sz w:val="22"/>
          <w:szCs w:val="22"/>
        </w:rPr>
      </w:pPr>
      <w:r w:rsidRPr="0029055C">
        <w:rPr>
          <w:rFonts w:cstheme="minorHAnsi"/>
          <w:b/>
          <w:color w:val="31849B" w:themeColor="accent5" w:themeShade="BF"/>
          <w:sz w:val="22"/>
          <w:szCs w:val="22"/>
        </w:rPr>
        <w:t xml:space="preserve">T4632: </w:t>
      </w:r>
      <w:r w:rsidRPr="0029055C">
        <w:rPr>
          <w:rFonts w:cstheme="minorHAnsi"/>
          <w:color w:val="31849B" w:themeColor="accent5" w:themeShade="BF"/>
          <w:sz w:val="22"/>
          <w:szCs w:val="22"/>
        </w:rPr>
        <w:t>Αριθμός έργων ΤΠΕ που υποστηρίζουν την αναβάθμιση της λειτουργίας τομέων προτεραιότητας του ΕΠ για την παροχή υπηρεσιών προς πολίτες.</w:t>
      </w:r>
      <w:r w:rsidRPr="0029055C">
        <w:rPr>
          <w:rFonts w:cstheme="minorHAnsi"/>
          <w:sz w:val="22"/>
          <w:szCs w:val="22"/>
        </w:rPr>
        <w:t xml:space="preserve"> Ο δείκτης, ο οποίος περιλαμβάνεται και στο Πλαίσιο Επιδόσεων του ΕΠ ΜΔΤ, τροφοδοτείται από δράσεις που προβλέπονται στο πλαίσιο της </w:t>
      </w:r>
      <w:r w:rsidRPr="0029055C">
        <w:rPr>
          <w:rFonts w:cstheme="minorHAnsi"/>
          <w:i/>
          <w:sz w:val="22"/>
          <w:szCs w:val="22"/>
        </w:rPr>
        <w:t>Κατηγορίας Δράσης Β.2.1: «Δράσεις αναβάθμισης, ανάπτυξης και λειτουργίας εργαλείων ΤΠΕ για την παροχή ηλεκτρονικών υπηρεσιών στους πολίτες»</w:t>
      </w:r>
      <w:r w:rsidRPr="0029055C">
        <w:rPr>
          <w:rFonts w:cstheme="minorHAnsi"/>
          <w:sz w:val="22"/>
          <w:szCs w:val="22"/>
        </w:rPr>
        <w:t xml:space="preserve"> του </w:t>
      </w:r>
      <w:r w:rsidRPr="0029055C">
        <w:rPr>
          <w:rFonts w:cstheme="minorHAnsi"/>
          <w:sz w:val="22"/>
          <w:szCs w:val="22"/>
        </w:rPr>
        <w:lastRenderedPageBreak/>
        <w:t>Προγράμματος και περιλαμβάνουν δράσεις ΤΠΕ για την υποστήριξη της αναβάθμισης της λειτουργίας των τομέων προτεραιότητας του: Δικαιοσύνη, Υγεία, Φορολογική -– Δημοσιονομική Διαχείριση, εφαρμογή μεταρρύθμισης της Τοπικής Αυτοδιοίκησης, Κοινωνική Ασφάλιση. Η υλοποίηση του δείκτη παρουσιάζει ήδη επαρκή πρόοδο και αναμένεται να τροφοδοτηθεί και από άλλα έργα σε εξέλιξη (εκτελεστικές συμβάσεις του έργου «Ενιαίο Πληροφοριακό Σύστημα για την Υποστήριξη των Επιχειρησιακών Λειτουργιών Μονάδων Υγείας του ΕΣΥ») και νέα (ΟΠΣ ΕΦΚΑ, Οργάνωση και Ηλεκτρονική Διακυβέρνηση στην Τοπική Αυτοδιοίκηση)</w:t>
      </w:r>
      <w:r w:rsidR="00D8133C" w:rsidRPr="0029055C">
        <w:rPr>
          <w:rFonts w:cstheme="minorHAnsi"/>
          <w:sz w:val="22"/>
          <w:szCs w:val="22"/>
        </w:rPr>
        <w:t>, συνεπώς, εκτιμάται ότι</w:t>
      </w:r>
      <w:r w:rsidR="001622A0" w:rsidRPr="0029055C">
        <w:rPr>
          <w:rFonts w:cstheme="minorHAnsi"/>
          <w:sz w:val="22"/>
          <w:szCs w:val="22"/>
        </w:rPr>
        <w:t xml:space="preserve"> θα επιτευχθεί</w:t>
      </w:r>
      <w:r w:rsidR="00D8133C" w:rsidRPr="0029055C">
        <w:rPr>
          <w:rFonts w:cstheme="minorHAnsi"/>
          <w:sz w:val="22"/>
          <w:szCs w:val="22"/>
        </w:rPr>
        <w:t xml:space="preserve"> η τιμή στόχος 13 για το έτος 20</w:t>
      </w:r>
      <w:r w:rsidR="001622A0" w:rsidRPr="0029055C">
        <w:rPr>
          <w:rFonts w:cstheme="minorHAnsi"/>
          <w:sz w:val="22"/>
          <w:szCs w:val="22"/>
        </w:rPr>
        <w:t>2</w:t>
      </w:r>
      <w:r w:rsidR="00D8133C" w:rsidRPr="0029055C">
        <w:rPr>
          <w:rFonts w:cstheme="minorHAnsi"/>
          <w:sz w:val="22"/>
          <w:szCs w:val="22"/>
        </w:rPr>
        <w:t>3</w:t>
      </w:r>
      <w:r w:rsidRPr="0029055C">
        <w:rPr>
          <w:rFonts w:cstheme="minorHAnsi"/>
          <w:sz w:val="22"/>
          <w:szCs w:val="22"/>
        </w:rPr>
        <w:t>.</w:t>
      </w:r>
    </w:p>
    <w:p w14:paraId="6526368C" w14:textId="77777777" w:rsidR="00C97DDE" w:rsidRPr="0029055C" w:rsidRDefault="00C97DDE" w:rsidP="00C97DDE">
      <w:pPr>
        <w:rPr>
          <w:rFonts w:cstheme="minorHAnsi"/>
          <w:sz w:val="22"/>
          <w:szCs w:val="22"/>
        </w:rPr>
      </w:pPr>
      <w:r w:rsidRPr="0029055C">
        <w:rPr>
          <w:rFonts w:cstheme="minorHAnsi"/>
          <w:sz w:val="22"/>
          <w:szCs w:val="22"/>
        </w:rPr>
        <w:t xml:space="preserve">Αντίστοιχα με την πρόοδο υλοποίησης των δεικτών εκροής του Θεματικού Άξονα </w:t>
      </w:r>
      <w:r w:rsidR="001B3747" w:rsidRPr="0029055C">
        <w:rPr>
          <w:rFonts w:cstheme="minorHAnsi"/>
          <w:sz w:val="22"/>
          <w:szCs w:val="22"/>
        </w:rPr>
        <w:t>ΙΙ</w:t>
      </w:r>
      <w:r w:rsidRPr="0029055C">
        <w:rPr>
          <w:rFonts w:cstheme="minorHAnsi"/>
          <w:sz w:val="22"/>
          <w:szCs w:val="22"/>
        </w:rPr>
        <w:t xml:space="preserve">, στη συνέχεια παρατίθεται η πρόοδος υλοποίησης των </w:t>
      </w:r>
      <w:r w:rsidRPr="0029055C">
        <w:rPr>
          <w:rFonts w:cstheme="minorHAnsi"/>
          <w:b/>
          <w:sz w:val="22"/>
          <w:szCs w:val="22"/>
        </w:rPr>
        <w:t>δεικτών αποτελέσματος</w:t>
      </w:r>
      <w:r w:rsidRPr="0029055C">
        <w:rPr>
          <w:rFonts w:cstheme="minorHAnsi"/>
          <w:sz w:val="22"/>
          <w:szCs w:val="22"/>
        </w:rPr>
        <w:t xml:space="preserve"> του ΘΑ.</w:t>
      </w:r>
    </w:p>
    <w:p w14:paraId="06077D31" w14:textId="77777777" w:rsidR="00C97DDE" w:rsidRPr="0029055C" w:rsidRDefault="00C97DDE" w:rsidP="00C97DDE">
      <w:pPr>
        <w:pStyle w:val="Caption"/>
        <w:spacing w:after="120" w:line="280" w:lineRule="atLeast"/>
        <w:rPr>
          <w:b w:val="0"/>
          <w:sz w:val="22"/>
          <w:szCs w:val="22"/>
        </w:rPr>
      </w:pPr>
      <w:r w:rsidRPr="0029055C">
        <w:rPr>
          <w:sz w:val="22"/>
          <w:szCs w:val="22"/>
        </w:rPr>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19</w:t>
      </w:r>
      <w:r w:rsidRPr="0029055C">
        <w:rPr>
          <w:sz w:val="22"/>
          <w:szCs w:val="22"/>
        </w:rPr>
        <w:fldChar w:fldCharType="end"/>
      </w:r>
      <w:r w:rsidRPr="0029055C">
        <w:rPr>
          <w:b w:val="0"/>
          <w:sz w:val="22"/>
          <w:szCs w:val="22"/>
        </w:rPr>
        <w:t xml:space="preserve">. Πρόοδος υλοποίησης δεικτών αποτελέσματος του Θεματικού Άξονα </w:t>
      </w:r>
      <w:r w:rsidR="001B3747" w:rsidRPr="0029055C">
        <w:rPr>
          <w:b w:val="0"/>
          <w:sz w:val="22"/>
          <w:szCs w:val="22"/>
        </w:rPr>
        <w:t>ΙΙ</w:t>
      </w:r>
    </w:p>
    <w:tbl>
      <w:tblPr>
        <w:tblStyle w:val="GridTable6Colorful-Accent5"/>
        <w:tblW w:w="5000" w:type="pct"/>
        <w:tblLayout w:type="fixed"/>
        <w:tblCellMar>
          <w:left w:w="28" w:type="dxa"/>
          <w:right w:w="28" w:type="dxa"/>
        </w:tblCellMar>
        <w:tblLook w:val="06A0" w:firstRow="1" w:lastRow="0" w:firstColumn="1" w:lastColumn="0" w:noHBand="1" w:noVBand="1"/>
      </w:tblPr>
      <w:tblGrid>
        <w:gridCol w:w="3540"/>
        <w:gridCol w:w="1104"/>
        <w:gridCol w:w="1104"/>
        <w:gridCol w:w="1104"/>
        <w:gridCol w:w="1104"/>
        <w:gridCol w:w="1104"/>
      </w:tblGrid>
      <w:tr w:rsidR="00C97DDE" w:rsidRPr="0029055C" w14:paraId="37BDA096" w14:textId="77777777" w:rsidTr="00507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pct"/>
            <w:noWrap/>
            <w:vAlign w:val="center"/>
            <w:hideMark/>
          </w:tcPr>
          <w:p w14:paraId="685A7C97" w14:textId="77777777" w:rsidR="00C97DDE" w:rsidRPr="0029055C" w:rsidRDefault="00C97DDE" w:rsidP="00507AF3">
            <w:pPr>
              <w:spacing w:before="40" w:after="40" w:line="240" w:lineRule="auto"/>
              <w:jc w:val="center"/>
              <w:rPr>
                <w:rFonts w:asciiTheme="minorHAnsi" w:hAnsiTheme="minorHAnsi" w:cstheme="minorHAnsi"/>
                <w:sz w:val="18"/>
                <w:szCs w:val="20"/>
              </w:rPr>
            </w:pPr>
            <w:r w:rsidRPr="0029055C">
              <w:rPr>
                <w:rFonts w:asciiTheme="minorHAnsi" w:hAnsiTheme="minorHAnsi" w:cstheme="minorHAnsi"/>
                <w:sz w:val="18"/>
                <w:szCs w:val="20"/>
              </w:rPr>
              <w:t>Δείκτης</w:t>
            </w:r>
          </w:p>
        </w:tc>
        <w:tc>
          <w:tcPr>
            <w:tcW w:w="609" w:type="pct"/>
            <w:vAlign w:val="center"/>
          </w:tcPr>
          <w:p w14:paraId="726AAB1B"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Τιμή Βάσης</w:t>
            </w:r>
          </w:p>
        </w:tc>
        <w:tc>
          <w:tcPr>
            <w:tcW w:w="609" w:type="pct"/>
            <w:noWrap/>
            <w:vAlign w:val="center"/>
            <w:hideMark/>
          </w:tcPr>
          <w:p w14:paraId="01332D7D"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2023</w:t>
            </w:r>
          </w:p>
        </w:tc>
        <w:tc>
          <w:tcPr>
            <w:tcW w:w="609" w:type="pct"/>
            <w:noWrap/>
            <w:vAlign w:val="center"/>
            <w:hideMark/>
          </w:tcPr>
          <w:p w14:paraId="2364BF7F"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Ενταγμένων Πράξεων</w:t>
            </w:r>
          </w:p>
        </w:tc>
        <w:tc>
          <w:tcPr>
            <w:tcW w:w="609" w:type="pct"/>
            <w:vAlign w:val="center"/>
          </w:tcPr>
          <w:p w14:paraId="6B132F9F"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Επίτευξη 31.12.17</w:t>
            </w:r>
          </w:p>
        </w:tc>
        <w:tc>
          <w:tcPr>
            <w:tcW w:w="609" w:type="pct"/>
            <w:vAlign w:val="center"/>
          </w:tcPr>
          <w:p w14:paraId="5A16CCDA" w14:textId="77777777" w:rsidR="00C97DDE" w:rsidRPr="0029055C" w:rsidRDefault="00C97DDE" w:rsidP="00507AF3">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Εκτίμηση Επίτευξης 31.12.23</w:t>
            </w:r>
          </w:p>
        </w:tc>
      </w:tr>
      <w:tr w:rsidR="00C97DDE" w:rsidRPr="0029055C" w14:paraId="1CEE0BA2" w14:textId="77777777" w:rsidTr="00507AF3">
        <w:tc>
          <w:tcPr>
            <w:cnfStyle w:val="001000000000" w:firstRow="0" w:lastRow="0" w:firstColumn="1" w:lastColumn="0" w:oddVBand="0" w:evenVBand="0" w:oddHBand="0" w:evenHBand="0" w:firstRowFirstColumn="0" w:firstRowLastColumn="0" w:lastRowFirstColumn="0" w:lastRowLastColumn="0"/>
            <w:tcW w:w="1954" w:type="pct"/>
            <w:noWrap/>
            <w:vAlign w:val="center"/>
          </w:tcPr>
          <w:p w14:paraId="00C668B9" w14:textId="77777777" w:rsidR="00C97DDE" w:rsidRPr="0029055C" w:rsidRDefault="00C97DDE" w:rsidP="00507AF3">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T4601. </w:t>
            </w:r>
            <w:r w:rsidRPr="0029055C">
              <w:rPr>
                <w:rFonts w:asciiTheme="minorHAnsi" w:hAnsiTheme="minorHAnsi" w:cstheme="minorHAnsi"/>
                <w:b w:val="0"/>
                <w:sz w:val="18"/>
                <w:szCs w:val="20"/>
              </w:rPr>
              <w:t>Αριθμός φορέων των οποίων η λειτουργία αναβαθμίζεται με τη χρήση συστημάτων ΤΠΕ</w:t>
            </w:r>
          </w:p>
        </w:tc>
        <w:tc>
          <w:tcPr>
            <w:tcW w:w="609" w:type="pct"/>
            <w:vAlign w:val="center"/>
          </w:tcPr>
          <w:p w14:paraId="56AC2698"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9055C">
              <w:rPr>
                <w:rFonts w:cs="Calibri"/>
                <w:sz w:val="18"/>
                <w:szCs w:val="18"/>
              </w:rPr>
              <w:t>3</w:t>
            </w:r>
          </w:p>
        </w:tc>
        <w:tc>
          <w:tcPr>
            <w:tcW w:w="609" w:type="pct"/>
            <w:noWrap/>
            <w:vAlign w:val="center"/>
          </w:tcPr>
          <w:p w14:paraId="25518790"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055C">
              <w:rPr>
                <w:rFonts w:cs="Calibri"/>
                <w:sz w:val="18"/>
                <w:szCs w:val="18"/>
              </w:rPr>
              <w:t>25</w:t>
            </w:r>
          </w:p>
        </w:tc>
        <w:tc>
          <w:tcPr>
            <w:tcW w:w="609" w:type="pct"/>
            <w:noWrap/>
            <w:vAlign w:val="center"/>
          </w:tcPr>
          <w:p w14:paraId="43CA654C"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055C">
              <w:rPr>
                <w:rFonts w:asciiTheme="minorHAnsi" w:hAnsiTheme="minorHAnsi" w:cstheme="minorHAnsi"/>
                <w:sz w:val="18"/>
                <w:szCs w:val="18"/>
              </w:rPr>
              <w:t>43</w:t>
            </w:r>
          </w:p>
        </w:tc>
        <w:tc>
          <w:tcPr>
            <w:tcW w:w="609" w:type="pct"/>
            <w:vAlign w:val="center"/>
          </w:tcPr>
          <w:p w14:paraId="469CE11C"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055C">
              <w:rPr>
                <w:rFonts w:asciiTheme="minorHAnsi" w:hAnsiTheme="minorHAnsi" w:cstheme="minorHAnsi"/>
                <w:sz w:val="18"/>
                <w:szCs w:val="18"/>
              </w:rPr>
              <w:t>2</w:t>
            </w:r>
          </w:p>
        </w:tc>
        <w:tc>
          <w:tcPr>
            <w:tcW w:w="609" w:type="pct"/>
            <w:vAlign w:val="center"/>
          </w:tcPr>
          <w:p w14:paraId="0B74DA79"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rPr>
            </w:pPr>
            <w:r w:rsidRPr="0029055C">
              <w:rPr>
                <w:rFonts w:asciiTheme="minorHAnsi" w:hAnsiTheme="minorHAnsi" w:cstheme="minorHAnsi"/>
                <w:sz w:val="18"/>
                <w:szCs w:val="18"/>
              </w:rPr>
              <w:t>25</w:t>
            </w:r>
          </w:p>
        </w:tc>
      </w:tr>
      <w:tr w:rsidR="00C97DDE" w:rsidRPr="0029055C" w14:paraId="1E50B5BA" w14:textId="77777777" w:rsidTr="00507AF3">
        <w:tc>
          <w:tcPr>
            <w:cnfStyle w:val="001000000000" w:firstRow="0" w:lastRow="0" w:firstColumn="1" w:lastColumn="0" w:oddVBand="0" w:evenVBand="0" w:oddHBand="0" w:evenHBand="0" w:firstRowFirstColumn="0" w:firstRowLastColumn="0" w:lastRowFirstColumn="0" w:lastRowLastColumn="0"/>
            <w:tcW w:w="1954" w:type="pct"/>
            <w:noWrap/>
            <w:vAlign w:val="center"/>
          </w:tcPr>
          <w:p w14:paraId="7340F7C0" w14:textId="77777777" w:rsidR="00C97DDE" w:rsidRPr="0029055C" w:rsidRDefault="00C97DDE" w:rsidP="00507AF3">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T4602. </w:t>
            </w:r>
            <w:r w:rsidRPr="0029055C">
              <w:rPr>
                <w:rFonts w:asciiTheme="minorHAnsi" w:hAnsiTheme="minorHAnsi" w:cstheme="minorHAnsi"/>
                <w:b w:val="0"/>
                <w:sz w:val="18"/>
                <w:szCs w:val="20"/>
              </w:rPr>
              <w:t xml:space="preserve">Αριθμός μητρώων δημόσιου τομέα που διαλειτουργούν </w:t>
            </w:r>
          </w:p>
        </w:tc>
        <w:tc>
          <w:tcPr>
            <w:tcW w:w="609" w:type="pct"/>
            <w:vAlign w:val="center"/>
          </w:tcPr>
          <w:p w14:paraId="1E6D7FE8"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9055C">
              <w:rPr>
                <w:rFonts w:cs="Calibri"/>
                <w:sz w:val="18"/>
                <w:szCs w:val="18"/>
              </w:rPr>
              <w:t>8</w:t>
            </w:r>
          </w:p>
        </w:tc>
        <w:tc>
          <w:tcPr>
            <w:tcW w:w="609" w:type="pct"/>
            <w:noWrap/>
            <w:vAlign w:val="center"/>
          </w:tcPr>
          <w:p w14:paraId="69D0A432"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055C">
              <w:rPr>
                <w:rFonts w:cs="Calibri"/>
                <w:sz w:val="18"/>
                <w:szCs w:val="18"/>
              </w:rPr>
              <w:t>70</w:t>
            </w:r>
          </w:p>
        </w:tc>
        <w:tc>
          <w:tcPr>
            <w:tcW w:w="609" w:type="pct"/>
            <w:noWrap/>
            <w:vAlign w:val="center"/>
          </w:tcPr>
          <w:p w14:paraId="043805DB"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055C">
              <w:rPr>
                <w:rFonts w:asciiTheme="minorHAnsi" w:hAnsiTheme="minorHAnsi" w:cstheme="minorHAnsi"/>
                <w:sz w:val="18"/>
                <w:szCs w:val="18"/>
              </w:rPr>
              <w:t>10</w:t>
            </w:r>
          </w:p>
        </w:tc>
        <w:tc>
          <w:tcPr>
            <w:tcW w:w="609" w:type="pct"/>
            <w:vAlign w:val="center"/>
          </w:tcPr>
          <w:p w14:paraId="7445676A"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055C">
              <w:rPr>
                <w:rFonts w:asciiTheme="minorHAnsi" w:hAnsiTheme="minorHAnsi" w:cstheme="minorHAnsi"/>
                <w:sz w:val="18"/>
                <w:szCs w:val="18"/>
              </w:rPr>
              <w:t>4</w:t>
            </w:r>
          </w:p>
        </w:tc>
        <w:tc>
          <w:tcPr>
            <w:tcW w:w="609" w:type="pct"/>
            <w:vAlign w:val="center"/>
          </w:tcPr>
          <w:p w14:paraId="259D4AF1"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rPr>
            </w:pPr>
            <w:r w:rsidRPr="0029055C">
              <w:rPr>
                <w:rFonts w:asciiTheme="minorHAnsi" w:hAnsiTheme="minorHAnsi" w:cstheme="minorHAnsi"/>
                <w:sz w:val="18"/>
                <w:szCs w:val="18"/>
              </w:rPr>
              <w:t>70</w:t>
            </w:r>
          </w:p>
        </w:tc>
      </w:tr>
      <w:tr w:rsidR="00C97DDE" w:rsidRPr="0029055C" w14:paraId="6E825736" w14:textId="77777777" w:rsidTr="00507AF3">
        <w:tc>
          <w:tcPr>
            <w:cnfStyle w:val="001000000000" w:firstRow="0" w:lastRow="0" w:firstColumn="1" w:lastColumn="0" w:oddVBand="0" w:evenVBand="0" w:oddHBand="0" w:evenHBand="0" w:firstRowFirstColumn="0" w:firstRowLastColumn="0" w:lastRowFirstColumn="0" w:lastRowLastColumn="0"/>
            <w:tcW w:w="1954" w:type="pct"/>
            <w:tcBorders>
              <w:bottom w:val="single" w:sz="4" w:space="0" w:color="92CDDC" w:themeColor="accent5" w:themeTint="99"/>
            </w:tcBorders>
            <w:noWrap/>
            <w:vAlign w:val="center"/>
          </w:tcPr>
          <w:p w14:paraId="19586090" w14:textId="77777777" w:rsidR="00C97DDE" w:rsidRPr="0029055C" w:rsidRDefault="00C97DDE" w:rsidP="00507AF3">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T4603. </w:t>
            </w:r>
            <w:r w:rsidRPr="0029055C">
              <w:rPr>
                <w:rFonts w:asciiTheme="minorHAnsi" w:hAnsiTheme="minorHAnsi" w:cstheme="minorHAnsi"/>
                <w:b w:val="0"/>
                <w:sz w:val="18"/>
                <w:szCs w:val="20"/>
              </w:rPr>
              <w:t>Αριθμός συστημάτων ηλεκτρονικής διακυβέρνησης που παρέχονται στους πολίτες</w:t>
            </w:r>
          </w:p>
        </w:tc>
        <w:tc>
          <w:tcPr>
            <w:tcW w:w="609" w:type="pct"/>
            <w:vAlign w:val="center"/>
          </w:tcPr>
          <w:p w14:paraId="6E7D2C6E"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9055C">
              <w:rPr>
                <w:rFonts w:cs="Calibri"/>
                <w:sz w:val="18"/>
                <w:szCs w:val="18"/>
              </w:rPr>
              <w:t>1</w:t>
            </w:r>
          </w:p>
        </w:tc>
        <w:tc>
          <w:tcPr>
            <w:tcW w:w="609" w:type="pct"/>
            <w:noWrap/>
            <w:vAlign w:val="center"/>
          </w:tcPr>
          <w:p w14:paraId="531E7A09"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055C">
              <w:rPr>
                <w:rFonts w:cs="Calibri"/>
                <w:sz w:val="18"/>
                <w:szCs w:val="18"/>
              </w:rPr>
              <w:t>2</w:t>
            </w:r>
          </w:p>
        </w:tc>
        <w:tc>
          <w:tcPr>
            <w:tcW w:w="609" w:type="pct"/>
            <w:noWrap/>
            <w:vAlign w:val="center"/>
          </w:tcPr>
          <w:p w14:paraId="533C91B2"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055C">
              <w:rPr>
                <w:rFonts w:asciiTheme="minorHAnsi" w:hAnsiTheme="minorHAnsi" w:cstheme="minorHAnsi"/>
                <w:sz w:val="18"/>
                <w:szCs w:val="18"/>
              </w:rPr>
              <w:t>8</w:t>
            </w:r>
          </w:p>
        </w:tc>
        <w:tc>
          <w:tcPr>
            <w:tcW w:w="609" w:type="pct"/>
            <w:vAlign w:val="center"/>
          </w:tcPr>
          <w:p w14:paraId="55AE3F1E"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055C">
              <w:rPr>
                <w:rFonts w:asciiTheme="minorHAnsi" w:hAnsiTheme="minorHAnsi" w:cstheme="minorHAnsi"/>
                <w:sz w:val="18"/>
                <w:szCs w:val="18"/>
              </w:rPr>
              <w:t>0</w:t>
            </w:r>
          </w:p>
        </w:tc>
        <w:tc>
          <w:tcPr>
            <w:tcW w:w="609" w:type="pct"/>
            <w:vAlign w:val="center"/>
          </w:tcPr>
          <w:p w14:paraId="18B8397E"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055C">
              <w:rPr>
                <w:rFonts w:asciiTheme="minorHAnsi" w:hAnsiTheme="minorHAnsi" w:cstheme="minorHAnsi"/>
                <w:sz w:val="18"/>
                <w:szCs w:val="18"/>
              </w:rPr>
              <w:t>2</w:t>
            </w:r>
          </w:p>
        </w:tc>
      </w:tr>
      <w:tr w:rsidR="00C97DDE" w:rsidRPr="0029055C" w14:paraId="0820C3AC" w14:textId="77777777" w:rsidTr="00507AF3">
        <w:tc>
          <w:tcPr>
            <w:cnfStyle w:val="001000000000" w:firstRow="0" w:lastRow="0" w:firstColumn="1" w:lastColumn="0" w:oddVBand="0" w:evenVBand="0" w:oddHBand="0" w:evenHBand="0" w:firstRowFirstColumn="0" w:firstRowLastColumn="0" w:lastRowFirstColumn="0" w:lastRowLastColumn="0"/>
            <w:tcW w:w="1954" w:type="pct"/>
            <w:tcBorders>
              <w:bottom w:val="single" w:sz="4" w:space="0" w:color="92CDDC" w:themeColor="accent5" w:themeTint="99"/>
            </w:tcBorders>
            <w:noWrap/>
            <w:vAlign w:val="center"/>
          </w:tcPr>
          <w:p w14:paraId="1958948D" w14:textId="77777777" w:rsidR="00C97DDE" w:rsidRPr="0029055C" w:rsidRDefault="00C97DDE" w:rsidP="00507AF3">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T4640. </w:t>
            </w:r>
            <w:r w:rsidRPr="0029055C">
              <w:rPr>
                <w:rFonts w:asciiTheme="minorHAnsi" w:hAnsiTheme="minorHAnsi" w:cstheme="minorHAnsi"/>
                <w:b w:val="0"/>
                <w:sz w:val="18"/>
                <w:szCs w:val="20"/>
              </w:rPr>
              <w:t>Αριθμός πολιτών που έχουν προσωποποιημένη πρόσβαση στο ενιαίο σημείο πρόσβασης των πολιτών</w:t>
            </w:r>
          </w:p>
        </w:tc>
        <w:tc>
          <w:tcPr>
            <w:tcW w:w="609" w:type="pct"/>
            <w:vAlign w:val="center"/>
          </w:tcPr>
          <w:p w14:paraId="7647A848"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9055C">
              <w:rPr>
                <w:rFonts w:cs="Calibri"/>
                <w:sz w:val="18"/>
                <w:szCs w:val="18"/>
              </w:rPr>
              <w:t>50.000</w:t>
            </w:r>
          </w:p>
        </w:tc>
        <w:tc>
          <w:tcPr>
            <w:tcW w:w="609" w:type="pct"/>
            <w:noWrap/>
            <w:vAlign w:val="center"/>
          </w:tcPr>
          <w:p w14:paraId="360FC1CD"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055C">
              <w:rPr>
                <w:rFonts w:cs="Calibri"/>
                <w:sz w:val="18"/>
                <w:szCs w:val="18"/>
              </w:rPr>
              <w:t>150.000</w:t>
            </w:r>
          </w:p>
        </w:tc>
        <w:tc>
          <w:tcPr>
            <w:tcW w:w="609" w:type="pct"/>
            <w:noWrap/>
            <w:vAlign w:val="center"/>
          </w:tcPr>
          <w:p w14:paraId="158AA1D4"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609" w:type="pct"/>
            <w:vAlign w:val="center"/>
          </w:tcPr>
          <w:p w14:paraId="026EF904"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055C">
              <w:rPr>
                <w:rFonts w:asciiTheme="minorHAnsi" w:hAnsiTheme="minorHAnsi" w:cstheme="minorHAnsi"/>
                <w:sz w:val="18"/>
                <w:szCs w:val="18"/>
              </w:rPr>
              <w:t>372.880</w:t>
            </w:r>
          </w:p>
        </w:tc>
        <w:tc>
          <w:tcPr>
            <w:tcW w:w="609" w:type="pct"/>
            <w:vAlign w:val="center"/>
          </w:tcPr>
          <w:p w14:paraId="7653CE5D" w14:textId="77777777" w:rsidR="00C97DDE" w:rsidRPr="0029055C" w:rsidRDefault="00C97DDE" w:rsidP="00507AF3">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055C">
              <w:rPr>
                <w:rFonts w:asciiTheme="minorHAnsi" w:hAnsiTheme="minorHAnsi" w:cstheme="minorHAnsi"/>
                <w:sz w:val="18"/>
                <w:szCs w:val="18"/>
              </w:rPr>
              <w:t>500.000</w:t>
            </w:r>
          </w:p>
        </w:tc>
      </w:tr>
    </w:tbl>
    <w:p w14:paraId="6BFF47AB" w14:textId="77777777" w:rsidR="00C97DDE" w:rsidRPr="0029055C" w:rsidRDefault="00C97DDE" w:rsidP="00C97DDE">
      <w:pPr>
        <w:rPr>
          <w:rFonts w:cstheme="minorHAnsi"/>
          <w:sz w:val="22"/>
          <w:szCs w:val="22"/>
        </w:rPr>
      </w:pPr>
      <w:r w:rsidRPr="0029055C">
        <w:rPr>
          <w:rFonts w:cstheme="minorHAnsi"/>
          <w:sz w:val="22"/>
          <w:szCs w:val="22"/>
        </w:rPr>
        <w:t xml:space="preserve">Με βάση τα στοιχεία του ανωτέρω Πίνακα, η πρόοδος υλοποίησης των δεικτών αποτελέσματος του Θεματικού Άξονα </w:t>
      </w:r>
      <w:r w:rsidR="00AC462E" w:rsidRPr="0029055C">
        <w:rPr>
          <w:rFonts w:cstheme="minorHAnsi"/>
          <w:sz w:val="22"/>
          <w:szCs w:val="22"/>
        </w:rPr>
        <w:t>ΙΙ</w:t>
      </w:r>
      <w:r w:rsidRPr="0029055C">
        <w:rPr>
          <w:rFonts w:cstheme="minorHAnsi"/>
          <w:sz w:val="22"/>
          <w:szCs w:val="22"/>
        </w:rPr>
        <w:t xml:space="preserve"> έχει ως εξής:</w:t>
      </w:r>
    </w:p>
    <w:p w14:paraId="3B6D4F13" w14:textId="77777777" w:rsidR="00C97DDE" w:rsidRPr="0029055C" w:rsidRDefault="00C97DDE" w:rsidP="00C97DDE">
      <w:pPr>
        <w:pStyle w:val="ListParagraph"/>
        <w:numPr>
          <w:ilvl w:val="0"/>
          <w:numId w:val="17"/>
        </w:numPr>
        <w:spacing w:line="280" w:lineRule="atLeast"/>
        <w:contextualSpacing w:val="0"/>
        <w:rPr>
          <w:rFonts w:cstheme="minorHAnsi"/>
          <w:b/>
          <w:color w:val="31849B" w:themeColor="accent5" w:themeShade="BF"/>
          <w:sz w:val="22"/>
          <w:szCs w:val="22"/>
        </w:rPr>
      </w:pPr>
      <w:r w:rsidRPr="0029055C">
        <w:rPr>
          <w:rFonts w:cstheme="minorHAnsi"/>
          <w:b/>
          <w:color w:val="31849B" w:themeColor="accent5" w:themeShade="BF"/>
          <w:sz w:val="22"/>
          <w:szCs w:val="22"/>
        </w:rPr>
        <w:t xml:space="preserve">T4601: </w:t>
      </w:r>
      <w:r w:rsidRPr="0029055C">
        <w:rPr>
          <w:rFonts w:cstheme="minorHAnsi"/>
          <w:color w:val="31849B" w:themeColor="accent5" w:themeShade="BF"/>
          <w:sz w:val="22"/>
          <w:szCs w:val="22"/>
        </w:rPr>
        <w:t>Αριθμός φορέων των οποίων η λειτουργία αναβαθμίζεται με τη χρήση συστημάτων ΤΠΕ.</w:t>
      </w:r>
      <w:r w:rsidRPr="0029055C">
        <w:rPr>
          <w:rFonts w:cstheme="minorHAnsi"/>
          <w:sz w:val="22"/>
          <w:szCs w:val="22"/>
        </w:rPr>
        <w:t xml:space="preserve"> Ο συγκεκριμένος δείκτης αποτελέσματος συνδέεται με το δείκτη εκροής </w:t>
      </w:r>
      <w:r w:rsidRPr="0029055C">
        <w:rPr>
          <w:rFonts w:cstheme="minorHAnsi"/>
          <w:i/>
          <w:sz w:val="22"/>
          <w:szCs w:val="22"/>
        </w:rPr>
        <w:t>Τ4627 «Αριθμός έργων δημιουργίας ή αναβάθμισης συστημάτων ΤΠΕ για την υποστήριξη οριζόντιων λειτουργιών των δημόσιων φορέων»</w:t>
      </w:r>
      <w:r w:rsidRPr="0029055C">
        <w:rPr>
          <w:rFonts w:cstheme="minorHAnsi"/>
          <w:sz w:val="22"/>
          <w:szCs w:val="22"/>
        </w:rPr>
        <w:t xml:space="preserve"> και εκτιμάται ότι, η τιμή στόχος για το έτος 2023 θα επιτευχθεί, καθώς θα τροφοδοτηθεί από την υλοποίηση του έργου ΣΥΖΕΥΞΙΣ ΙΙ (προτείνεται η σύνδεση του και με τον δείκτη εκροής </w:t>
      </w:r>
      <w:r w:rsidRPr="0029055C">
        <w:rPr>
          <w:rFonts w:cstheme="minorHAnsi"/>
          <w:i/>
          <w:sz w:val="22"/>
          <w:szCs w:val="22"/>
        </w:rPr>
        <w:t>Τ4652: Αριθμός σημείων παρουσίας (κτήρια) του έργου ΣΥΖΕΥΞΙΣ ΙΙ για την υποστήριξη της λειτουργίας των δημόσιων φορέων</w:t>
      </w:r>
      <w:r w:rsidRPr="0029055C">
        <w:rPr>
          <w:rFonts w:cstheme="minorHAnsi"/>
          <w:sz w:val="22"/>
          <w:szCs w:val="22"/>
        </w:rPr>
        <w:t>), μέσω του οποίου θα υποστηριχθεί η αναβάθμιση της λειτουργίας 18 Υπουργείων και 7 Αποκεντρωμένων Διοικήσεων με τη χρήση συστημάτων ΤΠΕ.</w:t>
      </w:r>
    </w:p>
    <w:p w14:paraId="6B7F71BA" w14:textId="77777777" w:rsidR="00C97DDE" w:rsidRPr="0029055C" w:rsidRDefault="00C97DDE" w:rsidP="00C97DDE">
      <w:pPr>
        <w:pStyle w:val="ListParagraph"/>
        <w:numPr>
          <w:ilvl w:val="0"/>
          <w:numId w:val="17"/>
        </w:numPr>
        <w:spacing w:line="280" w:lineRule="atLeast"/>
        <w:contextualSpacing w:val="0"/>
        <w:rPr>
          <w:rFonts w:cstheme="minorHAnsi"/>
          <w:b/>
          <w:color w:val="31849B" w:themeColor="accent5" w:themeShade="BF"/>
          <w:sz w:val="22"/>
          <w:szCs w:val="22"/>
        </w:rPr>
      </w:pPr>
      <w:r w:rsidRPr="0029055C">
        <w:rPr>
          <w:rFonts w:cstheme="minorHAnsi"/>
          <w:b/>
          <w:color w:val="31849B" w:themeColor="accent5" w:themeShade="BF"/>
          <w:sz w:val="22"/>
          <w:szCs w:val="22"/>
        </w:rPr>
        <w:t xml:space="preserve">T4602: </w:t>
      </w:r>
      <w:r w:rsidRPr="0029055C">
        <w:rPr>
          <w:rFonts w:cstheme="minorHAnsi"/>
          <w:color w:val="31849B" w:themeColor="accent5" w:themeShade="BF"/>
          <w:sz w:val="22"/>
          <w:szCs w:val="22"/>
        </w:rPr>
        <w:t>Αριθμός μητρώων δημόσιου τομέα που διαλειτουργούν.</w:t>
      </w:r>
      <w:r w:rsidRPr="0029055C">
        <w:rPr>
          <w:rFonts w:cstheme="minorHAnsi"/>
          <w:sz w:val="22"/>
          <w:szCs w:val="22"/>
        </w:rPr>
        <w:t xml:space="preserve"> Ο δείκτης συνδέεται με τον δείκτη εκροής </w:t>
      </w:r>
      <w:r w:rsidRPr="0029055C">
        <w:rPr>
          <w:rFonts w:cstheme="minorHAnsi"/>
          <w:i/>
          <w:sz w:val="22"/>
          <w:szCs w:val="22"/>
        </w:rPr>
        <w:t>Τ4628 «Αριθμός έργων ενίσχυσης της διαλειτουργικότητας μητρώων και υπηρεσιών του Δημόσιου Τομέα».</w:t>
      </w:r>
      <w:r w:rsidRPr="0029055C">
        <w:rPr>
          <w:rFonts w:cstheme="minorHAnsi"/>
          <w:sz w:val="22"/>
          <w:szCs w:val="22"/>
        </w:rPr>
        <w:t xml:space="preserve"> Η τιμή στόχος για το έτος 2023 του δείκτη είναι 70 αφορά: α) στη διαλειτουργικότητα των 4 βασικών μητρώων βάσει κοινού προτύπου, καθώς και β) στη διαλειτουργικότητα μητρώων της δημόσιας διοίκησης για την απλούστευση διοικητικών διαδικασιών και εκτιμάται ότι θα επιτευχθεί.</w:t>
      </w:r>
    </w:p>
    <w:p w14:paraId="133AE702" w14:textId="77777777" w:rsidR="00C97DDE" w:rsidRPr="0029055C" w:rsidRDefault="00C97DDE" w:rsidP="00C97DDE">
      <w:pPr>
        <w:pStyle w:val="ListParagraph"/>
        <w:numPr>
          <w:ilvl w:val="0"/>
          <w:numId w:val="17"/>
        </w:numPr>
        <w:spacing w:line="280" w:lineRule="atLeast"/>
        <w:contextualSpacing w:val="0"/>
        <w:rPr>
          <w:rFonts w:cstheme="minorHAnsi"/>
          <w:b/>
          <w:color w:val="31849B" w:themeColor="accent5" w:themeShade="BF"/>
          <w:sz w:val="22"/>
          <w:szCs w:val="22"/>
        </w:rPr>
      </w:pPr>
      <w:r w:rsidRPr="0029055C">
        <w:rPr>
          <w:rFonts w:cstheme="minorHAnsi"/>
          <w:b/>
          <w:color w:val="31849B" w:themeColor="accent5" w:themeShade="BF"/>
          <w:sz w:val="22"/>
          <w:szCs w:val="22"/>
        </w:rPr>
        <w:t xml:space="preserve">T4603: </w:t>
      </w:r>
      <w:r w:rsidRPr="0029055C">
        <w:rPr>
          <w:rFonts w:cstheme="minorHAnsi"/>
          <w:color w:val="31849B" w:themeColor="accent5" w:themeShade="BF"/>
          <w:sz w:val="22"/>
          <w:szCs w:val="22"/>
        </w:rPr>
        <w:t>Αριθμός συστημάτων ηλεκτρονικής διακυβέρνησης που παρέχονται στους πολίτες</w:t>
      </w:r>
      <w:r w:rsidRPr="0029055C">
        <w:rPr>
          <w:rFonts w:cstheme="minorHAnsi"/>
          <w:sz w:val="22"/>
          <w:szCs w:val="22"/>
        </w:rPr>
        <w:t xml:space="preserve"> Ο συγκεκριμένος δείκτης αποτελέσματος συνδέεται με τους δείκτες εκροής </w:t>
      </w:r>
      <w:r w:rsidRPr="0029055C">
        <w:rPr>
          <w:rFonts w:cstheme="minorHAnsi"/>
          <w:i/>
          <w:sz w:val="22"/>
          <w:szCs w:val="22"/>
        </w:rPr>
        <w:t>Τ4630 «Αριθμός έργων ανάπτυξης ή αναβάθμισης βασικών υπηρεσιών της δημόσιας διοίκησης που παρέχονται πλήρως ηλεκτρονικά»,</w:t>
      </w:r>
      <w:r w:rsidRPr="0029055C">
        <w:rPr>
          <w:rFonts w:cstheme="minorHAnsi"/>
          <w:sz w:val="22"/>
          <w:szCs w:val="22"/>
        </w:rPr>
        <w:t xml:space="preserve"> του οποίου διευρύνεται το πεδίο με την προτεινόμενη απαλοιφή του όρου «βασικών» για τις υπηρεσίες που καλύπτει, καθώς και τον δείκτη </w:t>
      </w:r>
      <w:r w:rsidRPr="0029055C">
        <w:rPr>
          <w:rFonts w:cstheme="minorHAnsi"/>
          <w:i/>
          <w:sz w:val="22"/>
          <w:szCs w:val="22"/>
        </w:rPr>
        <w:t xml:space="preserve">Τ4632 «Αριθμός έργων ΤΠΕ που υποστηρίζουν την αναβάθμιση της λειτουργίας τομέων </w:t>
      </w:r>
      <w:r w:rsidRPr="0029055C">
        <w:rPr>
          <w:rFonts w:cstheme="minorHAnsi"/>
          <w:i/>
          <w:sz w:val="22"/>
          <w:szCs w:val="22"/>
        </w:rPr>
        <w:lastRenderedPageBreak/>
        <w:t>προτεραιότητας του ΕΠ για την παροχή υπηρεσιών προς πολίτες»,</w:t>
      </w:r>
      <w:r w:rsidRPr="0029055C">
        <w:rPr>
          <w:rFonts w:cstheme="minorHAnsi"/>
          <w:sz w:val="22"/>
          <w:szCs w:val="22"/>
        </w:rPr>
        <w:t xml:space="preserve"> ο οποίος παρουσιάζει επαρκή πρόοδο υλοποίησης (βλ. ανωτέρω).</w:t>
      </w:r>
    </w:p>
    <w:p w14:paraId="55BCE3B5" w14:textId="592096B7" w:rsidR="00C97DDE" w:rsidRPr="0029055C" w:rsidRDefault="00C97DDE" w:rsidP="00C97DDE">
      <w:pPr>
        <w:pStyle w:val="ListParagraph"/>
        <w:numPr>
          <w:ilvl w:val="0"/>
          <w:numId w:val="17"/>
        </w:numPr>
        <w:spacing w:line="280" w:lineRule="atLeast"/>
        <w:contextualSpacing w:val="0"/>
        <w:rPr>
          <w:rFonts w:cstheme="minorHAnsi"/>
          <w:b/>
          <w:color w:val="31849B" w:themeColor="accent5" w:themeShade="BF"/>
          <w:sz w:val="22"/>
          <w:szCs w:val="22"/>
        </w:rPr>
      </w:pPr>
      <w:r w:rsidRPr="0029055C">
        <w:rPr>
          <w:rFonts w:cstheme="minorHAnsi"/>
          <w:b/>
          <w:color w:val="31849B" w:themeColor="accent5" w:themeShade="BF"/>
          <w:sz w:val="22"/>
          <w:szCs w:val="22"/>
        </w:rPr>
        <w:t xml:space="preserve">T4640: </w:t>
      </w:r>
      <w:r w:rsidRPr="0029055C">
        <w:rPr>
          <w:rFonts w:cstheme="minorHAnsi"/>
          <w:color w:val="31849B" w:themeColor="accent5" w:themeShade="BF"/>
          <w:sz w:val="22"/>
          <w:szCs w:val="22"/>
        </w:rPr>
        <w:t xml:space="preserve">Αριθμός πολιτών που έχουν προσωποποιημένη πρόσβαση στο ενιαίο σημείο πρόσβασης των πολιτών. </w:t>
      </w:r>
      <w:r w:rsidRPr="0029055C">
        <w:rPr>
          <w:rFonts w:cstheme="minorHAnsi"/>
          <w:sz w:val="22"/>
          <w:szCs w:val="22"/>
        </w:rPr>
        <w:t xml:space="preserve">Ο συγκεκριμένος δείκτης αποτελέσματος συνδέεται με το δείκτη εκροής </w:t>
      </w:r>
      <w:r w:rsidRPr="0029055C">
        <w:rPr>
          <w:rFonts w:cstheme="minorHAnsi"/>
          <w:i/>
          <w:sz w:val="22"/>
          <w:szCs w:val="22"/>
        </w:rPr>
        <w:t>Τ4629 «Αριθμός έργων αναβάθμισης της λειτουργίας του ενιαίου σημείου πρόσβασης των πολιτών στις υπηρεσίες του δημόσιου τομέα».</w:t>
      </w:r>
      <w:r w:rsidRPr="0029055C">
        <w:rPr>
          <w:rFonts w:cstheme="minorHAnsi"/>
          <w:sz w:val="22"/>
          <w:szCs w:val="22"/>
        </w:rPr>
        <w:t xml:space="preserve"> Η εκτίμηση για την τιμή στόχο το έτος 2023 προτείνεται να αναθεωρηθεί σημαντικά προς τα πάνω σε 500.000 πολίτες, καθώς ήδη ο αριθμός των πιστοποιημένων χρηστών στην </w:t>
      </w:r>
      <w:r w:rsidR="002F520F" w:rsidRPr="0029055C">
        <w:rPr>
          <w:rFonts w:cstheme="minorHAnsi"/>
          <w:sz w:val="22"/>
          <w:szCs w:val="22"/>
        </w:rPr>
        <w:t>Π</w:t>
      </w:r>
      <w:r w:rsidRPr="0029055C">
        <w:rPr>
          <w:rFonts w:cstheme="minorHAnsi"/>
          <w:sz w:val="22"/>
          <w:szCs w:val="22"/>
        </w:rPr>
        <w:t>ύλη ΕΡΜΗΣ ανέρχεται σε 400.000.</w:t>
      </w:r>
    </w:p>
    <w:p w14:paraId="4A78887F" w14:textId="77777777" w:rsidR="00C97DDE" w:rsidRPr="0029055C" w:rsidRDefault="00C97DDE" w:rsidP="00C97DDE"/>
    <w:p w14:paraId="0D193FA4" w14:textId="77777777" w:rsidR="001E14FB" w:rsidRPr="0029055C" w:rsidRDefault="001E14FB" w:rsidP="00401AD3">
      <w:pPr>
        <w:pStyle w:val="Heading3"/>
        <w:pageBreakBefore/>
      </w:pPr>
      <w:bookmarkStart w:id="16" w:name="_Toc519758764"/>
      <w:r w:rsidRPr="0029055C">
        <w:lastRenderedPageBreak/>
        <w:t xml:space="preserve">Θεματικός Άξονας </w:t>
      </w:r>
      <w:r w:rsidR="001B3747" w:rsidRPr="0029055C">
        <w:t>ΙΙΙ</w:t>
      </w:r>
      <w:r w:rsidRPr="0029055C">
        <w:t xml:space="preserve"> «</w:t>
      </w:r>
      <w:r w:rsidR="00401AD3" w:rsidRPr="0029055C">
        <w:t>Βελτίωση της διαχείρισης και ανάπτυξη του ανθρώπινου δυναμικού του δημόσιου τομέα</w:t>
      </w:r>
      <w:r w:rsidRPr="0029055C">
        <w:t xml:space="preserve">» - Ταμείο ΕΚΤ (Άξονες Προτεραιότητας </w:t>
      </w:r>
      <w:r w:rsidR="00401AD3" w:rsidRPr="0029055C">
        <w:t>7</w:t>
      </w:r>
      <w:r w:rsidRPr="0029055C">
        <w:t xml:space="preserve">, </w:t>
      </w:r>
      <w:r w:rsidR="00401AD3" w:rsidRPr="0029055C">
        <w:t>8</w:t>
      </w:r>
      <w:r w:rsidRPr="0029055C">
        <w:t xml:space="preserve"> &amp; </w:t>
      </w:r>
      <w:r w:rsidR="00401AD3" w:rsidRPr="0029055C">
        <w:t>9</w:t>
      </w:r>
      <w:r w:rsidRPr="0029055C">
        <w:t>)</w:t>
      </w:r>
      <w:bookmarkEnd w:id="16"/>
    </w:p>
    <w:p w14:paraId="1CAB1F57" w14:textId="77777777" w:rsidR="001E14FB" w:rsidRPr="0029055C" w:rsidRDefault="001E14FB" w:rsidP="009E70F9">
      <w:pPr>
        <w:spacing w:line="280" w:lineRule="atLeast"/>
        <w:rPr>
          <w:sz w:val="22"/>
        </w:rPr>
      </w:pPr>
      <w:r w:rsidRPr="0029055C">
        <w:rPr>
          <w:sz w:val="22"/>
        </w:rPr>
        <w:t xml:space="preserve">Ο Θεματικός Άξονας </w:t>
      </w:r>
      <w:r w:rsidR="001B3747" w:rsidRPr="0029055C">
        <w:rPr>
          <w:sz w:val="22"/>
        </w:rPr>
        <w:t>ΙΙΙ</w:t>
      </w:r>
      <w:r w:rsidRPr="0029055C">
        <w:rPr>
          <w:sz w:val="22"/>
        </w:rPr>
        <w:t xml:space="preserve"> του Προγράμματος στοχεύει στη</w:t>
      </w:r>
      <w:r w:rsidR="00741979" w:rsidRPr="0029055C">
        <w:rPr>
          <w:sz w:val="22"/>
        </w:rPr>
        <w:t xml:space="preserve"> βελτίωση της οριζόντιας πολιτικής ανθρώπινου δυναμικού του δημόσιου τομέα και στην ταυτόχρονη εξέλιξή του μέσω δράσεων κατάρτισης.</w:t>
      </w:r>
      <w:r w:rsidRPr="0029055C">
        <w:rPr>
          <w:sz w:val="22"/>
        </w:rPr>
        <w:t xml:space="preserve"> Ο ΘΑ </w:t>
      </w:r>
      <w:r w:rsidR="00AC462E" w:rsidRPr="0029055C">
        <w:rPr>
          <w:sz w:val="22"/>
        </w:rPr>
        <w:t>ΙΙΙ</w:t>
      </w:r>
      <w:r w:rsidRPr="0029055C">
        <w:rPr>
          <w:sz w:val="22"/>
        </w:rPr>
        <w:t xml:space="preserve"> αφορά δράσεις που χρηματοδοτούνται στο πλαίσιο του Θεματικού Στόχου 11 (Ταμείο ΕΚΤ) για:</w:t>
      </w:r>
    </w:p>
    <w:p w14:paraId="6BDE1F40" w14:textId="77777777" w:rsidR="00741979" w:rsidRPr="0029055C" w:rsidRDefault="00741979" w:rsidP="009E70F9">
      <w:pPr>
        <w:pStyle w:val="ListParagraph"/>
        <w:numPr>
          <w:ilvl w:val="0"/>
          <w:numId w:val="15"/>
        </w:numPr>
        <w:spacing w:line="280" w:lineRule="atLeast"/>
        <w:ind w:left="714" w:hanging="357"/>
        <w:contextualSpacing w:val="0"/>
        <w:rPr>
          <w:sz w:val="22"/>
        </w:rPr>
      </w:pPr>
      <w:r w:rsidRPr="0029055C">
        <w:rPr>
          <w:sz w:val="22"/>
        </w:rPr>
        <w:t>τη βελτίωση των πολιτικών προσωπικού και εφαρμογής τους και δράσεις ανάπτυξης και εφαρμογής συστημάτων διαχείρισης του ανθρώπινου δυναμικού,</w:t>
      </w:r>
    </w:p>
    <w:p w14:paraId="4361C180" w14:textId="77777777" w:rsidR="00741979" w:rsidRPr="0029055C" w:rsidRDefault="00741979" w:rsidP="009E70F9">
      <w:pPr>
        <w:pStyle w:val="ListParagraph"/>
        <w:numPr>
          <w:ilvl w:val="0"/>
          <w:numId w:val="15"/>
        </w:numPr>
        <w:spacing w:line="280" w:lineRule="atLeast"/>
        <w:ind w:left="714" w:hanging="357"/>
        <w:contextualSpacing w:val="0"/>
        <w:rPr>
          <w:sz w:val="22"/>
        </w:rPr>
      </w:pPr>
      <w:r w:rsidRPr="0029055C">
        <w:rPr>
          <w:sz w:val="22"/>
        </w:rPr>
        <w:t>την ανάπτυξη γνώσεων, δεξιοτήτων και ικανοτήτων ανθρώπινου δυναμικού του Δημοσίου Τομέα,</w:t>
      </w:r>
    </w:p>
    <w:p w14:paraId="18493108" w14:textId="77777777" w:rsidR="00741979" w:rsidRPr="0029055C" w:rsidRDefault="00741979" w:rsidP="009E70F9">
      <w:pPr>
        <w:pStyle w:val="ListParagraph"/>
        <w:numPr>
          <w:ilvl w:val="0"/>
          <w:numId w:val="15"/>
        </w:numPr>
        <w:spacing w:line="280" w:lineRule="atLeast"/>
        <w:ind w:left="714" w:hanging="357"/>
        <w:contextualSpacing w:val="0"/>
        <w:rPr>
          <w:sz w:val="22"/>
        </w:rPr>
      </w:pPr>
      <w:r w:rsidRPr="0029055C">
        <w:rPr>
          <w:sz w:val="22"/>
        </w:rPr>
        <w:t>τη βελτίωση της ποιότητας σχεδιασμού των προγραμμάτων σπουδών και του εκπαιδευτικού υλικού.</w:t>
      </w:r>
    </w:p>
    <w:p w14:paraId="4AEAB81A" w14:textId="4FC031E5" w:rsidR="001E14FB" w:rsidRPr="0029055C" w:rsidRDefault="001E14FB" w:rsidP="009E70F9">
      <w:pPr>
        <w:spacing w:line="280" w:lineRule="atLeast"/>
        <w:rPr>
          <w:sz w:val="22"/>
        </w:rPr>
      </w:pPr>
      <w:r w:rsidRPr="0029055C">
        <w:rPr>
          <w:sz w:val="22"/>
        </w:rPr>
        <w:t xml:space="preserve">Η συγχρηματοδοτούμενη δημόσια δαπάνη του Θεματικού Άξονα </w:t>
      </w:r>
      <w:r w:rsidR="001B3747" w:rsidRPr="0029055C">
        <w:rPr>
          <w:sz w:val="22"/>
        </w:rPr>
        <w:t>ΙΙΙ</w:t>
      </w:r>
      <w:r w:rsidRPr="0029055C">
        <w:rPr>
          <w:sz w:val="22"/>
        </w:rPr>
        <w:t xml:space="preserve"> ανέρχεται σε </w:t>
      </w:r>
      <w:r w:rsidR="00741979" w:rsidRPr="0029055C">
        <w:rPr>
          <w:b/>
          <w:sz w:val="22"/>
        </w:rPr>
        <w:t>114.342.999</w:t>
      </w:r>
      <w:r w:rsidRPr="0029055C">
        <w:rPr>
          <w:b/>
          <w:sz w:val="22"/>
        </w:rPr>
        <w:t xml:space="preserve"> €</w:t>
      </w:r>
      <w:r w:rsidRPr="0029055C">
        <w:rPr>
          <w:sz w:val="22"/>
        </w:rPr>
        <w:t xml:space="preserve"> και αντιπροσωπεύει το </w:t>
      </w:r>
      <w:r w:rsidR="00741979" w:rsidRPr="0029055C">
        <w:rPr>
          <w:b/>
          <w:sz w:val="22"/>
        </w:rPr>
        <w:t>22</w:t>
      </w:r>
      <w:r w:rsidRPr="0029055C">
        <w:rPr>
          <w:b/>
          <w:sz w:val="22"/>
        </w:rPr>
        <w:t>,</w:t>
      </w:r>
      <w:r w:rsidR="00741979" w:rsidRPr="0029055C">
        <w:rPr>
          <w:b/>
          <w:sz w:val="22"/>
        </w:rPr>
        <w:t>15</w:t>
      </w:r>
      <w:r w:rsidRPr="0029055C">
        <w:rPr>
          <w:b/>
          <w:sz w:val="22"/>
        </w:rPr>
        <w:t>%</w:t>
      </w:r>
      <w:r w:rsidRPr="0029055C">
        <w:rPr>
          <w:sz w:val="22"/>
        </w:rPr>
        <w:t xml:space="preserve"> του συνολικού προϋπολογισμού του Προγράμματος. Η συνολική </w:t>
      </w:r>
      <w:r w:rsidRPr="0029055C">
        <w:rPr>
          <w:b/>
          <w:sz w:val="22"/>
        </w:rPr>
        <w:t>εξειδίκευση</w:t>
      </w:r>
      <w:r w:rsidR="00741979" w:rsidRPr="0029055C">
        <w:rPr>
          <w:sz w:val="22"/>
        </w:rPr>
        <w:t xml:space="preserve"> του Θεματικού Άξονα </w:t>
      </w:r>
      <w:r w:rsidR="001B3747" w:rsidRPr="0029055C">
        <w:rPr>
          <w:sz w:val="22"/>
        </w:rPr>
        <w:t>ΙΙΙ</w:t>
      </w:r>
      <w:r w:rsidRPr="0029055C">
        <w:rPr>
          <w:sz w:val="22"/>
        </w:rPr>
        <w:t xml:space="preserve"> ανέρχεται στο </w:t>
      </w:r>
      <w:r w:rsidR="00741979" w:rsidRPr="0029055C">
        <w:rPr>
          <w:b/>
          <w:sz w:val="22"/>
        </w:rPr>
        <w:t>94,25</w:t>
      </w:r>
      <w:r w:rsidRPr="0029055C">
        <w:rPr>
          <w:b/>
          <w:sz w:val="22"/>
        </w:rPr>
        <w:t>%</w:t>
      </w:r>
      <w:r w:rsidRPr="0029055C">
        <w:rPr>
          <w:sz w:val="22"/>
        </w:rPr>
        <w:t>,</w:t>
      </w:r>
      <w:r w:rsidRPr="0029055C">
        <w:rPr>
          <w:b/>
          <w:sz w:val="22"/>
        </w:rPr>
        <w:t xml:space="preserve"> </w:t>
      </w:r>
      <w:r w:rsidRPr="0029055C">
        <w:rPr>
          <w:sz w:val="22"/>
        </w:rPr>
        <w:t>έχουν εκδοθεί</w:t>
      </w:r>
      <w:r w:rsidR="00741979" w:rsidRPr="0029055C">
        <w:rPr>
          <w:b/>
          <w:sz w:val="22"/>
        </w:rPr>
        <w:t xml:space="preserve"> 5</w:t>
      </w:r>
      <w:r w:rsidRPr="0029055C">
        <w:rPr>
          <w:b/>
          <w:sz w:val="22"/>
        </w:rPr>
        <w:t xml:space="preserve"> Προσκλήσεις</w:t>
      </w:r>
      <w:r w:rsidR="00741979" w:rsidRPr="0029055C">
        <w:rPr>
          <w:sz w:val="22"/>
        </w:rPr>
        <w:t xml:space="preserve"> συνολικού προϋπολογισμού 95</w:t>
      </w:r>
      <w:r w:rsidRPr="0029055C">
        <w:rPr>
          <w:sz w:val="22"/>
        </w:rPr>
        <w:t>.</w:t>
      </w:r>
      <w:r w:rsidR="00741979" w:rsidRPr="0029055C">
        <w:rPr>
          <w:sz w:val="22"/>
        </w:rPr>
        <w:t>230</w:t>
      </w:r>
      <w:r w:rsidRPr="0029055C">
        <w:rPr>
          <w:sz w:val="22"/>
        </w:rPr>
        <w:t>.3</w:t>
      </w:r>
      <w:r w:rsidR="00741979" w:rsidRPr="0029055C">
        <w:rPr>
          <w:sz w:val="22"/>
        </w:rPr>
        <w:t>92</w:t>
      </w:r>
      <w:r w:rsidRPr="0029055C">
        <w:rPr>
          <w:sz w:val="22"/>
        </w:rPr>
        <w:t>2 € (</w:t>
      </w:r>
      <w:r w:rsidR="00741979" w:rsidRPr="0029055C">
        <w:rPr>
          <w:b/>
          <w:sz w:val="22"/>
        </w:rPr>
        <w:t>83</w:t>
      </w:r>
      <w:r w:rsidRPr="0029055C">
        <w:rPr>
          <w:b/>
          <w:sz w:val="22"/>
        </w:rPr>
        <w:t>,</w:t>
      </w:r>
      <w:r w:rsidR="00741979" w:rsidRPr="0029055C">
        <w:rPr>
          <w:b/>
          <w:sz w:val="22"/>
        </w:rPr>
        <w:t>28</w:t>
      </w:r>
      <w:r w:rsidRPr="0029055C">
        <w:rPr>
          <w:b/>
          <w:sz w:val="22"/>
        </w:rPr>
        <w:t>%</w:t>
      </w:r>
      <w:r w:rsidRPr="0029055C">
        <w:rPr>
          <w:sz w:val="22"/>
        </w:rPr>
        <w:t xml:space="preserve"> του εγκεκριμένου π/υ </w:t>
      </w:r>
      <w:r w:rsidRPr="0085139F">
        <w:rPr>
          <w:sz w:val="22"/>
        </w:rPr>
        <w:t xml:space="preserve">του ΘΑ) και η πρόοδος υλοποίησης του οικονομικού αντικειμένου του ανά Ειδικό Στόχο παρουσιάζεται στο ακόλουθο </w:t>
      </w:r>
      <w:r w:rsidR="00D12AE1" w:rsidRPr="0085139F">
        <w:rPr>
          <w:sz w:val="22"/>
        </w:rPr>
        <w:t>Διάγραμμα</w:t>
      </w:r>
      <w:r w:rsidRPr="0085139F">
        <w:rPr>
          <w:sz w:val="22"/>
        </w:rPr>
        <w:t xml:space="preserve">, ενώ αναλυτικότερα ανά Ειδικό Στόχο και Κατηγορία Δράσης παρατίθεται στον Πίνακα </w:t>
      </w:r>
      <w:r w:rsidR="0085139F" w:rsidRPr="0085139F">
        <w:rPr>
          <w:sz w:val="22"/>
        </w:rPr>
        <w:t>20</w:t>
      </w:r>
      <w:r w:rsidRPr="0085139F">
        <w:rPr>
          <w:sz w:val="22"/>
        </w:rPr>
        <w:t>.</w:t>
      </w:r>
    </w:p>
    <w:p w14:paraId="29A5A021" w14:textId="77777777" w:rsidR="001E14FB" w:rsidRPr="0029055C" w:rsidRDefault="000B4A14" w:rsidP="001E14FB">
      <w:pPr>
        <w:tabs>
          <w:tab w:val="left" w:pos="851"/>
        </w:tabs>
        <w:spacing w:line="300" w:lineRule="atLeast"/>
        <w:ind w:left="851" w:hanging="851"/>
        <w:rPr>
          <w:rFonts w:cstheme="minorHAnsi"/>
          <w:sz w:val="22"/>
        </w:rPr>
      </w:pPr>
      <w:r w:rsidRPr="0029055C">
        <w:rPr>
          <w:b/>
          <w:sz w:val="22"/>
        </w:rPr>
        <w:t xml:space="preserve">Διάγραμμα </w:t>
      </w:r>
      <w:r w:rsidRPr="0029055C">
        <w:rPr>
          <w:b/>
          <w:sz w:val="22"/>
        </w:rPr>
        <w:fldChar w:fldCharType="begin"/>
      </w:r>
      <w:r w:rsidRPr="0029055C">
        <w:rPr>
          <w:b/>
          <w:sz w:val="22"/>
        </w:rPr>
        <w:instrText xml:space="preserve"> SEQ Διάγραμμα \* ARABIC </w:instrText>
      </w:r>
      <w:r w:rsidRPr="0029055C">
        <w:rPr>
          <w:b/>
          <w:sz w:val="22"/>
        </w:rPr>
        <w:fldChar w:fldCharType="separate"/>
      </w:r>
      <w:r w:rsidR="00292BCA">
        <w:rPr>
          <w:b/>
          <w:noProof/>
          <w:sz w:val="22"/>
        </w:rPr>
        <w:t>3</w:t>
      </w:r>
      <w:r w:rsidRPr="0029055C">
        <w:rPr>
          <w:b/>
          <w:sz w:val="22"/>
        </w:rPr>
        <w:fldChar w:fldCharType="end"/>
      </w:r>
      <w:r w:rsidR="001E14FB" w:rsidRPr="0029055C">
        <w:rPr>
          <w:rFonts w:cstheme="minorHAnsi"/>
          <w:b/>
          <w:sz w:val="22"/>
        </w:rPr>
        <w:t>.</w:t>
      </w:r>
      <w:r w:rsidR="001E14FB" w:rsidRPr="0029055C">
        <w:rPr>
          <w:rFonts w:cstheme="minorHAnsi"/>
          <w:sz w:val="22"/>
        </w:rPr>
        <w:t xml:space="preserve"> </w:t>
      </w:r>
      <w:r w:rsidR="001E14FB" w:rsidRPr="0029055C">
        <w:t xml:space="preserve"> </w:t>
      </w:r>
      <w:r w:rsidR="001E14FB" w:rsidRPr="0029055C">
        <w:rPr>
          <w:rFonts w:cstheme="minorHAnsi"/>
          <w:sz w:val="22"/>
        </w:rPr>
        <w:t xml:space="preserve">Πρόοδος οικονομικού αντικειμένου του ΘΑ </w:t>
      </w:r>
      <w:r w:rsidR="001B3747" w:rsidRPr="0029055C">
        <w:rPr>
          <w:rFonts w:cstheme="minorHAnsi"/>
          <w:sz w:val="22"/>
        </w:rPr>
        <w:t>ΙΙΙ</w:t>
      </w:r>
      <w:r w:rsidR="001E14FB" w:rsidRPr="0029055C">
        <w:rPr>
          <w:rFonts w:cstheme="minorHAnsi"/>
          <w:sz w:val="22"/>
        </w:rPr>
        <w:t xml:space="preserve"> ανά Ειδικό Στόχο (ποσά σε ΔΔ, εκ. €) </w:t>
      </w:r>
    </w:p>
    <w:p w14:paraId="51FCCDEE" w14:textId="77777777" w:rsidR="006C5358" w:rsidRPr="0029055C" w:rsidRDefault="006C5358" w:rsidP="001E14FB">
      <w:pPr>
        <w:tabs>
          <w:tab w:val="left" w:pos="851"/>
        </w:tabs>
        <w:spacing w:line="300" w:lineRule="atLeast"/>
        <w:ind w:left="851" w:hanging="851"/>
        <w:rPr>
          <w:rFonts w:cstheme="minorHAnsi"/>
          <w:sz w:val="22"/>
        </w:rPr>
      </w:pPr>
      <w:r w:rsidRPr="0029055C">
        <w:rPr>
          <w:noProof/>
        </w:rPr>
        <w:drawing>
          <wp:inline distT="0" distB="0" distL="0" distR="0" wp14:anchorId="61628AE8" wp14:editId="1C77C465">
            <wp:extent cx="5759450" cy="2733675"/>
            <wp:effectExtent l="0" t="0" r="1270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A750949" w14:textId="0239DDA0" w:rsidR="00D12AE1" w:rsidRPr="0029055C" w:rsidRDefault="00D12AE1" w:rsidP="001E14FB">
      <w:pPr>
        <w:sectPr w:rsidR="00D12AE1" w:rsidRPr="0029055C" w:rsidSect="00037A41">
          <w:headerReference w:type="default" r:id="rId31"/>
          <w:footerReference w:type="default" r:id="rId32"/>
          <w:pgSz w:w="11906" w:h="16838" w:code="9"/>
          <w:pgMar w:top="1814" w:right="1418" w:bottom="1134" w:left="1418" w:header="567" w:footer="284" w:gutter="0"/>
          <w:cols w:space="708"/>
          <w:docGrid w:linePitch="360"/>
        </w:sectPr>
      </w:pPr>
      <w:r w:rsidRPr="0029055C">
        <w:rPr>
          <w:i/>
          <w:color w:val="215868" w:themeColor="accent5" w:themeShade="80"/>
        </w:rPr>
        <w:t>Πηγή: ΟΠΣ 01.06.20</w:t>
      </w:r>
      <w:r w:rsidR="0075011D" w:rsidRPr="0029055C">
        <w:rPr>
          <w:i/>
          <w:color w:val="215868" w:themeColor="accent5" w:themeShade="80"/>
        </w:rPr>
        <w:t>18</w:t>
      </w:r>
    </w:p>
    <w:p w14:paraId="26F22FF4" w14:textId="77777777" w:rsidR="001E14FB" w:rsidRPr="0029055C" w:rsidRDefault="001E14FB" w:rsidP="001E14FB">
      <w:pPr>
        <w:pStyle w:val="Caption"/>
        <w:spacing w:before="240" w:after="120" w:line="280" w:lineRule="atLeast"/>
        <w:rPr>
          <w:b w:val="0"/>
          <w:sz w:val="22"/>
          <w:szCs w:val="22"/>
        </w:rPr>
      </w:pPr>
      <w:r w:rsidRPr="0029055C">
        <w:rPr>
          <w:sz w:val="22"/>
          <w:szCs w:val="22"/>
        </w:rPr>
        <w:lastRenderedPageBreak/>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20</w:t>
      </w:r>
      <w:r w:rsidRPr="0029055C">
        <w:rPr>
          <w:sz w:val="22"/>
          <w:szCs w:val="22"/>
        </w:rPr>
        <w:fldChar w:fldCharType="end"/>
      </w:r>
      <w:r w:rsidRPr="0029055C">
        <w:rPr>
          <w:b w:val="0"/>
          <w:sz w:val="22"/>
          <w:szCs w:val="22"/>
        </w:rPr>
        <w:t xml:space="preserve">. Πρόοδος οικονομικού αντικειμένου του ΘΑ </w:t>
      </w:r>
      <w:r w:rsidR="001B3747" w:rsidRPr="0029055C">
        <w:rPr>
          <w:b w:val="0"/>
          <w:sz w:val="22"/>
          <w:szCs w:val="22"/>
        </w:rPr>
        <w:t>ΙΙΙ</w:t>
      </w:r>
      <w:r w:rsidRPr="0029055C">
        <w:rPr>
          <w:b w:val="0"/>
          <w:sz w:val="22"/>
          <w:szCs w:val="22"/>
        </w:rPr>
        <w:t xml:space="preserve"> ανά Ειδικό Στόχο και Κατηγορία Δράσης (ποσά σε Δημόσια Δαπάνη)</w:t>
      </w:r>
    </w:p>
    <w:tbl>
      <w:tblPr>
        <w:tblW w:w="5000" w:type="pct"/>
        <w:jc w:val="center"/>
        <w:tblLayout w:type="fixed"/>
        <w:tblCellMar>
          <w:left w:w="28" w:type="dxa"/>
          <w:right w:w="28" w:type="dxa"/>
        </w:tblCellMar>
        <w:tblLook w:val="04A0" w:firstRow="1" w:lastRow="0" w:firstColumn="1" w:lastColumn="0" w:noHBand="0" w:noVBand="1"/>
      </w:tblPr>
      <w:tblGrid>
        <w:gridCol w:w="1700"/>
        <w:gridCol w:w="1627"/>
        <w:gridCol w:w="1627"/>
        <w:gridCol w:w="1452"/>
        <w:gridCol w:w="1570"/>
        <w:gridCol w:w="1357"/>
        <w:gridCol w:w="1553"/>
        <w:gridCol w:w="1553"/>
        <w:gridCol w:w="1553"/>
      </w:tblGrid>
      <w:tr w:rsidR="001E14FB" w:rsidRPr="0029055C" w14:paraId="3898A776" w14:textId="77777777" w:rsidTr="001E14FB">
        <w:trPr>
          <w:jc w:val="center"/>
        </w:trPr>
        <w:tc>
          <w:tcPr>
            <w:tcW w:w="607" w:type="pct"/>
            <w:tcBorders>
              <w:top w:val="single" w:sz="4" w:space="0" w:color="92CDDC"/>
              <w:left w:val="single" w:sz="4" w:space="0" w:color="92CDDC"/>
              <w:bottom w:val="single" w:sz="12" w:space="0" w:color="92CDDC"/>
              <w:right w:val="single" w:sz="4" w:space="0" w:color="92CDDC"/>
            </w:tcBorders>
            <w:shd w:val="clear" w:color="auto" w:fill="auto"/>
            <w:vAlign w:val="center"/>
            <w:hideMark/>
          </w:tcPr>
          <w:p w14:paraId="342675D7"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Ειδικός Στόχος / Κατηγορία Δράσης</w:t>
            </w:r>
          </w:p>
        </w:tc>
        <w:tc>
          <w:tcPr>
            <w:tcW w:w="581" w:type="pct"/>
            <w:tcBorders>
              <w:top w:val="single" w:sz="4" w:space="0" w:color="92CDDC"/>
              <w:left w:val="nil"/>
              <w:bottom w:val="single" w:sz="12" w:space="0" w:color="92CDDC"/>
              <w:right w:val="single" w:sz="4" w:space="0" w:color="92CDDC"/>
            </w:tcBorders>
            <w:shd w:val="clear" w:color="auto" w:fill="auto"/>
            <w:vAlign w:val="center"/>
            <w:hideMark/>
          </w:tcPr>
          <w:p w14:paraId="4283768C"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Προϋπολογισμός</w:t>
            </w:r>
            <w:r w:rsidRPr="0029055C">
              <w:rPr>
                <w:rFonts w:asciiTheme="minorHAnsi" w:hAnsiTheme="minorHAnsi" w:cstheme="minorHAnsi"/>
                <w:color w:val="31849B"/>
                <w:szCs w:val="20"/>
              </w:rPr>
              <w:t xml:space="preserve"> </w:t>
            </w:r>
            <w:r w:rsidRPr="0029055C">
              <w:rPr>
                <w:rFonts w:asciiTheme="minorHAnsi" w:hAnsiTheme="minorHAnsi" w:cstheme="minorHAnsi"/>
                <w:color w:val="31849B"/>
                <w:szCs w:val="20"/>
              </w:rPr>
              <w:br/>
              <w:t>(με βάση την 1η Αναθεώρηση)</w:t>
            </w:r>
          </w:p>
        </w:tc>
        <w:tc>
          <w:tcPr>
            <w:tcW w:w="581" w:type="pct"/>
            <w:tcBorders>
              <w:top w:val="single" w:sz="4" w:space="0" w:color="92CDDC"/>
              <w:left w:val="nil"/>
              <w:bottom w:val="single" w:sz="12" w:space="0" w:color="92CDDC"/>
              <w:right w:val="single" w:sz="4" w:space="0" w:color="92CDDC"/>
            </w:tcBorders>
            <w:shd w:val="clear" w:color="auto" w:fill="auto"/>
            <w:noWrap/>
            <w:vAlign w:val="center"/>
            <w:hideMark/>
          </w:tcPr>
          <w:p w14:paraId="4867B09A"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Εξειδίκευση</w:t>
            </w:r>
          </w:p>
        </w:tc>
        <w:tc>
          <w:tcPr>
            <w:tcW w:w="519" w:type="pct"/>
            <w:tcBorders>
              <w:top w:val="single" w:sz="4" w:space="0" w:color="92CDDC"/>
              <w:left w:val="nil"/>
              <w:bottom w:val="single" w:sz="12" w:space="0" w:color="92CDDC"/>
              <w:right w:val="single" w:sz="4" w:space="0" w:color="92CDDC"/>
            </w:tcBorders>
            <w:shd w:val="clear" w:color="auto" w:fill="auto"/>
            <w:vAlign w:val="center"/>
            <w:hideMark/>
          </w:tcPr>
          <w:p w14:paraId="4CEED252"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Αριθμός Προσκλήσεων*</w:t>
            </w:r>
          </w:p>
        </w:tc>
        <w:tc>
          <w:tcPr>
            <w:tcW w:w="561" w:type="pct"/>
            <w:tcBorders>
              <w:top w:val="single" w:sz="4" w:space="0" w:color="92CDDC"/>
              <w:left w:val="nil"/>
              <w:bottom w:val="single" w:sz="12" w:space="0" w:color="92CDDC"/>
              <w:right w:val="single" w:sz="4" w:space="0" w:color="92CDDC"/>
            </w:tcBorders>
            <w:shd w:val="clear" w:color="auto" w:fill="auto"/>
            <w:vAlign w:val="center"/>
            <w:hideMark/>
          </w:tcPr>
          <w:p w14:paraId="01076D7B"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Π/Υ Προσκλήσεων</w:t>
            </w:r>
          </w:p>
        </w:tc>
        <w:tc>
          <w:tcPr>
            <w:tcW w:w="485" w:type="pct"/>
            <w:tcBorders>
              <w:top w:val="single" w:sz="4" w:space="0" w:color="92CDDC"/>
              <w:left w:val="nil"/>
              <w:bottom w:val="single" w:sz="12" w:space="0" w:color="92CDDC"/>
              <w:right w:val="single" w:sz="4" w:space="0" w:color="92CDDC"/>
            </w:tcBorders>
            <w:shd w:val="clear" w:color="auto" w:fill="auto"/>
            <w:vAlign w:val="center"/>
            <w:hideMark/>
          </w:tcPr>
          <w:p w14:paraId="14FFCB6C"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Αριθμός Ενταγμένων Έργων**</w:t>
            </w:r>
          </w:p>
        </w:tc>
        <w:tc>
          <w:tcPr>
            <w:tcW w:w="555" w:type="pct"/>
            <w:tcBorders>
              <w:top w:val="single" w:sz="4" w:space="0" w:color="92CDDC"/>
              <w:left w:val="nil"/>
              <w:bottom w:val="single" w:sz="12" w:space="0" w:color="92CDDC"/>
              <w:right w:val="single" w:sz="4" w:space="0" w:color="92CDDC"/>
            </w:tcBorders>
            <w:shd w:val="clear" w:color="auto" w:fill="auto"/>
            <w:noWrap/>
            <w:vAlign w:val="center"/>
            <w:hideMark/>
          </w:tcPr>
          <w:p w14:paraId="342BA981"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Π/Υ Εντάξεων</w:t>
            </w:r>
          </w:p>
        </w:tc>
        <w:tc>
          <w:tcPr>
            <w:tcW w:w="555" w:type="pct"/>
            <w:tcBorders>
              <w:top w:val="single" w:sz="4" w:space="0" w:color="92CDDC"/>
              <w:left w:val="nil"/>
              <w:bottom w:val="single" w:sz="12" w:space="0" w:color="92CDDC"/>
              <w:right w:val="single" w:sz="4" w:space="0" w:color="92CDDC"/>
            </w:tcBorders>
            <w:shd w:val="clear" w:color="auto" w:fill="auto"/>
            <w:vAlign w:val="center"/>
            <w:hideMark/>
          </w:tcPr>
          <w:p w14:paraId="0A1292D8"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Νομικές Δεσμεύσεις</w:t>
            </w:r>
          </w:p>
        </w:tc>
        <w:tc>
          <w:tcPr>
            <w:tcW w:w="555" w:type="pct"/>
            <w:tcBorders>
              <w:top w:val="single" w:sz="4" w:space="0" w:color="92CDDC"/>
              <w:left w:val="nil"/>
              <w:bottom w:val="single" w:sz="12" w:space="0" w:color="92CDDC"/>
              <w:right w:val="single" w:sz="4" w:space="0" w:color="92CDDC"/>
            </w:tcBorders>
            <w:shd w:val="clear" w:color="auto" w:fill="auto"/>
            <w:vAlign w:val="center"/>
            <w:hideMark/>
          </w:tcPr>
          <w:p w14:paraId="0598238E"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Πιστοποιημένες Δαπάνες</w:t>
            </w:r>
          </w:p>
        </w:tc>
      </w:tr>
      <w:tr w:rsidR="006C5358" w:rsidRPr="0029055C" w14:paraId="10CF8031" w14:textId="77777777" w:rsidTr="006F40DF">
        <w:trPr>
          <w:jc w:val="center"/>
        </w:trPr>
        <w:tc>
          <w:tcPr>
            <w:tcW w:w="607" w:type="pct"/>
            <w:tcBorders>
              <w:top w:val="nil"/>
              <w:left w:val="single" w:sz="4" w:space="0" w:color="92CDDC"/>
              <w:bottom w:val="single" w:sz="4" w:space="0" w:color="92CDDC"/>
              <w:right w:val="single" w:sz="4" w:space="0" w:color="92CDDC"/>
            </w:tcBorders>
            <w:shd w:val="clear" w:color="000000" w:fill="DAEEF3"/>
            <w:noWrap/>
            <w:vAlign w:val="bottom"/>
            <w:hideMark/>
          </w:tcPr>
          <w:p w14:paraId="535D23C8" w14:textId="77777777" w:rsidR="006C5358" w:rsidRPr="0029055C" w:rsidRDefault="006C5358" w:rsidP="006C5358">
            <w:pPr>
              <w:spacing w:before="80" w:after="80" w:line="240" w:lineRule="auto"/>
              <w:jc w:val="left"/>
              <w:rPr>
                <w:rFonts w:asciiTheme="minorHAnsi" w:hAnsiTheme="minorHAnsi" w:cstheme="minorHAnsi"/>
                <w:b/>
                <w:bCs/>
                <w:color w:val="31869B"/>
                <w:szCs w:val="20"/>
              </w:rPr>
            </w:pPr>
            <w:r w:rsidRPr="0029055C">
              <w:rPr>
                <w:rFonts w:cs="Calibri"/>
                <w:b/>
                <w:bCs/>
                <w:color w:val="31869B"/>
                <w:szCs w:val="18"/>
              </w:rPr>
              <w:t>Γ.1</w:t>
            </w:r>
          </w:p>
        </w:tc>
        <w:tc>
          <w:tcPr>
            <w:tcW w:w="581" w:type="pct"/>
            <w:tcBorders>
              <w:top w:val="nil"/>
              <w:left w:val="nil"/>
              <w:bottom w:val="single" w:sz="4" w:space="0" w:color="92CDDC"/>
              <w:right w:val="single" w:sz="4" w:space="0" w:color="92CDDC"/>
            </w:tcBorders>
            <w:shd w:val="clear" w:color="000000" w:fill="DAEEF3"/>
            <w:noWrap/>
            <w:vAlign w:val="bottom"/>
            <w:hideMark/>
          </w:tcPr>
          <w:p w14:paraId="3732A3F2"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12.000.000,00</w:t>
            </w:r>
          </w:p>
        </w:tc>
        <w:tc>
          <w:tcPr>
            <w:tcW w:w="581" w:type="pct"/>
            <w:tcBorders>
              <w:top w:val="nil"/>
              <w:left w:val="nil"/>
              <w:bottom w:val="single" w:sz="4" w:space="0" w:color="92CDDC"/>
              <w:right w:val="single" w:sz="4" w:space="0" w:color="92CDDC"/>
            </w:tcBorders>
            <w:shd w:val="clear" w:color="000000" w:fill="DAEEF3"/>
            <w:noWrap/>
            <w:vAlign w:val="bottom"/>
            <w:hideMark/>
          </w:tcPr>
          <w:p w14:paraId="2CC85128"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5.210.000,00</w:t>
            </w:r>
          </w:p>
        </w:tc>
        <w:tc>
          <w:tcPr>
            <w:tcW w:w="519" w:type="pct"/>
            <w:tcBorders>
              <w:top w:val="nil"/>
              <w:left w:val="nil"/>
              <w:bottom w:val="single" w:sz="4" w:space="0" w:color="92CDDC"/>
              <w:right w:val="single" w:sz="4" w:space="0" w:color="92CDDC"/>
            </w:tcBorders>
            <w:shd w:val="clear" w:color="000000" w:fill="DAEEF3"/>
            <w:noWrap/>
            <w:vAlign w:val="bottom"/>
            <w:hideMark/>
          </w:tcPr>
          <w:p w14:paraId="1BDE47FF" w14:textId="77777777" w:rsidR="006C5358" w:rsidRPr="0029055C" w:rsidRDefault="006C5358" w:rsidP="006C5358">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1</w:t>
            </w:r>
          </w:p>
        </w:tc>
        <w:tc>
          <w:tcPr>
            <w:tcW w:w="561" w:type="pct"/>
            <w:tcBorders>
              <w:top w:val="nil"/>
              <w:left w:val="nil"/>
              <w:bottom w:val="single" w:sz="4" w:space="0" w:color="92CDDC"/>
              <w:right w:val="single" w:sz="4" w:space="0" w:color="92CDDC"/>
            </w:tcBorders>
            <w:shd w:val="clear" w:color="000000" w:fill="DAEEF3"/>
            <w:noWrap/>
            <w:vAlign w:val="bottom"/>
            <w:hideMark/>
          </w:tcPr>
          <w:p w14:paraId="397CBAA8"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5.000.000,00</w:t>
            </w:r>
          </w:p>
        </w:tc>
        <w:tc>
          <w:tcPr>
            <w:tcW w:w="485" w:type="pct"/>
            <w:tcBorders>
              <w:top w:val="nil"/>
              <w:left w:val="nil"/>
              <w:bottom w:val="single" w:sz="4" w:space="0" w:color="92CDDC"/>
              <w:right w:val="single" w:sz="4" w:space="0" w:color="92CDDC"/>
            </w:tcBorders>
            <w:shd w:val="clear" w:color="000000" w:fill="DAEEF3"/>
            <w:noWrap/>
            <w:vAlign w:val="bottom"/>
            <w:hideMark/>
          </w:tcPr>
          <w:p w14:paraId="0111A1A4" w14:textId="77777777" w:rsidR="006C5358" w:rsidRPr="0029055C" w:rsidRDefault="006C5358" w:rsidP="006C5358">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0</w:t>
            </w:r>
          </w:p>
        </w:tc>
        <w:tc>
          <w:tcPr>
            <w:tcW w:w="555" w:type="pct"/>
            <w:tcBorders>
              <w:top w:val="nil"/>
              <w:left w:val="nil"/>
              <w:bottom w:val="single" w:sz="4" w:space="0" w:color="92CDDC"/>
              <w:right w:val="single" w:sz="4" w:space="0" w:color="92CDDC"/>
            </w:tcBorders>
            <w:shd w:val="clear" w:color="000000" w:fill="DAEEF3"/>
            <w:noWrap/>
            <w:vAlign w:val="bottom"/>
            <w:hideMark/>
          </w:tcPr>
          <w:p w14:paraId="1C72C58E" w14:textId="77777777" w:rsidR="006C5358" w:rsidRPr="0029055C" w:rsidRDefault="006C5358" w:rsidP="00D84E46">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0,00</w:t>
            </w:r>
          </w:p>
        </w:tc>
        <w:tc>
          <w:tcPr>
            <w:tcW w:w="555" w:type="pct"/>
            <w:tcBorders>
              <w:top w:val="nil"/>
              <w:left w:val="nil"/>
              <w:bottom w:val="single" w:sz="4" w:space="0" w:color="92CDDC"/>
              <w:right w:val="single" w:sz="4" w:space="0" w:color="92CDDC"/>
            </w:tcBorders>
            <w:shd w:val="clear" w:color="000000" w:fill="DAEEF3"/>
            <w:noWrap/>
            <w:vAlign w:val="bottom"/>
            <w:hideMark/>
          </w:tcPr>
          <w:p w14:paraId="7A119C2B"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0,00</w:t>
            </w:r>
          </w:p>
        </w:tc>
        <w:tc>
          <w:tcPr>
            <w:tcW w:w="555" w:type="pct"/>
            <w:tcBorders>
              <w:top w:val="nil"/>
              <w:left w:val="nil"/>
              <w:bottom w:val="single" w:sz="4" w:space="0" w:color="92CDDC"/>
              <w:right w:val="single" w:sz="4" w:space="0" w:color="92CDDC"/>
            </w:tcBorders>
            <w:shd w:val="clear" w:color="000000" w:fill="DAEEF3"/>
            <w:noWrap/>
            <w:vAlign w:val="bottom"/>
            <w:hideMark/>
          </w:tcPr>
          <w:p w14:paraId="10A1232F"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0,00</w:t>
            </w:r>
          </w:p>
        </w:tc>
      </w:tr>
      <w:tr w:rsidR="006C5358" w:rsidRPr="0029055C" w14:paraId="0382B78C" w14:textId="77777777" w:rsidTr="001E14FB">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center"/>
            <w:hideMark/>
          </w:tcPr>
          <w:p w14:paraId="0375A189" w14:textId="77777777" w:rsidR="006C5358" w:rsidRPr="0029055C" w:rsidRDefault="006C5358" w:rsidP="006C5358">
            <w:pPr>
              <w:spacing w:before="80" w:after="80" w:line="240" w:lineRule="auto"/>
              <w:jc w:val="right"/>
              <w:rPr>
                <w:rFonts w:asciiTheme="minorHAnsi" w:hAnsiTheme="minorHAnsi" w:cstheme="minorHAnsi"/>
                <w:color w:val="000000"/>
                <w:szCs w:val="20"/>
              </w:rPr>
            </w:pPr>
            <w:r w:rsidRPr="0029055C">
              <w:rPr>
                <w:rFonts w:cs="Calibri"/>
                <w:color w:val="000000"/>
                <w:szCs w:val="18"/>
              </w:rPr>
              <w:t>Γ.1.1</w:t>
            </w:r>
          </w:p>
        </w:tc>
        <w:tc>
          <w:tcPr>
            <w:tcW w:w="581" w:type="pct"/>
            <w:tcBorders>
              <w:top w:val="nil"/>
              <w:left w:val="nil"/>
              <w:bottom w:val="single" w:sz="4" w:space="0" w:color="92CDDC"/>
              <w:right w:val="single" w:sz="4" w:space="0" w:color="92CDDC"/>
            </w:tcBorders>
            <w:shd w:val="clear" w:color="auto" w:fill="auto"/>
            <w:noWrap/>
            <w:vAlign w:val="center"/>
            <w:hideMark/>
          </w:tcPr>
          <w:p w14:paraId="52C2AE0E" w14:textId="77777777" w:rsidR="006C5358" w:rsidRPr="0029055C" w:rsidRDefault="006C5358" w:rsidP="006C5358">
            <w:pPr>
              <w:spacing w:before="80" w:after="80" w:line="240" w:lineRule="auto"/>
              <w:jc w:val="right"/>
              <w:rPr>
                <w:rFonts w:asciiTheme="minorHAnsi" w:hAnsiTheme="minorHAnsi" w:cstheme="minorHAnsi"/>
                <w:color w:val="000000"/>
                <w:szCs w:val="20"/>
              </w:rPr>
            </w:pPr>
            <w:r w:rsidRPr="0029055C">
              <w:rPr>
                <w:rFonts w:cs="Calibri"/>
                <w:color w:val="000000"/>
                <w:szCs w:val="18"/>
              </w:rPr>
              <w:t>12.000.000,00</w:t>
            </w:r>
          </w:p>
        </w:tc>
        <w:tc>
          <w:tcPr>
            <w:tcW w:w="581" w:type="pct"/>
            <w:tcBorders>
              <w:top w:val="nil"/>
              <w:left w:val="nil"/>
              <w:bottom w:val="single" w:sz="4" w:space="0" w:color="92CDDC"/>
              <w:right w:val="single" w:sz="4" w:space="0" w:color="92CDDC"/>
            </w:tcBorders>
            <w:shd w:val="clear" w:color="auto" w:fill="auto"/>
            <w:noWrap/>
            <w:vAlign w:val="center"/>
            <w:hideMark/>
          </w:tcPr>
          <w:p w14:paraId="119C2C26" w14:textId="77777777" w:rsidR="006C5358" w:rsidRPr="0029055C" w:rsidRDefault="006C5358" w:rsidP="006C5358">
            <w:pPr>
              <w:spacing w:before="80" w:after="80" w:line="240" w:lineRule="auto"/>
              <w:jc w:val="right"/>
              <w:rPr>
                <w:rFonts w:asciiTheme="minorHAnsi" w:hAnsiTheme="minorHAnsi" w:cstheme="minorHAnsi"/>
                <w:color w:val="000000"/>
                <w:szCs w:val="20"/>
              </w:rPr>
            </w:pPr>
            <w:r w:rsidRPr="0029055C">
              <w:rPr>
                <w:rFonts w:cs="Calibri"/>
                <w:color w:val="000000"/>
                <w:szCs w:val="18"/>
              </w:rPr>
              <w:t>5.210.000,00</w:t>
            </w:r>
          </w:p>
        </w:tc>
        <w:tc>
          <w:tcPr>
            <w:tcW w:w="519" w:type="pct"/>
            <w:tcBorders>
              <w:top w:val="nil"/>
              <w:left w:val="nil"/>
              <w:bottom w:val="single" w:sz="4" w:space="0" w:color="92CDDC"/>
              <w:right w:val="single" w:sz="4" w:space="0" w:color="92CDDC"/>
            </w:tcBorders>
            <w:shd w:val="clear" w:color="auto" w:fill="auto"/>
            <w:noWrap/>
            <w:vAlign w:val="center"/>
            <w:hideMark/>
          </w:tcPr>
          <w:p w14:paraId="2F567836" w14:textId="77777777" w:rsidR="006C5358" w:rsidRPr="0029055C" w:rsidRDefault="006C5358" w:rsidP="006C5358">
            <w:pPr>
              <w:spacing w:before="80" w:after="80" w:line="240" w:lineRule="auto"/>
              <w:jc w:val="center"/>
              <w:rPr>
                <w:rFonts w:asciiTheme="minorHAnsi" w:hAnsiTheme="minorHAnsi" w:cstheme="minorHAnsi"/>
                <w:color w:val="000000"/>
                <w:szCs w:val="20"/>
              </w:rPr>
            </w:pPr>
            <w:r w:rsidRPr="0029055C">
              <w:rPr>
                <w:rFonts w:cs="Calibri"/>
                <w:color w:val="000000"/>
                <w:szCs w:val="18"/>
              </w:rPr>
              <w:t>1</w:t>
            </w:r>
          </w:p>
        </w:tc>
        <w:tc>
          <w:tcPr>
            <w:tcW w:w="561" w:type="pct"/>
            <w:tcBorders>
              <w:top w:val="nil"/>
              <w:left w:val="nil"/>
              <w:bottom w:val="single" w:sz="4" w:space="0" w:color="92CDDC"/>
              <w:right w:val="single" w:sz="4" w:space="0" w:color="92CDDC"/>
            </w:tcBorders>
            <w:shd w:val="clear" w:color="auto" w:fill="auto"/>
            <w:noWrap/>
            <w:vAlign w:val="center"/>
            <w:hideMark/>
          </w:tcPr>
          <w:p w14:paraId="234E7142" w14:textId="77777777" w:rsidR="006C5358" w:rsidRPr="0029055C" w:rsidRDefault="006C5358" w:rsidP="006C5358">
            <w:pPr>
              <w:spacing w:before="80" w:after="80" w:line="240" w:lineRule="auto"/>
              <w:jc w:val="right"/>
              <w:rPr>
                <w:rFonts w:asciiTheme="minorHAnsi" w:hAnsiTheme="minorHAnsi" w:cstheme="minorHAnsi"/>
                <w:color w:val="000000"/>
                <w:szCs w:val="20"/>
              </w:rPr>
            </w:pPr>
            <w:r w:rsidRPr="0029055C">
              <w:rPr>
                <w:rFonts w:cs="Calibri"/>
                <w:color w:val="000000"/>
                <w:szCs w:val="18"/>
              </w:rPr>
              <w:t>5.000.000,00</w:t>
            </w:r>
          </w:p>
        </w:tc>
        <w:tc>
          <w:tcPr>
            <w:tcW w:w="485" w:type="pct"/>
            <w:tcBorders>
              <w:top w:val="nil"/>
              <w:left w:val="nil"/>
              <w:bottom w:val="single" w:sz="4" w:space="0" w:color="92CDDC"/>
              <w:right w:val="single" w:sz="4" w:space="0" w:color="92CDDC"/>
            </w:tcBorders>
            <w:shd w:val="clear" w:color="auto" w:fill="auto"/>
            <w:noWrap/>
            <w:vAlign w:val="center"/>
            <w:hideMark/>
          </w:tcPr>
          <w:p w14:paraId="135BA8F3" w14:textId="77777777" w:rsidR="006C5358" w:rsidRPr="0029055C" w:rsidRDefault="006C5358" w:rsidP="006C5358">
            <w:pPr>
              <w:spacing w:before="80" w:after="80" w:line="240" w:lineRule="auto"/>
              <w:jc w:val="center"/>
              <w:rPr>
                <w:rFonts w:asciiTheme="minorHAnsi" w:hAnsiTheme="minorHAnsi" w:cstheme="minorHAnsi"/>
                <w:color w:val="000000"/>
                <w:szCs w:val="20"/>
              </w:rPr>
            </w:pPr>
            <w:r w:rsidRPr="0029055C">
              <w:rPr>
                <w:rFonts w:cs="Calibri"/>
                <w:color w:val="000000"/>
                <w:szCs w:val="18"/>
              </w:rPr>
              <w:t>0</w:t>
            </w:r>
          </w:p>
        </w:tc>
        <w:tc>
          <w:tcPr>
            <w:tcW w:w="555" w:type="pct"/>
            <w:tcBorders>
              <w:top w:val="nil"/>
              <w:left w:val="nil"/>
              <w:bottom w:val="single" w:sz="4" w:space="0" w:color="92CDDC"/>
              <w:right w:val="single" w:sz="4" w:space="0" w:color="92CDDC"/>
            </w:tcBorders>
            <w:shd w:val="clear" w:color="auto" w:fill="auto"/>
            <w:noWrap/>
            <w:vAlign w:val="center"/>
            <w:hideMark/>
          </w:tcPr>
          <w:p w14:paraId="3E6D400E" w14:textId="77777777" w:rsidR="006C5358" w:rsidRPr="0029055C" w:rsidRDefault="006C5358" w:rsidP="00D84E46">
            <w:pPr>
              <w:spacing w:before="80" w:after="80" w:line="240" w:lineRule="auto"/>
              <w:jc w:val="right"/>
              <w:rPr>
                <w:rFonts w:asciiTheme="minorHAnsi" w:hAnsiTheme="minorHAnsi" w:cstheme="minorHAnsi"/>
                <w:color w:val="000000"/>
                <w:szCs w:val="20"/>
              </w:rPr>
            </w:pPr>
            <w:r w:rsidRPr="0029055C">
              <w:rPr>
                <w:rFonts w:cs="Calibri"/>
                <w:color w:val="000000"/>
                <w:szCs w:val="18"/>
              </w:rPr>
              <w:t>0,00</w:t>
            </w:r>
          </w:p>
        </w:tc>
        <w:tc>
          <w:tcPr>
            <w:tcW w:w="555" w:type="pct"/>
            <w:tcBorders>
              <w:top w:val="nil"/>
              <w:left w:val="nil"/>
              <w:bottom w:val="single" w:sz="4" w:space="0" w:color="92CDDC"/>
              <w:right w:val="single" w:sz="4" w:space="0" w:color="92CDDC"/>
            </w:tcBorders>
            <w:shd w:val="clear" w:color="auto" w:fill="auto"/>
            <w:noWrap/>
            <w:vAlign w:val="center"/>
            <w:hideMark/>
          </w:tcPr>
          <w:p w14:paraId="003F2165" w14:textId="77777777" w:rsidR="006C5358" w:rsidRPr="0029055C" w:rsidRDefault="006C5358" w:rsidP="006C5358">
            <w:pPr>
              <w:spacing w:before="80" w:after="80" w:line="240" w:lineRule="auto"/>
              <w:jc w:val="right"/>
              <w:rPr>
                <w:rFonts w:asciiTheme="minorHAnsi" w:hAnsiTheme="minorHAnsi" w:cstheme="minorHAnsi"/>
                <w:color w:val="000000"/>
                <w:szCs w:val="20"/>
              </w:rPr>
            </w:pPr>
            <w:r w:rsidRPr="0029055C">
              <w:rPr>
                <w:rFonts w:cs="Calibri"/>
                <w:color w:val="000000"/>
                <w:szCs w:val="18"/>
              </w:rPr>
              <w:t>0,00</w:t>
            </w:r>
          </w:p>
        </w:tc>
        <w:tc>
          <w:tcPr>
            <w:tcW w:w="555" w:type="pct"/>
            <w:tcBorders>
              <w:top w:val="nil"/>
              <w:left w:val="nil"/>
              <w:bottom w:val="single" w:sz="4" w:space="0" w:color="92CDDC"/>
              <w:right w:val="single" w:sz="4" w:space="0" w:color="92CDDC"/>
            </w:tcBorders>
            <w:shd w:val="clear" w:color="auto" w:fill="auto"/>
            <w:noWrap/>
            <w:vAlign w:val="center"/>
            <w:hideMark/>
          </w:tcPr>
          <w:p w14:paraId="10F0DE09" w14:textId="77777777" w:rsidR="006C5358" w:rsidRPr="0029055C" w:rsidRDefault="006C5358" w:rsidP="006C5358">
            <w:pPr>
              <w:spacing w:before="80" w:after="80" w:line="240" w:lineRule="auto"/>
              <w:jc w:val="right"/>
              <w:rPr>
                <w:rFonts w:asciiTheme="minorHAnsi" w:hAnsiTheme="minorHAnsi" w:cstheme="minorHAnsi"/>
                <w:color w:val="000000"/>
                <w:szCs w:val="20"/>
              </w:rPr>
            </w:pPr>
            <w:r w:rsidRPr="0029055C">
              <w:rPr>
                <w:rFonts w:cs="Calibri"/>
                <w:color w:val="000000"/>
                <w:szCs w:val="18"/>
              </w:rPr>
              <w:t>0,00</w:t>
            </w:r>
          </w:p>
        </w:tc>
      </w:tr>
      <w:tr w:rsidR="006C5358" w:rsidRPr="0029055C" w14:paraId="6206FA36" w14:textId="77777777" w:rsidTr="006F40DF">
        <w:trPr>
          <w:jc w:val="center"/>
        </w:trPr>
        <w:tc>
          <w:tcPr>
            <w:tcW w:w="607" w:type="pct"/>
            <w:tcBorders>
              <w:top w:val="nil"/>
              <w:left w:val="single" w:sz="4" w:space="0" w:color="92CDDC"/>
              <w:bottom w:val="single" w:sz="4" w:space="0" w:color="92CDDC"/>
              <w:right w:val="single" w:sz="4" w:space="0" w:color="92CDDC"/>
            </w:tcBorders>
            <w:shd w:val="clear" w:color="000000" w:fill="DAEEF3"/>
            <w:noWrap/>
            <w:vAlign w:val="bottom"/>
            <w:hideMark/>
          </w:tcPr>
          <w:p w14:paraId="48C82126" w14:textId="77777777" w:rsidR="006C5358" w:rsidRPr="0029055C" w:rsidRDefault="006C5358" w:rsidP="006C5358">
            <w:pPr>
              <w:spacing w:before="80" w:after="80" w:line="240" w:lineRule="auto"/>
              <w:jc w:val="left"/>
              <w:rPr>
                <w:rFonts w:asciiTheme="minorHAnsi" w:hAnsiTheme="minorHAnsi" w:cstheme="minorHAnsi"/>
                <w:b/>
                <w:bCs/>
                <w:color w:val="31869B"/>
                <w:szCs w:val="20"/>
              </w:rPr>
            </w:pPr>
            <w:r w:rsidRPr="0029055C">
              <w:rPr>
                <w:rFonts w:cs="Calibri"/>
                <w:b/>
                <w:bCs/>
                <w:color w:val="31869B"/>
                <w:szCs w:val="18"/>
              </w:rPr>
              <w:t>Γ.2</w:t>
            </w:r>
          </w:p>
        </w:tc>
        <w:tc>
          <w:tcPr>
            <w:tcW w:w="581" w:type="pct"/>
            <w:tcBorders>
              <w:top w:val="nil"/>
              <w:left w:val="nil"/>
              <w:bottom w:val="single" w:sz="4" w:space="0" w:color="92CDDC"/>
              <w:right w:val="single" w:sz="4" w:space="0" w:color="92CDDC"/>
            </w:tcBorders>
            <w:shd w:val="clear" w:color="000000" w:fill="DAEEF3"/>
            <w:noWrap/>
            <w:vAlign w:val="bottom"/>
            <w:hideMark/>
          </w:tcPr>
          <w:p w14:paraId="40AC900B"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102.342.999,00</w:t>
            </w:r>
          </w:p>
        </w:tc>
        <w:tc>
          <w:tcPr>
            <w:tcW w:w="581" w:type="pct"/>
            <w:tcBorders>
              <w:top w:val="nil"/>
              <w:left w:val="nil"/>
              <w:bottom w:val="single" w:sz="4" w:space="0" w:color="92CDDC"/>
              <w:right w:val="single" w:sz="4" w:space="0" w:color="92CDDC"/>
            </w:tcBorders>
            <w:shd w:val="clear" w:color="000000" w:fill="DAEEF3"/>
            <w:noWrap/>
            <w:vAlign w:val="bottom"/>
            <w:hideMark/>
          </w:tcPr>
          <w:p w14:paraId="371ECEDD"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102.563.961,10</w:t>
            </w:r>
          </w:p>
        </w:tc>
        <w:tc>
          <w:tcPr>
            <w:tcW w:w="519" w:type="pct"/>
            <w:tcBorders>
              <w:top w:val="nil"/>
              <w:left w:val="nil"/>
              <w:bottom w:val="single" w:sz="4" w:space="0" w:color="92CDDC"/>
              <w:right w:val="single" w:sz="4" w:space="0" w:color="92CDDC"/>
            </w:tcBorders>
            <w:shd w:val="clear" w:color="000000" w:fill="DAEEF3"/>
            <w:noWrap/>
            <w:vAlign w:val="bottom"/>
            <w:hideMark/>
          </w:tcPr>
          <w:p w14:paraId="33F2B819" w14:textId="77777777" w:rsidR="006C5358" w:rsidRPr="0029055C" w:rsidRDefault="006C5358" w:rsidP="006C5358">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7</w:t>
            </w:r>
          </w:p>
        </w:tc>
        <w:tc>
          <w:tcPr>
            <w:tcW w:w="561" w:type="pct"/>
            <w:tcBorders>
              <w:top w:val="nil"/>
              <w:left w:val="nil"/>
              <w:bottom w:val="single" w:sz="4" w:space="0" w:color="92CDDC"/>
              <w:right w:val="single" w:sz="4" w:space="0" w:color="92CDDC"/>
            </w:tcBorders>
            <w:shd w:val="clear" w:color="000000" w:fill="DAEEF3"/>
            <w:noWrap/>
            <w:vAlign w:val="bottom"/>
            <w:hideMark/>
          </w:tcPr>
          <w:p w14:paraId="018D5953"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90.230.392,00</w:t>
            </w:r>
          </w:p>
        </w:tc>
        <w:tc>
          <w:tcPr>
            <w:tcW w:w="485" w:type="pct"/>
            <w:tcBorders>
              <w:top w:val="nil"/>
              <w:left w:val="nil"/>
              <w:bottom w:val="single" w:sz="4" w:space="0" w:color="92CDDC"/>
              <w:right w:val="single" w:sz="4" w:space="0" w:color="92CDDC"/>
            </w:tcBorders>
            <w:shd w:val="clear" w:color="000000" w:fill="DAEEF3"/>
            <w:noWrap/>
            <w:vAlign w:val="bottom"/>
            <w:hideMark/>
          </w:tcPr>
          <w:p w14:paraId="26A86825" w14:textId="77777777" w:rsidR="006C5358" w:rsidRPr="0029055C" w:rsidRDefault="006C5358" w:rsidP="006C5358">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10</w:t>
            </w:r>
          </w:p>
        </w:tc>
        <w:tc>
          <w:tcPr>
            <w:tcW w:w="555" w:type="pct"/>
            <w:tcBorders>
              <w:top w:val="nil"/>
              <w:left w:val="nil"/>
              <w:bottom w:val="single" w:sz="4" w:space="0" w:color="92CDDC"/>
              <w:right w:val="single" w:sz="4" w:space="0" w:color="92CDDC"/>
            </w:tcBorders>
            <w:shd w:val="clear" w:color="000000" w:fill="DAEEF3"/>
            <w:noWrap/>
            <w:vAlign w:val="bottom"/>
            <w:hideMark/>
          </w:tcPr>
          <w:p w14:paraId="25B0269D" w14:textId="77777777" w:rsidR="006C5358" w:rsidRPr="0029055C" w:rsidRDefault="006C5358" w:rsidP="00D84E46">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80.671.181,80</w:t>
            </w:r>
          </w:p>
        </w:tc>
        <w:tc>
          <w:tcPr>
            <w:tcW w:w="555" w:type="pct"/>
            <w:tcBorders>
              <w:top w:val="nil"/>
              <w:left w:val="nil"/>
              <w:bottom w:val="single" w:sz="4" w:space="0" w:color="92CDDC"/>
              <w:right w:val="single" w:sz="4" w:space="0" w:color="92CDDC"/>
            </w:tcBorders>
            <w:shd w:val="clear" w:color="000000" w:fill="DAEEF3"/>
            <w:noWrap/>
            <w:vAlign w:val="bottom"/>
            <w:hideMark/>
          </w:tcPr>
          <w:p w14:paraId="71C62BD6"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61.003.378,11</w:t>
            </w:r>
          </w:p>
        </w:tc>
        <w:tc>
          <w:tcPr>
            <w:tcW w:w="555" w:type="pct"/>
            <w:tcBorders>
              <w:top w:val="nil"/>
              <w:left w:val="nil"/>
              <w:bottom w:val="single" w:sz="4" w:space="0" w:color="92CDDC"/>
              <w:right w:val="single" w:sz="4" w:space="0" w:color="92CDDC"/>
            </w:tcBorders>
            <w:shd w:val="clear" w:color="000000" w:fill="DAEEF3"/>
            <w:noWrap/>
            <w:vAlign w:val="bottom"/>
            <w:hideMark/>
          </w:tcPr>
          <w:p w14:paraId="5A8CAE49"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41.147.157,13</w:t>
            </w:r>
          </w:p>
        </w:tc>
      </w:tr>
      <w:tr w:rsidR="006C5358" w:rsidRPr="0029055C" w14:paraId="2679BA71" w14:textId="77777777" w:rsidTr="006F40DF">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bottom"/>
            <w:hideMark/>
          </w:tcPr>
          <w:p w14:paraId="40B9E5B3" w14:textId="77777777" w:rsidR="006C5358" w:rsidRPr="0029055C" w:rsidRDefault="006C5358" w:rsidP="006C5358">
            <w:pPr>
              <w:spacing w:before="80" w:after="80" w:line="240" w:lineRule="auto"/>
              <w:jc w:val="right"/>
              <w:rPr>
                <w:rFonts w:asciiTheme="minorHAnsi" w:hAnsiTheme="minorHAnsi" w:cstheme="minorHAnsi"/>
                <w:color w:val="000000"/>
                <w:szCs w:val="20"/>
              </w:rPr>
            </w:pPr>
            <w:r w:rsidRPr="0029055C">
              <w:rPr>
                <w:rFonts w:cs="Calibri"/>
                <w:color w:val="000000"/>
                <w:szCs w:val="18"/>
              </w:rPr>
              <w:t>Γ.2.1</w:t>
            </w:r>
          </w:p>
        </w:tc>
        <w:tc>
          <w:tcPr>
            <w:tcW w:w="581" w:type="pct"/>
            <w:tcBorders>
              <w:top w:val="nil"/>
              <w:left w:val="nil"/>
              <w:bottom w:val="single" w:sz="4" w:space="0" w:color="92CDDC"/>
              <w:right w:val="single" w:sz="4" w:space="0" w:color="92CDDC"/>
            </w:tcBorders>
            <w:shd w:val="clear" w:color="auto" w:fill="auto"/>
            <w:noWrap/>
            <w:vAlign w:val="center"/>
            <w:hideMark/>
          </w:tcPr>
          <w:p w14:paraId="36ADD613" w14:textId="77777777" w:rsidR="006C5358" w:rsidRPr="0029055C" w:rsidRDefault="006C5358" w:rsidP="006C5358">
            <w:pPr>
              <w:spacing w:before="80" w:after="80" w:line="240" w:lineRule="auto"/>
              <w:jc w:val="right"/>
              <w:rPr>
                <w:rFonts w:asciiTheme="minorHAnsi" w:hAnsiTheme="minorHAnsi" w:cstheme="minorHAnsi"/>
                <w:color w:val="000000"/>
                <w:szCs w:val="20"/>
              </w:rPr>
            </w:pPr>
            <w:r w:rsidRPr="0029055C">
              <w:rPr>
                <w:rFonts w:cs="Calibri"/>
                <w:color w:val="000000"/>
                <w:szCs w:val="18"/>
              </w:rPr>
              <w:t>95.000.000,00</w:t>
            </w:r>
          </w:p>
        </w:tc>
        <w:tc>
          <w:tcPr>
            <w:tcW w:w="581" w:type="pct"/>
            <w:tcBorders>
              <w:top w:val="nil"/>
              <w:left w:val="nil"/>
              <w:bottom w:val="single" w:sz="4" w:space="0" w:color="92CDDC"/>
              <w:right w:val="single" w:sz="4" w:space="0" w:color="92CDDC"/>
            </w:tcBorders>
            <w:shd w:val="clear" w:color="auto" w:fill="auto"/>
            <w:noWrap/>
            <w:vAlign w:val="center"/>
            <w:hideMark/>
          </w:tcPr>
          <w:p w14:paraId="45FA6CC5" w14:textId="77777777" w:rsidR="006C5358" w:rsidRPr="0029055C" w:rsidRDefault="006C5358" w:rsidP="006C5358">
            <w:pPr>
              <w:spacing w:before="80" w:after="80" w:line="240" w:lineRule="auto"/>
              <w:jc w:val="right"/>
              <w:rPr>
                <w:rFonts w:asciiTheme="minorHAnsi" w:hAnsiTheme="minorHAnsi" w:cstheme="minorHAnsi"/>
                <w:color w:val="000000"/>
                <w:szCs w:val="20"/>
              </w:rPr>
            </w:pPr>
            <w:r w:rsidRPr="0029055C">
              <w:rPr>
                <w:rFonts w:cs="Calibri"/>
                <w:color w:val="000000"/>
                <w:szCs w:val="18"/>
              </w:rPr>
              <w:t>97.757.561,10</w:t>
            </w:r>
          </w:p>
        </w:tc>
        <w:tc>
          <w:tcPr>
            <w:tcW w:w="519" w:type="pct"/>
            <w:tcBorders>
              <w:top w:val="nil"/>
              <w:left w:val="nil"/>
              <w:bottom w:val="single" w:sz="4" w:space="0" w:color="92CDDC"/>
              <w:right w:val="single" w:sz="4" w:space="0" w:color="92CDDC"/>
            </w:tcBorders>
            <w:shd w:val="clear" w:color="auto" w:fill="auto"/>
            <w:noWrap/>
            <w:vAlign w:val="center"/>
            <w:hideMark/>
          </w:tcPr>
          <w:p w14:paraId="332BA18D" w14:textId="77777777" w:rsidR="006C5358" w:rsidRPr="0029055C" w:rsidRDefault="006C5358" w:rsidP="006C5358">
            <w:pPr>
              <w:spacing w:before="80" w:after="80" w:line="240" w:lineRule="auto"/>
              <w:jc w:val="center"/>
              <w:rPr>
                <w:rFonts w:asciiTheme="minorHAnsi" w:hAnsiTheme="minorHAnsi" w:cstheme="minorHAnsi"/>
                <w:color w:val="000000"/>
                <w:szCs w:val="20"/>
              </w:rPr>
            </w:pPr>
            <w:r w:rsidRPr="0029055C">
              <w:rPr>
                <w:rFonts w:cs="Calibri"/>
                <w:color w:val="000000"/>
                <w:szCs w:val="18"/>
              </w:rPr>
              <w:t>4</w:t>
            </w:r>
          </w:p>
        </w:tc>
        <w:tc>
          <w:tcPr>
            <w:tcW w:w="561" w:type="pct"/>
            <w:tcBorders>
              <w:top w:val="nil"/>
              <w:left w:val="nil"/>
              <w:bottom w:val="single" w:sz="4" w:space="0" w:color="92CDDC"/>
              <w:right w:val="single" w:sz="4" w:space="0" w:color="92CDDC"/>
            </w:tcBorders>
            <w:shd w:val="clear" w:color="auto" w:fill="auto"/>
            <w:noWrap/>
            <w:vAlign w:val="center"/>
            <w:hideMark/>
          </w:tcPr>
          <w:p w14:paraId="2BE16BDA" w14:textId="77777777" w:rsidR="006C5358" w:rsidRPr="0029055C" w:rsidRDefault="006C5358" w:rsidP="006C5358">
            <w:pPr>
              <w:spacing w:before="80" w:after="80" w:line="240" w:lineRule="auto"/>
              <w:jc w:val="right"/>
              <w:rPr>
                <w:rFonts w:asciiTheme="minorHAnsi" w:hAnsiTheme="minorHAnsi" w:cstheme="minorHAnsi"/>
                <w:color w:val="000000"/>
                <w:szCs w:val="20"/>
              </w:rPr>
            </w:pPr>
            <w:r w:rsidRPr="0029055C">
              <w:rPr>
                <w:rFonts w:cs="Calibri"/>
                <w:color w:val="000000"/>
                <w:szCs w:val="18"/>
              </w:rPr>
              <w:t>87.117.592,00</w:t>
            </w:r>
          </w:p>
        </w:tc>
        <w:tc>
          <w:tcPr>
            <w:tcW w:w="485" w:type="pct"/>
            <w:tcBorders>
              <w:top w:val="nil"/>
              <w:left w:val="nil"/>
              <w:bottom w:val="single" w:sz="4" w:space="0" w:color="92CDDC"/>
              <w:right w:val="single" w:sz="4" w:space="0" w:color="92CDDC"/>
            </w:tcBorders>
            <w:shd w:val="clear" w:color="auto" w:fill="auto"/>
            <w:noWrap/>
            <w:vAlign w:val="center"/>
            <w:hideMark/>
          </w:tcPr>
          <w:p w14:paraId="01F34492" w14:textId="77777777" w:rsidR="006C5358" w:rsidRPr="0029055C" w:rsidRDefault="006C5358" w:rsidP="006C5358">
            <w:pPr>
              <w:spacing w:before="80" w:after="80" w:line="240" w:lineRule="auto"/>
              <w:jc w:val="center"/>
              <w:rPr>
                <w:rFonts w:asciiTheme="minorHAnsi" w:hAnsiTheme="minorHAnsi" w:cstheme="minorHAnsi"/>
                <w:color w:val="000000"/>
                <w:szCs w:val="20"/>
              </w:rPr>
            </w:pPr>
            <w:r w:rsidRPr="0029055C">
              <w:rPr>
                <w:rFonts w:cs="Calibri"/>
                <w:color w:val="000000"/>
                <w:szCs w:val="18"/>
              </w:rPr>
              <w:t>8</w:t>
            </w:r>
          </w:p>
        </w:tc>
        <w:tc>
          <w:tcPr>
            <w:tcW w:w="555" w:type="pct"/>
            <w:tcBorders>
              <w:top w:val="nil"/>
              <w:left w:val="nil"/>
              <w:bottom w:val="single" w:sz="4" w:space="0" w:color="92CDDC"/>
              <w:right w:val="single" w:sz="4" w:space="0" w:color="92CDDC"/>
            </w:tcBorders>
            <w:shd w:val="clear" w:color="auto" w:fill="auto"/>
            <w:noWrap/>
            <w:vAlign w:val="center"/>
            <w:hideMark/>
          </w:tcPr>
          <w:p w14:paraId="6C9A3541" w14:textId="77777777" w:rsidR="006C5358" w:rsidRPr="0029055C" w:rsidRDefault="006C5358" w:rsidP="00D84E46">
            <w:pPr>
              <w:spacing w:before="80" w:after="80" w:line="240" w:lineRule="auto"/>
              <w:jc w:val="right"/>
              <w:rPr>
                <w:rFonts w:asciiTheme="minorHAnsi" w:hAnsiTheme="minorHAnsi" w:cstheme="minorHAnsi"/>
                <w:color w:val="000000"/>
                <w:szCs w:val="20"/>
              </w:rPr>
            </w:pPr>
            <w:r w:rsidRPr="0029055C">
              <w:rPr>
                <w:rFonts w:cs="Calibri"/>
                <w:color w:val="000000"/>
                <w:szCs w:val="18"/>
              </w:rPr>
              <w:t>78.832.991,13</w:t>
            </w:r>
          </w:p>
        </w:tc>
        <w:tc>
          <w:tcPr>
            <w:tcW w:w="555" w:type="pct"/>
            <w:tcBorders>
              <w:top w:val="nil"/>
              <w:left w:val="nil"/>
              <w:bottom w:val="single" w:sz="4" w:space="0" w:color="92CDDC"/>
              <w:right w:val="single" w:sz="4" w:space="0" w:color="92CDDC"/>
            </w:tcBorders>
            <w:shd w:val="clear" w:color="auto" w:fill="auto"/>
            <w:noWrap/>
            <w:vAlign w:val="center"/>
            <w:hideMark/>
          </w:tcPr>
          <w:p w14:paraId="72FA02DC" w14:textId="77777777" w:rsidR="006C5358" w:rsidRPr="0029055C" w:rsidRDefault="006C5358" w:rsidP="006C5358">
            <w:pPr>
              <w:spacing w:before="80" w:after="80" w:line="240" w:lineRule="auto"/>
              <w:jc w:val="right"/>
              <w:rPr>
                <w:rFonts w:asciiTheme="minorHAnsi" w:hAnsiTheme="minorHAnsi" w:cstheme="minorHAnsi"/>
                <w:color w:val="000000"/>
                <w:szCs w:val="20"/>
              </w:rPr>
            </w:pPr>
            <w:r w:rsidRPr="0029055C">
              <w:rPr>
                <w:rFonts w:cs="Calibri"/>
                <w:color w:val="000000"/>
                <w:szCs w:val="18"/>
              </w:rPr>
              <w:t>59.433.884,80</w:t>
            </w:r>
          </w:p>
        </w:tc>
        <w:tc>
          <w:tcPr>
            <w:tcW w:w="555" w:type="pct"/>
            <w:tcBorders>
              <w:top w:val="nil"/>
              <w:left w:val="nil"/>
              <w:bottom w:val="single" w:sz="4" w:space="0" w:color="92CDDC"/>
              <w:right w:val="single" w:sz="4" w:space="0" w:color="92CDDC"/>
            </w:tcBorders>
            <w:shd w:val="clear" w:color="auto" w:fill="auto"/>
            <w:noWrap/>
            <w:vAlign w:val="center"/>
            <w:hideMark/>
          </w:tcPr>
          <w:p w14:paraId="7C4CB99D" w14:textId="77777777" w:rsidR="006C5358" w:rsidRPr="0029055C" w:rsidRDefault="006C5358" w:rsidP="006C5358">
            <w:pPr>
              <w:spacing w:before="80" w:after="80" w:line="240" w:lineRule="auto"/>
              <w:jc w:val="right"/>
              <w:rPr>
                <w:rFonts w:asciiTheme="minorHAnsi" w:hAnsiTheme="minorHAnsi" w:cstheme="minorHAnsi"/>
                <w:color w:val="000000"/>
                <w:szCs w:val="20"/>
              </w:rPr>
            </w:pPr>
            <w:r w:rsidRPr="0029055C">
              <w:rPr>
                <w:rFonts w:cs="Calibri"/>
                <w:color w:val="000000"/>
                <w:szCs w:val="18"/>
              </w:rPr>
              <w:t>40.130.121,62</w:t>
            </w:r>
          </w:p>
        </w:tc>
      </w:tr>
      <w:tr w:rsidR="00D84E46" w:rsidRPr="0029055C" w14:paraId="76C94512" w14:textId="77777777" w:rsidTr="006F40DF">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bottom"/>
            <w:hideMark/>
          </w:tcPr>
          <w:p w14:paraId="26F24503" w14:textId="77777777" w:rsidR="00D84E46" w:rsidRPr="0029055C" w:rsidRDefault="00D84E46" w:rsidP="00D84E46">
            <w:pPr>
              <w:spacing w:before="80" w:after="80" w:line="240" w:lineRule="auto"/>
              <w:jc w:val="right"/>
              <w:rPr>
                <w:rFonts w:asciiTheme="minorHAnsi" w:hAnsiTheme="minorHAnsi" w:cstheme="minorHAnsi"/>
                <w:color w:val="000000"/>
                <w:szCs w:val="20"/>
              </w:rPr>
            </w:pPr>
            <w:r w:rsidRPr="0029055C">
              <w:rPr>
                <w:rFonts w:cs="Calibri"/>
                <w:color w:val="000000"/>
                <w:szCs w:val="18"/>
              </w:rPr>
              <w:t>Γ.2.2</w:t>
            </w:r>
          </w:p>
        </w:tc>
        <w:tc>
          <w:tcPr>
            <w:tcW w:w="581" w:type="pct"/>
            <w:tcBorders>
              <w:top w:val="nil"/>
              <w:left w:val="nil"/>
              <w:bottom w:val="single" w:sz="4" w:space="0" w:color="92CDDC"/>
              <w:right w:val="single" w:sz="4" w:space="0" w:color="92CDDC"/>
            </w:tcBorders>
            <w:shd w:val="clear" w:color="auto" w:fill="auto"/>
            <w:noWrap/>
            <w:vAlign w:val="center"/>
            <w:hideMark/>
          </w:tcPr>
          <w:p w14:paraId="374E5444" w14:textId="77777777" w:rsidR="00D84E46" w:rsidRPr="0029055C" w:rsidRDefault="00D84E46" w:rsidP="00D84E46">
            <w:pPr>
              <w:spacing w:before="80" w:after="80" w:line="240" w:lineRule="auto"/>
              <w:jc w:val="right"/>
              <w:rPr>
                <w:rFonts w:asciiTheme="minorHAnsi" w:hAnsiTheme="minorHAnsi" w:cstheme="minorHAnsi"/>
                <w:color w:val="000000"/>
                <w:szCs w:val="20"/>
              </w:rPr>
            </w:pPr>
            <w:r w:rsidRPr="0029055C">
              <w:rPr>
                <w:rFonts w:cs="Calibri"/>
                <w:color w:val="000000"/>
                <w:szCs w:val="18"/>
              </w:rPr>
              <w:t>7.342.999,00</w:t>
            </w:r>
          </w:p>
        </w:tc>
        <w:tc>
          <w:tcPr>
            <w:tcW w:w="581" w:type="pct"/>
            <w:tcBorders>
              <w:top w:val="nil"/>
              <w:left w:val="nil"/>
              <w:bottom w:val="single" w:sz="4" w:space="0" w:color="92CDDC"/>
              <w:right w:val="single" w:sz="4" w:space="0" w:color="92CDDC"/>
            </w:tcBorders>
            <w:shd w:val="clear" w:color="auto" w:fill="auto"/>
            <w:noWrap/>
            <w:vAlign w:val="center"/>
            <w:hideMark/>
          </w:tcPr>
          <w:p w14:paraId="530375D1" w14:textId="77777777" w:rsidR="00D84E46" w:rsidRPr="0029055C" w:rsidRDefault="00D84E46" w:rsidP="00D84E46">
            <w:pPr>
              <w:spacing w:before="80" w:after="80" w:line="240" w:lineRule="auto"/>
              <w:jc w:val="right"/>
              <w:rPr>
                <w:rFonts w:asciiTheme="minorHAnsi" w:hAnsiTheme="minorHAnsi" w:cstheme="minorHAnsi"/>
                <w:color w:val="000000"/>
                <w:szCs w:val="20"/>
              </w:rPr>
            </w:pPr>
            <w:r w:rsidRPr="0029055C">
              <w:rPr>
                <w:rFonts w:cs="Calibri"/>
                <w:color w:val="000000"/>
                <w:szCs w:val="18"/>
              </w:rPr>
              <w:t>4.806.400,00</w:t>
            </w:r>
          </w:p>
        </w:tc>
        <w:tc>
          <w:tcPr>
            <w:tcW w:w="519" w:type="pct"/>
            <w:tcBorders>
              <w:top w:val="nil"/>
              <w:left w:val="nil"/>
              <w:bottom w:val="single" w:sz="4" w:space="0" w:color="92CDDC"/>
              <w:right w:val="single" w:sz="4" w:space="0" w:color="92CDDC"/>
            </w:tcBorders>
            <w:shd w:val="clear" w:color="auto" w:fill="auto"/>
            <w:noWrap/>
            <w:vAlign w:val="center"/>
            <w:hideMark/>
          </w:tcPr>
          <w:p w14:paraId="46CBA6D8" w14:textId="77777777" w:rsidR="00D84E46" w:rsidRPr="0029055C" w:rsidRDefault="00D84E46" w:rsidP="00D84E46">
            <w:pPr>
              <w:spacing w:before="80" w:after="80" w:line="240" w:lineRule="auto"/>
              <w:jc w:val="center"/>
              <w:rPr>
                <w:rFonts w:asciiTheme="minorHAnsi" w:hAnsiTheme="minorHAnsi" w:cstheme="minorHAnsi"/>
                <w:color w:val="000000"/>
                <w:szCs w:val="20"/>
              </w:rPr>
            </w:pPr>
            <w:r w:rsidRPr="0029055C">
              <w:rPr>
                <w:rFonts w:cs="Calibri"/>
                <w:color w:val="000000"/>
                <w:szCs w:val="18"/>
              </w:rPr>
              <w:t>3</w:t>
            </w:r>
          </w:p>
        </w:tc>
        <w:tc>
          <w:tcPr>
            <w:tcW w:w="561" w:type="pct"/>
            <w:tcBorders>
              <w:top w:val="nil"/>
              <w:left w:val="nil"/>
              <w:bottom w:val="single" w:sz="4" w:space="0" w:color="92CDDC"/>
              <w:right w:val="single" w:sz="4" w:space="0" w:color="92CDDC"/>
            </w:tcBorders>
            <w:shd w:val="clear" w:color="auto" w:fill="auto"/>
            <w:noWrap/>
            <w:vAlign w:val="center"/>
            <w:hideMark/>
          </w:tcPr>
          <w:p w14:paraId="0DCC9718" w14:textId="77777777" w:rsidR="00D84E46" w:rsidRPr="0029055C" w:rsidRDefault="00D84E46" w:rsidP="00D84E46">
            <w:pPr>
              <w:spacing w:before="80" w:after="80" w:line="240" w:lineRule="auto"/>
              <w:jc w:val="right"/>
              <w:rPr>
                <w:rFonts w:asciiTheme="minorHAnsi" w:hAnsiTheme="minorHAnsi" w:cstheme="minorHAnsi"/>
                <w:color w:val="000000"/>
                <w:szCs w:val="20"/>
              </w:rPr>
            </w:pPr>
            <w:r w:rsidRPr="0029055C">
              <w:rPr>
                <w:rFonts w:cs="Calibri"/>
                <w:color w:val="000000"/>
                <w:szCs w:val="18"/>
              </w:rPr>
              <w:t>3.112.800,00</w:t>
            </w:r>
          </w:p>
        </w:tc>
        <w:tc>
          <w:tcPr>
            <w:tcW w:w="485" w:type="pct"/>
            <w:tcBorders>
              <w:top w:val="nil"/>
              <w:left w:val="nil"/>
              <w:bottom w:val="single" w:sz="4" w:space="0" w:color="92CDDC"/>
              <w:right w:val="single" w:sz="4" w:space="0" w:color="92CDDC"/>
            </w:tcBorders>
            <w:shd w:val="clear" w:color="auto" w:fill="auto"/>
            <w:noWrap/>
            <w:vAlign w:val="center"/>
            <w:hideMark/>
          </w:tcPr>
          <w:p w14:paraId="7CCD3966" w14:textId="77777777" w:rsidR="00D84E46" w:rsidRPr="0029055C" w:rsidRDefault="00D84E46" w:rsidP="00D84E46">
            <w:pPr>
              <w:spacing w:before="80" w:after="80" w:line="240" w:lineRule="auto"/>
              <w:jc w:val="center"/>
              <w:rPr>
                <w:rFonts w:asciiTheme="minorHAnsi" w:hAnsiTheme="minorHAnsi" w:cstheme="minorHAnsi"/>
                <w:color w:val="000000"/>
                <w:szCs w:val="20"/>
              </w:rPr>
            </w:pPr>
            <w:r w:rsidRPr="0029055C">
              <w:rPr>
                <w:rFonts w:cs="Calibri"/>
                <w:color w:val="000000"/>
                <w:szCs w:val="18"/>
              </w:rPr>
              <w:t>2</w:t>
            </w:r>
          </w:p>
        </w:tc>
        <w:tc>
          <w:tcPr>
            <w:tcW w:w="555" w:type="pct"/>
            <w:tcBorders>
              <w:top w:val="nil"/>
              <w:left w:val="nil"/>
              <w:bottom w:val="single" w:sz="4" w:space="0" w:color="92CDDC"/>
              <w:right w:val="single" w:sz="4" w:space="0" w:color="92CDDC"/>
            </w:tcBorders>
            <w:shd w:val="clear" w:color="auto" w:fill="auto"/>
            <w:noWrap/>
            <w:vAlign w:val="center"/>
            <w:hideMark/>
          </w:tcPr>
          <w:p w14:paraId="681FFB68" w14:textId="77777777" w:rsidR="00D84E46" w:rsidRPr="0029055C" w:rsidRDefault="00D84E46" w:rsidP="00D84E46">
            <w:pPr>
              <w:spacing w:before="80" w:after="80" w:line="240" w:lineRule="auto"/>
              <w:jc w:val="right"/>
              <w:rPr>
                <w:rFonts w:asciiTheme="minorHAnsi" w:hAnsiTheme="minorHAnsi" w:cstheme="minorHAnsi"/>
                <w:color w:val="000000"/>
                <w:szCs w:val="20"/>
              </w:rPr>
            </w:pPr>
            <w:r w:rsidRPr="0029055C">
              <w:rPr>
                <w:rFonts w:cs="Calibri"/>
                <w:color w:val="000000"/>
                <w:szCs w:val="18"/>
              </w:rPr>
              <w:t>1.838.190,67</w:t>
            </w:r>
          </w:p>
        </w:tc>
        <w:tc>
          <w:tcPr>
            <w:tcW w:w="555" w:type="pct"/>
            <w:tcBorders>
              <w:top w:val="nil"/>
              <w:left w:val="nil"/>
              <w:bottom w:val="single" w:sz="4" w:space="0" w:color="92CDDC"/>
              <w:right w:val="single" w:sz="4" w:space="0" w:color="92CDDC"/>
            </w:tcBorders>
            <w:shd w:val="clear" w:color="auto" w:fill="auto"/>
            <w:noWrap/>
            <w:vAlign w:val="center"/>
            <w:hideMark/>
          </w:tcPr>
          <w:p w14:paraId="2DFCC0A4" w14:textId="77777777" w:rsidR="00D84E46" w:rsidRPr="0029055C" w:rsidRDefault="00D84E46" w:rsidP="00D84E46">
            <w:pPr>
              <w:spacing w:before="80" w:after="80" w:line="240" w:lineRule="auto"/>
              <w:jc w:val="right"/>
              <w:rPr>
                <w:rFonts w:asciiTheme="minorHAnsi" w:hAnsiTheme="minorHAnsi" w:cstheme="minorHAnsi"/>
                <w:color w:val="000000"/>
                <w:szCs w:val="20"/>
              </w:rPr>
            </w:pPr>
            <w:r w:rsidRPr="0029055C">
              <w:rPr>
                <w:rFonts w:cs="Calibri"/>
                <w:color w:val="000000"/>
                <w:szCs w:val="18"/>
              </w:rPr>
              <w:t>1.569.493,31</w:t>
            </w:r>
          </w:p>
        </w:tc>
        <w:tc>
          <w:tcPr>
            <w:tcW w:w="555" w:type="pct"/>
            <w:tcBorders>
              <w:top w:val="nil"/>
              <w:left w:val="nil"/>
              <w:bottom w:val="single" w:sz="4" w:space="0" w:color="92CDDC"/>
              <w:right w:val="single" w:sz="4" w:space="0" w:color="92CDDC"/>
            </w:tcBorders>
            <w:shd w:val="clear" w:color="auto" w:fill="auto"/>
            <w:noWrap/>
            <w:vAlign w:val="center"/>
            <w:hideMark/>
          </w:tcPr>
          <w:p w14:paraId="547710B8" w14:textId="77777777" w:rsidR="00D84E46" w:rsidRPr="0029055C" w:rsidRDefault="00D84E46" w:rsidP="00D84E46">
            <w:pPr>
              <w:spacing w:before="80" w:after="80" w:line="240" w:lineRule="auto"/>
              <w:jc w:val="right"/>
              <w:rPr>
                <w:rFonts w:asciiTheme="minorHAnsi" w:hAnsiTheme="minorHAnsi" w:cstheme="minorHAnsi"/>
                <w:color w:val="000000"/>
                <w:szCs w:val="20"/>
              </w:rPr>
            </w:pPr>
            <w:r w:rsidRPr="0029055C">
              <w:rPr>
                <w:rFonts w:cs="Calibri"/>
                <w:color w:val="000000"/>
                <w:szCs w:val="18"/>
              </w:rPr>
              <w:t>1.017.035,51</w:t>
            </w:r>
          </w:p>
        </w:tc>
      </w:tr>
      <w:tr w:rsidR="006C5358" w:rsidRPr="0029055C" w14:paraId="153217D8" w14:textId="77777777" w:rsidTr="006C5358">
        <w:trPr>
          <w:jc w:val="center"/>
        </w:trPr>
        <w:tc>
          <w:tcPr>
            <w:tcW w:w="607" w:type="pct"/>
            <w:tcBorders>
              <w:top w:val="single" w:sz="12" w:space="0" w:color="92CDDC"/>
              <w:left w:val="single" w:sz="4" w:space="0" w:color="92CDDC"/>
              <w:bottom w:val="single" w:sz="12" w:space="0" w:color="92CDDC"/>
              <w:right w:val="single" w:sz="4" w:space="0" w:color="92CDDC"/>
            </w:tcBorders>
            <w:shd w:val="clear" w:color="auto" w:fill="auto"/>
            <w:noWrap/>
            <w:vAlign w:val="bottom"/>
            <w:hideMark/>
          </w:tcPr>
          <w:p w14:paraId="226BC8C4" w14:textId="77777777" w:rsidR="006C5358" w:rsidRPr="0029055C" w:rsidRDefault="006C5358" w:rsidP="00AC462E">
            <w:pPr>
              <w:spacing w:before="80" w:after="80" w:line="240" w:lineRule="auto"/>
              <w:jc w:val="left"/>
              <w:rPr>
                <w:rFonts w:asciiTheme="minorHAnsi" w:hAnsiTheme="minorHAnsi" w:cstheme="minorHAnsi"/>
                <w:b/>
                <w:bCs/>
                <w:color w:val="31869B"/>
                <w:szCs w:val="20"/>
              </w:rPr>
            </w:pPr>
            <w:r w:rsidRPr="0029055C">
              <w:rPr>
                <w:rFonts w:asciiTheme="minorHAnsi" w:hAnsiTheme="minorHAnsi" w:cstheme="minorHAnsi"/>
                <w:b/>
                <w:bCs/>
                <w:color w:val="31869B"/>
                <w:szCs w:val="20"/>
              </w:rPr>
              <w:t>Σύνολο Θεματικού Άξονα</w:t>
            </w:r>
            <w:r w:rsidR="00AC462E" w:rsidRPr="0029055C">
              <w:rPr>
                <w:rFonts w:asciiTheme="minorHAnsi" w:hAnsiTheme="minorHAnsi" w:cstheme="minorHAnsi"/>
                <w:b/>
                <w:bCs/>
                <w:color w:val="31869B"/>
                <w:szCs w:val="20"/>
              </w:rPr>
              <w:t xml:space="preserve"> ΙΙΙ</w:t>
            </w:r>
          </w:p>
        </w:tc>
        <w:tc>
          <w:tcPr>
            <w:tcW w:w="581" w:type="pct"/>
            <w:tcBorders>
              <w:top w:val="single" w:sz="12" w:space="0" w:color="92CDDC"/>
              <w:left w:val="nil"/>
              <w:bottom w:val="single" w:sz="12" w:space="0" w:color="92CDDC"/>
              <w:right w:val="single" w:sz="4" w:space="0" w:color="92CDDC"/>
            </w:tcBorders>
            <w:shd w:val="clear" w:color="auto" w:fill="auto"/>
            <w:noWrap/>
            <w:vAlign w:val="center"/>
            <w:hideMark/>
          </w:tcPr>
          <w:p w14:paraId="1C01B92F"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114.342.999,00</w:t>
            </w:r>
          </w:p>
        </w:tc>
        <w:tc>
          <w:tcPr>
            <w:tcW w:w="581" w:type="pct"/>
            <w:tcBorders>
              <w:top w:val="single" w:sz="12" w:space="0" w:color="92CDDC"/>
              <w:left w:val="nil"/>
              <w:bottom w:val="single" w:sz="12" w:space="0" w:color="92CDDC"/>
              <w:right w:val="single" w:sz="4" w:space="0" w:color="92CDDC"/>
            </w:tcBorders>
            <w:shd w:val="clear" w:color="auto" w:fill="auto"/>
            <w:noWrap/>
            <w:vAlign w:val="center"/>
            <w:hideMark/>
          </w:tcPr>
          <w:p w14:paraId="0929F979"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107.773.961,10</w:t>
            </w:r>
          </w:p>
        </w:tc>
        <w:tc>
          <w:tcPr>
            <w:tcW w:w="519" w:type="pct"/>
            <w:tcBorders>
              <w:top w:val="single" w:sz="12" w:space="0" w:color="92CDDC"/>
              <w:left w:val="nil"/>
              <w:bottom w:val="single" w:sz="12" w:space="0" w:color="92CDDC"/>
              <w:right w:val="single" w:sz="4" w:space="0" w:color="92CDDC"/>
            </w:tcBorders>
            <w:shd w:val="clear" w:color="auto" w:fill="auto"/>
            <w:noWrap/>
            <w:vAlign w:val="center"/>
            <w:hideMark/>
          </w:tcPr>
          <w:p w14:paraId="2A544FAE" w14:textId="77777777" w:rsidR="006C5358" w:rsidRPr="0029055C" w:rsidRDefault="006C5358" w:rsidP="006C5358">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5</w:t>
            </w:r>
          </w:p>
        </w:tc>
        <w:tc>
          <w:tcPr>
            <w:tcW w:w="561" w:type="pct"/>
            <w:tcBorders>
              <w:top w:val="single" w:sz="12" w:space="0" w:color="92CDDC"/>
              <w:left w:val="nil"/>
              <w:bottom w:val="single" w:sz="12" w:space="0" w:color="92CDDC"/>
              <w:right w:val="single" w:sz="4" w:space="0" w:color="92CDDC"/>
            </w:tcBorders>
            <w:shd w:val="clear" w:color="auto" w:fill="auto"/>
            <w:noWrap/>
            <w:vAlign w:val="center"/>
            <w:hideMark/>
          </w:tcPr>
          <w:p w14:paraId="7F818CF1"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95.230.392,00</w:t>
            </w:r>
          </w:p>
        </w:tc>
        <w:tc>
          <w:tcPr>
            <w:tcW w:w="485" w:type="pct"/>
            <w:tcBorders>
              <w:top w:val="single" w:sz="12" w:space="0" w:color="92CDDC"/>
              <w:left w:val="nil"/>
              <w:bottom w:val="single" w:sz="12" w:space="0" w:color="92CDDC"/>
              <w:right w:val="single" w:sz="4" w:space="0" w:color="92CDDC"/>
            </w:tcBorders>
            <w:shd w:val="clear" w:color="auto" w:fill="auto"/>
            <w:noWrap/>
            <w:vAlign w:val="center"/>
            <w:hideMark/>
          </w:tcPr>
          <w:p w14:paraId="2808E560" w14:textId="77777777" w:rsidR="006C5358" w:rsidRPr="0029055C" w:rsidRDefault="006C5358" w:rsidP="006C5358">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8</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78545609"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80.671.181,80</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56758005"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61.003.378,11</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74BD1741" w14:textId="77777777" w:rsidR="006C5358" w:rsidRPr="0029055C" w:rsidRDefault="006C5358" w:rsidP="006C5358">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41.147.157,13</w:t>
            </w:r>
          </w:p>
        </w:tc>
      </w:tr>
    </w:tbl>
    <w:p w14:paraId="3DC97D6E" w14:textId="77777777" w:rsidR="001E14FB" w:rsidRPr="0029055C" w:rsidRDefault="001E14FB" w:rsidP="001E14FB">
      <w:pPr>
        <w:spacing w:before="60" w:line="240" w:lineRule="auto"/>
        <w:rPr>
          <w:i/>
          <w:color w:val="215868" w:themeColor="accent5" w:themeShade="80"/>
        </w:rPr>
      </w:pPr>
      <w:r w:rsidRPr="0029055C">
        <w:rPr>
          <w:i/>
          <w:color w:val="215868" w:themeColor="accent5" w:themeShade="80"/>
        </w:rPr>
        <w:t>Πηγή: ΟΠΣ 01.06.2018</w:t>
      </w:r>
    </w:p>
    <w:p w14:paraId="75DDB522" w14:textId="77777777" w:rsidR="001E14FB" w:rsidRPr="0029055C" w:rsidRDefault="001E14FB" w:rsidP="001E14FB">
      <w:pPr>
        <w:tabs>
          <w:tab w:val="left" w:pos="252"/>
        </w:tabs>
        <w:ind w:left="266" w:hanging="266"/>
        <w:rPr>
          <w:i/>
        </w:rPr>
      </w:pPr>
      <w:r w:rsidRPr="0029055C">
        <w:rPr>
          <w:i/>
        </w:rPr>
        <w:t xml:space="preserve">* </w:t>
      </w:r>
      <w:r w:rsidRPr="0029055C">
        <w:rPr>
          <w:i/>
        </w:rPr>
        <w:tab/>
        <w:t xml:space="preserve">Ο αριθμός των προσκλήσεων ανά Ειδικό Στόχο και Κατηγορία Δράσης δεν αντιστοιχεί σε μοναδικό αριθμό δεδομένου ότι μία πρόσκληση μπορεί να αφορά σε περισσότερους από έναν Ειδικό Στόχο και σε περισσότερες από μία Κατηγορίες Δράσης. Το σύνολο των προσκλήσεων για το Θεματικό Άξονα </w:t>
      </w:r>
      <w:r w:rsidR="001B3747" w:rsidRPr="0029055C">
        <w:rPr>
          <w:i/>
        </w:rPr>
        <w:t>ΙΙΙ</w:t>
      </w:r>
      <w:r w:rsidRPr="0029055C">
        <w:rPr>
          <w:i/>
        </w:rPr>
        <w:t xml:space="preserve"> αντιστοιχεί σε μοναδικό αριθμό και δεν προκύπτει από τα επιμέρους αθροίσματα.</w:t>
      </w:r>
    </w:p>
    <w:p w14:paraId="557AC0D4" w14:textId="77777777" w:rsidR="001E14FB" w:rsidRPr="0029055C" w:rsidRDefault="001E14FB" w:rsidP="001E14FB">
      <w:pPr>
        <w:tabs>
          <w:tab w:val="left" w:pos="252"/>
        </w:tabs>
        <w:ind w:left="266" w:hanging="266"/>
        <w:rPr>
          <w:i/>
        </w:rPr>
      </w:pPr>
      <w:r w:rsidRPr="0029055C">
        <w:rPr>
          <w:i/>
        </w:rPr>
        <w:t xml:space="preserve">** Ο αριθμός των ενταγμένων έργων ανά Ειδικό Στόχο και Κατηγορία Δράσης δεν αντιστοιχεί σε μοναδικό αριθμό, δεδομένου ότι ένα έργο μπορεί να εντάσσεται σε περισσότερες από μία Κατηγορίες Δράσης. Το σύνολο των ενταγμένων έργων για το Θεματικό Άξονα </w:t>
      </w:r>
      <w:r w:rsidR="001B3747" w:rsidRPr="0029055C">
        <w:rPr>
          <w:i/>
        </w:rPr>
        <w:t>ΙΙΙ</w:t>
      </w:r>
      <w:r w:rsidRPr="0029055C">
        <w:rPr>
          <w:i/>
        </w:rPr>
        <w:t xml:space="preserve"> αντιστοιχεί σε μοναδικό αριθμό και δεν προκύπτει από τα επιμέρους αθροίσματα.</w:t>
      </w:r>
    </w:p>
    <w:p w14:paraId="61445902" w14:textId="77777777" w:rsidR="001E14FB" w:rsidRPr="0029055C" w:rsidRDefault="001E14FB" w:rsidP="001E14FB"/>
    <w:p w14:paraId="16179352" w14:textId="77777777" w:rsidR="001E14FB" w:rsidRPr="0029055C" w:rsidRDefault="001E14FB" w:rsidP="001E14FB">
      <w:pPr>
        <w:sectPr w:rsidR="001E14FB" w:rsidRPr="0029055C" w:rsidSect="00037A41">
          <w:headerReference w:type="default" r:id="rId33"/>
          <w:footerReference w:type="default" r:id="rId34"/>
          <w:pgSz w:w="16838" w:h="11906" w:orient="landscape" w:code="9"/>
          <w:pgMar w:top="1814" w:right="1418" w:bottom="1134" w:left="1418" w:header="567" w:footer="284" w:gutter="0"/>
          <w:cols w:space="708"/>
          <w:docGrid w:linePitch="360"/>
        </w:sectPr>
      </w:pPr>
    </w:p>
    <w:p w14:paraId="217B725A" w14:textId="77777777" w:rsidR="001E14FB" w:rsidRPr="0029055C" w:rsidRDefault="001E14FB" w:rsidP="001E14FB">
      <w:pPr>
        <w:spacing w:line="300" w:lineRule="atLeast"/>
        <w:rPr>
          <w:sz w:val="22"/>
        </w:rPr>
      </w:pPr>
      <w:r w:rsidRPr="0029055C">
        <w:rPr>
          <w:sz w:val="22"/>
        </w:rPr>
        <w:lastRenderedPageBreak/>
        <w:t xml:space="preserve">Στο Θεματικό Άξονα </w:t>
      </w:r>
      <w:r w:rsidR="001B3747" w:rsidRPr="0029055C">
        <w:rPr>
          <w:sz w:val="22"/>
        </w:rPr>
        <w:t>ΙΙΙ</w:t>
      </w:r>
      <w:r w:rsidRPr="0029055C">
        <w:rPr>
          <w:sz w:val="22"/>
        </w:rPr>
        <w:t xml:space="preserve"> του ΕΠ ΜΔΤ (Άξονες Προτεραιότητας </w:t>
      </w:r>
      <w:r w:rsidR="00D84E46" w:rsidRPr="0029055C">
        <w:rPr>
          <w:sz w:val="22"/>
        </w:rPr>
        <w:t>7</w:t>
      </w:r>
      <w:r w:rsidRPr="0029055C">
        <w:rPr>
          <w:sz w:val="22"/>
        </w:rPr>
        <w:t>,</w:t>
      </w:r>
      <w:r w:rsidR="00D84E46" w:rsidRPr="0029055C">
        <w:rPr>
          <w:sz w:val="22"/>
        </w:rPr>
        <w:t>8</w:t>
      </w:r>
      <w:r w:rsidRPr="0029055C">
        <w:rPr>
          <w:sz w:val="22"/>
        </w:rPr>
        <w:t>,</w:t>
      </w:r>
      <w:r w:rsidR="00D84E46" w:rsidRPr="0029055C">
        <w:rPr>
          <w:sz w:val="22"/>
        </w:rPr>
        <w:t>9</w:t>
      </w:r>
      <w:r w:rsidRPr="0029055C">
        <w:rPr>
          <w:sz w:val="22"/>
        </w:rPr>
        <w:t xml:space="preserve">) έχουν </w:t>
      </w:r>
      <w:r w:rsidRPr="0029055C">
        <w:rPr>
          <w:b/>
          <w:sz w:val="22"/>
        </w:rPr>
        <w:t>ενταχθεί</w:t>
      </w:r>
      <w:r w:rsidRPr="0029055C">
        <w:rPr>
          <w:sz w:val="22"/>
        </w:rPr>
        <w:t xml:space="preserve"> </w:t>
      </w:r>
      <w:r w:rsidR="00D84E46" w:rsidRPr="0029055C">
        <w:rPr>
          <w:b/>
          <w:sz w:val="22"/>
        </w:rPr>
        <w:t>8</w:t>
      </w:r>
      <w:r w:rsidRPr="0029055C">
        <w:rPr>
          <w:b/>
          <w:sz w:val="22"/>
        </w:rPr>
        <w:t xml:space="preserve"> έργα</w:t>
      </w:r>
      <w:r w:rsidR="00D84E46" w:rsidRPr="0029055C">
        <w:rPr>
          <w:sz w:val="22"/>
        </w:rPr>
        <w:t xml:space="preserve"> συνολικού προϋπολογισμού 8</w:t>
      </w:r>
      <w:r w:rsidRPr="0029055C">
        <w:rPr>
          <w:sz w:val="22"/>
        </w:rPr>
        <w:t>0,</w:t>
      </w:r>
      <w:r w:rsidR="00D84E46" w:rsidRPr="0029055C">
        <w:rPr>
          <w:sz w:val="22"/>
        </w:rPr>
        <w:t>67</w:t>
      </w:r>
      <w:r w:rsidRPr="0029055C">
        <w:rPr>
          <w:sz w:val="22"/>
        </w:rPr>
        <w:t xml:space="preserve"> εκ. € (</w:t>
      </w:r>
      <w:r w:rsidR="00D84E46" w:rsidRPr="0029055C">
        <w:rPr>
          <w:b/>
          <w:sz w:val="22"/>
        </w:rPr>
        <w:t>70</w:t>
      </w:r>
      <w:r w:rsidRPr="0029055C">
        <w:rPr>
          <w:b/>
          <w:sz w:val="22"/>
        </w:rPr>
        <w:t>,</w:t>
      </w:r>
      <w:r w:rsidR="00D84E46" w:rsidRPr="0029055C">
        <w:rPr>
          <w:b/>
          <w:sz w:val="22"/>
        </w:rPr>
        <w:t>55</w:t>
      </w:r>
      <w:r w:rsidRPr="0029055C">
        <w:rPr>
          <w:b/>
          <w:sz w:val="22"/>
        </w:rPr>
        <w:t>%</w:t>
      </w:r>
      <w:r w:rsidRPr="0029055C">
        <w:rPr>
          <w:sz w:val="22"/>
        </w:rPr>
        <w:t xml:space="preserve"> του διαθέσιμου π/υ του Θεματικού Άξονα). Έχουν αναληφθεί </w:t>
      </w:r>
      <w:r w:rsidRPr="0029055C">
        <w:rPr>
          <w:b/>
          <w:sz w:val="22"/>
        </w:rPr>
        <w:t>νομικές δεσμεύσεις</w:t>
      </w:r>
      <w:r w:rsidRPr="0029055C">
        <w:rPr>
          <w:sz w:val="22"/>
        </w:rPr>
        <w:t xml:space="preserve"> ύψους 6</w:t>
      </w:r>
      <w:r w:rsidR="00817EFC" w:rsidRPr="0029055C">
        <w:rPr>
          <w:sz w:val="22"/>
        </w:rPr>
        <w:t>1 εκ. €, ήτοι το 53,35</w:t>
      </w:r>
      <w:r w:rsidRPr="0029055C">
        <w:rPr>
          <w:sz w:val="22"/>
        </w:rPr>
        <w:t>% το</w:t>
      </w:r>
      <w:r w:rsidR="00817EFC" w:rsidRPr="0029055C">
        <w:rPr>
          <w:sz w:val="22"/>
        </w:rPr>
        <w:t>υ διαθέσιμου π/υ του ΘΑ και το 75,62</w:t>
      </w:r>
      <w:r w:rsidRPr="0029055C">
        <w:rPr>
          <w:sz w:val="22"/>
        </w:rPr>
        <w:t xml:space="preserve">% του προϋπολογισμού των ενταγμένων έργων. Οι </w:t>
      </w:r>
      <w:r w:rsidRPr="0029055C">
        <w:rPr>
          <w:b/>
          <w:sz w:val="22"/>
        </w:rPr>
        <w:t>πιστοποιημένες δαπάνες</w:t>
      </w:r>
      <w:r w:rsidRPr="0029055C">
        <w:rPr>
          <w:sz w:val="22"/>
        </w:rPr>
        <w:t xml:space="preserve"> ανέρχονται σε </w:t>
      </w:r>
      <w:r w:rsidR="00817EFC" w:rsidRPr="0029055C">
        <w:rPr>
          <w:sz w:val="22"/>
        </w:rPr>
        <w:t>41</w:t>
      </w:r>
      <w:r w:rsidRPr="0029055C">
        <w:rPr>
          <w:sz w:val="22"/>
        </w:rPr>
        <w:t>,</w:t>
      </w:r>
      <w:r w:rsidR="00817EFC" w:rsidRPr="0029055C">
        <w:rPr>
          <w:sz w:val="22"/>
        </w:rPr>
        <w:t>15</w:t>
      </w:r>
      <w:r w:rsidRPr="0029055C">
        <w:rPr>
          <w:sz w:val="22"/>
        </w:rPr>
        <w:t xml:space="preserve"> εκ. €, αντιπροσωπεύοντας το 3</w:t>
      </w:r>
      <w:r w:rsidR="00817EFC" w:rsidRPr="0029055C">
        <w:rPr>
          <w:sz w:val="22"/>
        </w:rPr>
        <w:t>5,99</w:t>
      </w:r>
      <w:r w:rsidRPr="0029055C">
        <w:rPr>
          <w:sz w:val="22"/>
        </w:rPr>
        <w:t xml:space="preserve">% του προϋπολογισμού του Θεματικού Άξονα, το </w:t>
      </w:r>
      <w:r w:rsidR="00817EFC" w:rsidRPr="0029055C">
        <w:rPr>
          <w:sz w:val="22"/>
        </w:rPr>
        <w:t>51</w:t>
      </w:r>
      <w:r w:rsidRPr="0029055C">
        <w:rPr>
          <w:sz w:val="22"/>
        </w:rPr>
        <w:t xml:space="preserve">% του προϋπολογισμού των ενταγμένων έργων και το </w:t>
      </w:r>
      <w:r w:rsidR="00817EFC" w:rsidRPr="0029055C">
        <w:rPr>
          <w:sz w:val="22"/>
        </w:rPr>
        <w:t>67</w:t>
      </w:r>
      <w:r w:rsidRPr="0029055C">
        <w:rPr>
          <w:sz w:val="22"/>
        </w:rPr>
        <w:t>,</w:t>
      </w:r>
      <w:r w:rsidR="00817EFC" w:rsidRPr="0029055C">
        <w:rPr>
          <w:sz w:val="22"/>
        </w:rPr>
        <w:t>45</w:t>
      </w:r>
      <w:r w:rsidRPr="0029055C">
        <w:rPr>
          <w:sz w:val="22"/>
        </w:rPr>
        <w:t>% των νομικών δεσμεύσεων.</w:t>
      </w:r>
    </w:p>
    <w:p w14:paraId="17DEBE11" w14:textId="77777777" w:rsidR="001E14FB" w:rsidRPr="0029055C" w:rsidRDefault="001E14FB" w:rsidP="001E14FB">
      <w:pPr>
        <w:spacing w:line="300" w:lineRule="atLeast"/>
        <w:rPr>
          <w:sz w:val="22"/>
        </w:rPr>
      </w:pPr>
      <w:r w:rsidRPr="0029055C">
        <w:rPr>
          <w:sz w:val="22"/>
        </w:rPr>
        <w:t>Η πρόοδος του φυσικού αντικειμένου του Θ</w:t>
      </w:r>
      <w:r w:rsidR="00817EFC" w:rsidRPr="0029055C">
        <w:rPr>
          <w:sz w:val="22"/>
        </w:rPr>
        <w:t>εματικού Άξονα</w:t>
      </w:r>
      <w:r w:rsidRPr="0029055C">
        <w:rPr>
          <w:sz w:val="22"/>
        </w:rPr>
        <w:t xml:space="preserve"> </w:t>
      </w:r>
      <w:r w:rsidR="001B3747" w:rsidRPr="0029055C">
        <w:rPr>
          <w:sz w:val="22"/>
        </w:rPr>
        <w:t>ΙΙΙ</w:t>
      </w:r>
      <w:r w:rsidRPr="0029055C">
        <w:rPr>
          <w:sz w:val="22"/>
        </w:rPr>
        <w:t xml:space="preserve">, όπως αυτή αποτυπώνεται μέσω της προόδου των δεικτών </w:t>
      </w:r>
      <w:r w:rsidR="00FC1AA4" w:rsidRPr="0029055C">
        <w:rPr>
          <w:sz w:val="22"/>
        </w:rPr>
        <w:t xml:space="preserve">εκροής </w:t>
      </w:r>
      <w:r w:rsidRPr="0029055C">
        <w:rPr>
          <w:sz w:val="22"/>
        </w:rPr>
        <w:t>του, παρατίθεται στο</w:t>
      </w:r>
      <w:r w:rsidR="00FC1AA4" w:rsidRPr="0029055C">
        <w:rPr>
          <w:sz w:val="22"/>
        </w:rPr>
        <w:t>ν</w:t>
      </w:r>
      <w:r w:rsidRPr="0029055C">
        <w:rPr>
          <w:sz w:val="22"/>
        </w:rPr>
        <w:t xml:space="preserve"> Πίνακ</w:t>
      </w:r>
      <w:r w:rsidR="00FC1AA4" w:rsidRPr="0029055C">
        <w:rPr>
          <w:sz w:val="22"/>
        </w:rPr>
        <w:t>α</w:t>
      </w:r>
      <w:r w:rsidRPr="0029055C">
        <w:rPr>
          <w:sz w:val="22"/>
        </w:rPr>
        <w:t xml:space="preserve"> που ακολουθ</w:t>
      </w:r>
      <w:r w:rsidR="00FC1AA4" w:rsidRPr="0029055C">
        <w:rPr>
          <w:sz w:val="22"/>
        </w:rPr>
        <w:t>εί</w:t>
      </w:r>
      <w:r w:rsidRPr="0029055C">
        <w:rPr>
          <w:sz w:val="22"/>
        </w:rPr>
        <w:t xml:space="preserve">. Οι επισημασμένοι με </w:t>
      </w:r>
      <w:r w:rsidR="009E511A" w:rsidRPr="0029055C">
        <w:rPr>
          <w:sz w:val="22"/>
        </w:rPr>
        <w:t xml:space="preserve">σκίαση </w:t>
      </w:r>
      <w:r w:rsidRPr="0029055C">
        <w:rPr>
          <w:sz w:val="22"/>
        </w:rPr>
        <w:t xml:space="preserve">δείκτες αποτελούν </w:t>
      </w:r>
      <w:r w:rsidRPr="0029055C">
        <w:rPr>
          <w:b/>
          <w:sz w:val="22"/>
        </w:rPr>
        <w:t xml:space="preserve">δείκτες του Πλαισίου Επιδόσεων </w:t>
      </w:r>
      <w:r w:rsidRPr="0029055C">
        <w:rPr>
          <w:sz w:val="22"/>
        </w:rPr>
        <w:t>του ΕΠ.</w:t>
      </w:r>
    </w:p>
    <w:p w14:paraId="572E3DB5" w14:textId="77777777" w:rsidR="001E14FB" w:rsidRPr="0029055C" w:rsidRDefault="001E14FB" w:rsidP="001E14FB">
      <w:pPr>
        <w:pStyle w:val="Caption"/>
        <w:spacing w:before="240" w:after="120" w:line="280" w:lineRule="atLeast"/>
        <w:rPr>
          <w:b w:val="0"/>
          <w:sz w:val="22"/>
          <w:szCs w:val="22"/>
        </w:rPr>
      </w:pPr>
      <w:r w:rsidRPr="0029055C">
        <w:rPr>
          <w:sz w:val="22"/>
          <w:szCs w:val="22"/>
        </w:rPr>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21</w:t>
      </w:r>
      <w:r w:rsidRPr="0029055C">
        <w:rPr>
          <w:sz w:val="22"/>
          <w:szCs w:val="22"/>
        </w:rPr>
        <w:fldChar w:fldCharType="end"/>
      </w:r>
      <w:r w:rsidRPr="0029055C">
        <w:rPr>
          <w:b w:val="0"/>
          <w:sz w:val="22"/>
          <w:szCs w:val="22"/>
        </w:rPr>
        <w:t xml:space="preserve">. Πρόοδος φυσικού αντικειμένου του Θεματικού Άξονα </w:t>
      </w:r>
      <w:r w:rsidR="001B3747" w:rsidRPr="0029055C">
        <w:rPr>
          <w:b w:val="0"/>
          <w:sz w:val="22"/>
          <w:szCs w:val="22"/>
        </w:rPr>
        <w:t>ΙΙΙ</w:t>
      </w:r>
      <w:r w:rsidRPr="0029055C">
        <w:rPr>
          <w:b w:val="0"/>
          <w:sz w:val="22"/>
          <w:szCs w:val="22"/>
        </w:rPr>
        <w:t xml:space="preserve"> </w:t>
      </w:r>
      <w:r w:rsidR="00FC1AA4" w:rsidRPr="0029055C">
        <w:rPr>
          <w:b w:val="0"/>
          <w:sz w:val="22"/>
          <w:szCs w:val="22"/>
        </w:rPr>
        <w:t>– Δείκτες Εκροής</w:t>
      </w:r>
    </w:p>
    <w:tbl>
      <w:tblPr>
        <w:tblStyle w:val="GridTable6Colorful-Accent5"/>
        <w:tblW w:w="5000" w:type="pct"/>
        <w:tblLayout w:type="fixed"/>
        <w:tblCellMar>
          <w:left w:w="28" w:type="dxa"/>
          <w:right w:w="28" w:type="dxa"/>
        </w:tblCellMar>
        <w:tblLook w:val="06A0" w:firstRow="1" w:lastRow="0" w:firstColumn="1" w:lastColumn="0" w:noHBand="1" w:noVBand="1"/>
      </w:tblPr>
      <w:tblGrid>
        <w:gridCol w:w="3014"/>
        <w:gridCol w:w="1008"/>
        <w:gridCol w:w="1008"/>
        <w:gridCol w:w="1007"/>
        <w:gridCol w:w="1007"/>
        <w:gridCol w:w="1007"/>
        <w:gridCol w:w="1009"/>
      </w:tblGrid>
      <w:tr w:rsidR="00FC1AA4" w:rsidRPr="0029055C" w14:paraId="268153E2" w14:textId="77777777" w:rsidTr="00B44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noWrap/>
            <w:vAlign w:val="center"/>
            <w:hideMark/>
          </w:tcPr>
          <w:p w14:paraId="2402370D" w14:textId="77777777" w:rsidR="00FC1AA4" w:rsidRPr="0029055C" w:rsidRDefault="00FC1AA4" w:rsidP="00FC1AA4">
            <w:pPr>
              <w:spacing w:before="40" w:after="40" w:line="240" w:lineRule="auto"/>
              <w:jc w:val="center"/>
              <w:rPr>
                <w:rFonts w:asciiTheme="minorHAnsi" w:hAnsiTheme="minorHAnsi" w:cstheme="minorHAnsi"/>
                <w:sz w:val="18"/>
                <w:szCs w:val="20"/>
              </w:rPr>
            </w:pPr>
            <w:r w:rsidRPr="0029055C">
              <w:rPr>
                <w:rFonts w:asciiTheme="minorHAnsi" w:hAnsiTheme="minorHAnsi" w:cstheme="minorHAnsi"/>
                <w:sz w:val="18"/>
                <w:szCs w:val="20"/>
              </w:rPr>
              <w:t>Δείκτης</w:t>
            </w:r>
          </w:p>
        </w:tc>
        <w:tc>
          <w:tcPr>
            <w:tcW w:w="556" w:type="pct"/>
            <w:noWrap/>
            <w:vAlign w:val="center"/>
            <w:hideMark/>
          </w:tcPr>
          <w:p w14:paraId="0406AF97" w14:textId="77777777" w:rsidR="00FC1AA4" w:rsidRPr="0029055C" w:rsidRDefault="00FC1AA4" w:rsidP="00FC1AA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2018</w:t>
            </w:r>
            <w:r w:rsidRPr="0029055C">
              <w:rPr>
                <w:rStyle w:val="FootnoteReference"/>
                <w:rFonts w:asciiTheme="minorHAnsi" w:hAnsiTheme="minorHAnsi" w:cstheme="minorHAnsi"/>
                <w:sz w:val="18"/>
                <w:szCs w:val="20"/>
              </w:rPr>
              <w:footnoteReference w:id="12"/>
            </w:r>
          </w:p>
        </w:tc>
        <w:tc>
          <w:tcPr>
            <w:tcW w:w="556" w:type="pct"/>
            <w:noWrap/>
            <w:vAlign w:val="center"/>
            <w:hideMark/>
          </w:tcPr>
          <w:p w14:paraId="0F8ADA5F" w14:textId="77777777" w:rsidR="00FC1AA4" w:rsidRPr="0029055C" w:rsidRDefault="00FC1AA4" w:rsidP="00FC1AA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2023</w:t>
            </w:r>
          </w:p>
        </w:tc>
        <w:tc>
          <w:tcPr>
            <w:tcW w:w="556" w:type="pct"/>
            <w:noWrap/>
            <w:vAlign w:val="center"/>
            <w:hideMark/>
          </w:tcPr>
          <w:p w14:paraId="5CE82FEC" w14:textId="77777777" w:rsidR="00FC1AA4" w:rsidRPr="0029055C" w:rsidRDefault="00FC1AA4" w:rsidP="00FC1AA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Ενταγμένων Πράξεων</w:t>
            </w:r>
          </w:p>
        </w:tc>
        <w:tc>
          <w:tcPr>
            <w:tcW w:w="556" w:type="pct"/>
            <w:vAlign w:val="center"/>
          </w:tcPr>
          <w:p w14:paraId="52836087" w14:textId="77777777" w:rsidR="00FC1AA4" w:rsidRPr="0029055C" w:rsidRDefault="00FC1AA4" w:rsidP="00FC1AA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Επίτευξη 31.12.17</w:t>
            </w:r>
          </w:p>
        </w:tc>
        <w:tc>
          <w:tcPr>
            <w:tcW w:w="556" w:type="pct"/>
            <w:vAlign w:val="center"/>
          </w:tcPr>
          <w:p w14:paraId="151AF52F" w14:textId="77777777" w:rsidR="00FC1AA4" w:rsidRPr="0029055C" w:rsidRDefault="00FC1AA4" w:rsidP="00FC1AA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Εκτίμηση Επίτευξης 31.12.18</w:t>
            </w:r>
          </w:p>
        </w:tc>
        <w:tc>
          <w:tcPr>
            <w:tcW w:w="557" w:type="pct"/>
            <w:vAlign w:val="center"/>
          </w:tcPr>
          <w:p w14:paraId="463CD342" w14:textId="77777777" w:rsidR="00FC1AA4" w:rsidRPr="0029055C" w:rsidRDefault="00FC1AA4" w:rsidP="00FC1AA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Εκτίμηση Επίτευξης 31.12.23</w:t>
            </w:r>
          </w:p>
        </w:tc>
      </w:tr>
      <w:tr w:rsidR="00FC1AA4" w:rsidRPr="0029055C" w14:paraId="2C21A58F" w14:textId="77777777" w:rsidTr="00B44C7E">
        <w:tc>
          <w:tcPr>
            <w:cnfStyle w:val="001000000000" w:firstRow="0" w:lastRow="0" w:firstColumn="1" w:lastColumn="0" w:oddVBand="0" w:evenVBand="0" w:oddHBand="0" w:evenHBand="0" w:firstRowFirstColumn="0" w:firstRowLastColumn="0" w:lastRowFirstColumn="0" w:lastRowLastColumn="0"/>
            <w:tcW w:w="1663" w:type="pct"/>
            <w:noWrap/>
          </w:tcPr>
          <w:p w14:paraId="4A7BD4D3" w14:textId="77777777" w:rsidR="00FC1AA4" w:rsidRPr="0029055C" w:rsidRDefault="00FC1AA4" w:rsidP="0008551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T4633. </w:t>
            </w:r>
            <w:r w:rsidRPr="0029055C">
              <w:rPr>
                <w:rFonts w:asciiTheme="minorHAnsi" w:hAnsiTheme="minorHAnsi" w:cstheme="minorHAnsi"/>
                <w:b w:val="0"/>
                <w:sz w:val="18"/>
                <w:szCs w:val="20"/>
              </w:rPr>
              <w:t>Αριθμός έργων δημιουργίας και εφαρμογής ενιαίου συστήματος της ψηφιακής διαχείρισης ανθρώπινου δυναμικού της δημόσιας διοίκησης</w:t>
            </w:r>
          </w:p>
        </w:tc>
        <w:tc>
          <w:tcPr>
            <w:tcW w:w="556" w:type="pct"/>
            <w:noWrap/>
            <w:vAlign w:val="center"/>
          </w:tcPr>
          <w:p w14:paraId="0BA086AF"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p>
        </w:tc>
        <w:tc>
          <w:tcPr>
            <w:tcW w:w="556" w:type="pct"/>
            <w:noWrap/>
            <w:vAlign w:val="center"/>
          </w:tcPr>
          <w:p w14:paraId="285BADDC"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w:t>
            </w:r>
          </w:p>
        </w:tc>
        <w:tc>
          <w:tcPr>
            <w:tcW w:w="556" w:type="pct"/>
            <w:noWrap/>
            <w:vAlign w:val="center"/>
          </w:tcPr>
          <w:p w14:paraId="602992EF"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56" w:type="pct"/>
            <w:vAlign w:val="center"/>
          </w:tcPr>
          <w:p w14:paraId="35F6B5A3"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56" w:type="pct"/>
            <w:vAlign w:val="center"/>
          </w:tcPr>
          <w:p w14:paraId="54A30DBF"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p>
        </w:tc>
        <w:tc>
          <w:tcPr>
            <w:tcW w:w="557" w:type="pct"/>
            <w:vAlign w:val="center"/>
          </w:tcPr>
          <w:p w14:paraId="0E5348EF"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w:t>
            </w:r>
          </w:p>
        </w:tc>
      </w:tr>
      <w:tr w:rsidR="00FC1AA4" w:rsidRPr="0029055C" w14:paraId="45019F53" w14:textId="77777777" w:rsidTr="00B44C7E">
        <w:tc>
          <w:tcPr>
            <w:cnfStyle w:val="001000000000" w:firstRow="0" w:lastRow="0" w:firstColumn="1" w:lastColumn="0" w:oddVBand="0" w:evenVBand="0" w:oddHBand="0" w:evenHBand="0" w:firstRowFirstColumn="0" w:firstRowLastColumn="0" w:lastRowFirstColumn="0" w:lastRowLastColumn="0"/>
            <w:tcW w:w="1663" w:type="pct"/>
            <w:shd w:val="clear" w:color="auto" w:fill="DAEEF3" w:themeFill="accent5" w:themeFillTint="33"/>
            <w:noWrap/>
          </w:tcPr>
          <w:p w14:paraId="21D92349" w14:textId="77777777" w:rsidR="00FC1AA4" w:rsidRPr="0029055C" w:rsidRDefault="00FC1AA4" w:rsidP="0008551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T4634. </w:t>
            </w:r>
            <w:r w:rsidRPr="0029055C">
              <w:rPr>
                <w:rFonts w:asciiTheme="minorHAnsi" w:hAnsiTheme="minorHAnsi" w:cstheme="minorHAnsi"/>
                <w:b w:val="0"/>
                <w:sz w:val="18"/>
                <w:szCs w:val="20"/>
              </w:rPr>
              <w:t>Αριθμός μελετών για τη βελτίωση των πολιτικών ανθρωπίνου δυναμικού του δημόσιου τομέα</w:t>
            </w:r>
          </w:p>
        </w:tc>
        <w:tc>
          <w:tcPr>
            <w:tcW w:w="556" w:type="pct"/>
            <w:shd w:val="clear" w:color="auto" w:fill="DAEEF3" w:themeFill="accent5" w:themeFillTint="33"/>
            <w:noWrap/>
            <w:vAlign w:val="center"/>
          </w:tcPr>
          <w:p w14:paraId="222B742C"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3</w:t>
            </w:r>
          </w:p>
        </w:tc>
        <w:tc>
          <w:tcPr>
            <w:tcW w:w="556" w:type="pct"/>
            <w:shd w:val="clear" w:color="auto" w:fill="DAEEF3" w:themeFill="accent5" w:themeFillTint="33"/>
            <w:noWrap/>
            <w:vAlign w:val="center"/>
          </w:tcPr>
          <w:p w14:paraId="78148EDA"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5</w:t>
            </w:r>
          </w:p>
        </w:tc>
        <w:tc>
          <w:tcPr>
            <w:tcW w:w="556" w:type="pct"/>
            <w:shd w:val="clear" w:color="auto" w:fill="DAEEF3" w:themeFill="accent5" w:themeFillTint="33"/>
            <w:noWrap/>
            <w:vAlign w:val="center"/>
          </w:tcPr>
          <w:p w14:paraId="47B93D5A"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56" w:type="pct"/>
            <w:shd w:val="clear" w:color="auto" w:fill="DAEEF3" w:themeFill="accent5" w:themeFillTint="33"/>
            <w:vAlign w:val="center"/>
          </w:tcPr>
          <w:p w14:paraId="28737EC9"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56" w:type="pct"/>
            <w:shd w:val="clear" w:color="auto" w:fill="DAEEF3" w:themeFill="accent5" w:themeFillTint="33"/>
            <w:vAlign w:val="center"/>
          </w:tcPr>
          <w:p w14:paraId="71D3BDBB"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557" w:type="pct"/>
            <w:shd w:val="clear" w:color="auto" w:fill="DAEEF3" w:themeFill="accent5" w:themeFillTint="33"/>
            <w:vAlign w:val="center"/>
          </w:tcPr>
          <w:p w14:paraId="6322B188"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r>
      <w:tr w:rsidR="00FC1AA4" w:rsidRPr="0029055C" w14:paraId="6DA215C6" w14:textId="77777777" w:rsidTr="00B44C7E">
        <w:tc>
          <w:tcPr>
            <w:cnfStyle w:val="001000000000" w:firstRow="0" w:lastRow="0" w:firstColumn="1" w:lastColumn="0" w:oddVBand="0" w:evenVBand="0" w:oddHBand="0" w:evenHBand="0" w:firstRowFirstColumn="0" w:firstRowLastColumn="0" w:lastRowFirstColumn="0" w:lastRowLastColumn="0"/>
            <w:tcW w:w="1663" w:type="pct"/>
            <w:shd w:val="clear" w:color="auto" w:fill="DAEEF3" w:themeFill="accent5" w:themeFillTint="33"/>
            <w:noWrap/>
          </w:tcPr>
          <w:p w14:paraId="6A4A02B9" w14:textId="77777777" w:rsidR="00FC1AA4" w:rsidRPr="0029055C" w:rsidRDefault="00FC1AA4" w:rsidP="00085515">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T4635. </w:t>
            </w:r>
            <w:r w:rsidRPr="0029055C">
              <w:rPr>
                <w:rFonts w:asciiTheme="minorHAnsi" w:hAnsiTheme="minorHAnsi" w:cstheme="minorHAnsi"/>
                <w:b w:val="0"/>
                <w:sz w:val="18"/>
                <w:szCs w:val="20"/>
              </w:rPr>
              <w:t>Αριθμός δημοσίων υπαλλήλων που συμμετέχουν σε προγράμματα κατάρτισης για την ανάπτυξη δεξιοτήτων/διοικητικών ικανοτήτων</w:t>
            </w:r>
          </w:p>
        </w:tc>
        <w:tc>
          <w:tcPr>
            <w:tcW w:w="556" w:type="pct"/>
            <w:shd w:val="clear" w:color="auto" w:fill="DAEEF3" w:themeFill="accent5" w:themeFillTint="33"/>
            <w:noWrap/>
            <w:vAlign w:val="center"/>
          </w:tcPr>
          <w:p w14:paraId="34576FAA"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70.000</w:t>
            </w:r>
          </w:p>
        </w:tc>
        <w:tc>
          <w:tcPr>
            <w:tcW w:w="556" w:type="pct"/>
            <w:shd w:val="clear" w:color="auto" w:fill="DAEEF3" w:themeFill="accent5" w:themeFillTint="33"/>
            <w:noWrap/>
            <w:vAlign w:val="center"/>
          </w:tcPr>
          <w:p w14:paraId="19639B49"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140.000</w:t>
            </w:r>
          </w:p>
        </w:tc>
        <w:tc>
          <w:tcPr>
            <w:tcW w:w="556" w:type="pct"/>
            <w:shd w:val="clear" w:color="auto" w:fill="DAEEF3" w:themeFill="accent5" w:themeFillTint="33"/>
            <w:noWrap/>
            <w:vAlign w:val="center"/>
          </w:tcPr>
          <w:p w14:paraId="1D4900C9"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197.311</w:t>
            </w:r>
          </w:p>
        </w:tc>
        <w:tc>
          <w:tcPr>
            <w:tcW w:w="556" w:type="pct"/>
            <w:shd w:val="clear" w:color="auto" w:fill="DAEEF3" w:themeFill="accent5" w:themeFillTint="33"/>
            <w:vAlign w:val="center"/>
          </w:tcPr>
          <w:p w14:paraId="14AFDA84"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143.549</w:t>
            </w:r>
          </w:p>
        </w:tc>
        <w:tc>
          <w:tcPr>
            <w:tcW w:w="556" w:type="pct"/>
            <w:shd w:val="clear" w:color="auto" w:fill="DAEEF3" w:themeFill="accent5" w:themeFillTint="33"/>
            <w:vAlign w:val="center"/>
          </w:tcPr>
          <w:p w14:paraId="395EB5F9"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150.000</w:t>
            </w:r>
          </w:p>
        </w:tc>
        <w:tc>
          <w:tcPr>
            <w:tcW w:w="557" w:type="pct"/>
            <w:shd w:val="clear" w:color="auto" w:fill="DAEEF3" w:themeFill="accent5" w:themeFillTint="33"/>
            <w:vAlign w:val="center"/>
          </w:tcPr>
          <w:p w14:paraId="0177D7E5"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300.000</w:t>
            </w:r>
          </w:p>
        </w:tc>
      </w:tr>
      <w:tr w:rsidR="00FC1AA4" w:rsidRPr="0029055C" w14:paraId="26275459" w14:textId="77777777" w:rsidTr="00B44C7E">
        <w:tc>
          <w:tcPr>
            <w:cnfStyle w:val="001000000000" w:firstRow="0" w:lastRow="0" w:firstColumn="1" w:lastColumn="0" w:oddVBand="0" w:evenVBand="0" w:oddHBand="0" w:evenHBand="0" w:firstRowFirstColumn="0" w:firstRowLastColumn="0" w:lastRowFirstColumn="0" w:lastRowLastColumn="0"/>
            <w:tcW w:w="1663" w:type="pct"/>
            <w:noWrap/>
          </w:tcPr>
          <w:p w14:paraId="7E2A45DD" w14:textId="77777777" w:rsidR="00FC1AA4" w:rsidRPr="0029055C" w:rsidRDefault="00FC1AA4" w:rsidP="006F40DF">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T4636. </w:t>
            </w:r>
            <w:r w:rsidRPr="0029055C">
              <w:rPr>
                <w:rFonts w:asciiTheme="minorHAnsi" w:hAnsiTheme="minorHAnsi" w:cstheme="minorHAnsi"/>
                <w:b w:val="0"/>
                <w:sz w:val="18"/>
                <w:szCs w:val="20"/>
              </w:rPr>
              <w:t>Αριθμός δημοσίων υπαλλήλων που συμμετέχουν σε προγράμματα εξ αποστάσεως εκπαίδευσης</w:t>
            </w:r>
          </w:p>
        </w:tc>
        <w:tc>
          <w:tcPr>
            <w:tcW w:w="556" w:type="pct"/>
            <w:noWrap/>
            <w:vAlign w:val="center"/>
          </w:tcPr>
          <w:p w14:paraId="36C71B1C"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p>
        </w:tc>
        <w:tc>
          <w:tcPr>
            <w:tcW w:w="556" w:type="pct"/>
            <w:noWrap/>
            <w:vAlign w:val="center"/>
          </w:tcPr>
          <w:p w14:paraId="0F67C356"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12.000</w:t>
            </w:r>
          </w:p>
        </w:tc>
        <w:tc>
          <w:tcPr>
            <w:tcW w:w="556" w:type="pct"/>
            <w:noWrap/>
            <w:vAlign w:val="center"/>
          </w:tcPr>
          <w:p w14:paraId="1ABD7CA2"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7.465</w:t>
            </w:r>
          </w:p>
        </w:tc>
        <w:tc>
          <w:tcPr>
            <w:tcW w:w="556" w:type="pct"/>
            <w:vAlign w:val="center"/>
          </w:tcPr>
          <w:p w14:paraId="726303C7"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1.847</w:t>
            </w:r>
          </w:p>
        </w:tc>
        <w:tc>
          <w:tcPr>
            <w:tcW w:w="556" w:type="pct"/>
            <w:vAlign w:val="center"/>
          </w:tcPr>
          <w:p w14:paraId="5B94DA95"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p>
        </w:tc>
        <w:tc>
          <w:tcPr>
            <w:tcW w:w="557" w:type="pct"/>
            <w:vAlign w:val="center"/>
          </w:tcPr>
          <w:p w14:paraId="7892788B"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3.000</w:t>
            </w:r>
          </w:p>
        </w:tc>
      </w:tr>
      <w:tr w:rsidR="00FC1AA4" w:rsidRPr="0029055C" w14:paraId="56989DEB" w14:textId="77777777" w:rsidTr="00B44C7E">
        <w:tc>
          <w:tcPr>
            <w:cnfStyle w:val="001000000000" w:firstRow="0" w:lastRow="0" w:firstColumn="1" w:lastColumn="0" w:oddVBand="0" w:evenVBand="0" w:oddHBand="0" w:evenHBand="0" w:firstRowFirstColumn="0" w:firstRowLastColumn="0" w:lastRowFirstColumn="0" w:lastRowLastColumn="0"/>
            <w:tcW w:w="1663" w:type="pct"/>
            <w:noWrap/>
          </w:tcPr>
          <w:p w14:paraId="4DDBAAE1" w14:textId="77777777" w:rsidR="00FC1AA4" w:rsidRPr="0029055C" w:rsidRDefault="00FC1AA4" w:rsidP="006F40DF">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T4637. </w:t>
            </w:r>
            <w:r w:rsidRPr="0029055C">
              <w:rPr>
                <w:rFonts w:asciiTheme="minorHAnsi" w:hAnsiTheme="minorHAnsi" w:cstheme="minorHAnsi"/>
                <w:b w:val="0"/>
                <w:sz w:val="18"/>
                <w:szCs w:val="20"/>
              </w:rPr>
              <w:t>Αριθμός προγραμμάτων κατάρτισης για μεσαία και υψηλόβαθμα διοικητικά στελέχη της δημόσιας διοίκησης</w:t>
            </w:r>
          </w:p>
        </w:tc>
        <w:tc>
          <w:tcPr>
            <w:tcW w:w="556" w:type="pct"/>
            <w:noWrap/>
            <w:vAlign w:val="center"/>
          </w:tcPr>
          <w:p w14:paraId="7F375DB0"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p>
        </w:tc>
        <w:tc>
          <w:tcPr>
            <w:tcW w:w="556" w:type="pct"/>
            <w:noWrap/>
            <w:vAlign w:val="center"/>
          </w:tcPr>
          <w:p w14:paraId="0A1234FB"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250</w:t>
            </w:r>
          </w:p>
        </w:tc>
        <w:tc>
          <w:tcPr>
            <w:tcW w:w="556" w:type="pct"/>
            <w:noWrap/>
            <w:vAlign w:val="center"/>
          </w:tcPr>
          <w:p w14:paraId="77874763"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109</w:t>
            </w:r>
          </w:p>
        </w:tc>
        <w:tc>
          <w:tcPr>
            <w:tcW w:w="556" w:type="pct"/>
            <w:vAlign w:val="center"/>
          </w:tcPr>
          <w:p w14:paraId="1BCAA8BD"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127</w:t>
            </w:r>
          </w:p>
        </w:tc>
        <w:tc>
          <w:tcPr>
            <w:tcW w:w="556" w:type="pct"/>
            <w:vAlign w:val="center"/>
          </w:tcPr>
          <w:p w14:paraId="48B8133B"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p>
        </w:tc>
        <w:tc>
          <w:tcPr>
            <w:tcW w:w="557" w:type="pct"/>
            <w:vAlign w:val="center"/>
          </w:tcPr>
          <w:p w14:paraId="58C69D97"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250</w:t>
            </w:r>
          </w:p>
        </w:tc>
      </w:tr>
      <w:tr w:rsidR="00FC1AA4" w:rsidRPr="0029055C" w14:paraId="4639A359" w14:textId="77777777" w:rsidTr="00B44C7E">
        <w:tc>
          <w:tcPr>
            <w:cnfStyle w:val="001000000000" w:firstRow="0" w:lastRow="0" w:firstColumn="1" w:lastColumn="0" w:oddVBand="0" w:evenVBand="0" w:oddHBand="0" w:evenHBand="0" w:firstRowFirstColumn="0" w:firstRowLastColumn="0" w:lastRowFirstColumn="0" w:lastRowLastColumn="0"/>
            <w:tcW w:w="1663" w:type="pct"/>
            <w:shd w:val="clear" w:color="auto" w:fill="DAEEF3" w:themeFill="accent5" w:themeFillTint="33"/>
            <w:noWrap/>
          </w:tcPr>
          <w:p w14:paraId="37EF2813" w14:textId="77777777" w:rsidR="00FC1AA4" w:rsidRPr="0029055C" w:rsidRDefault="00FC1AA4" w:rsidP="006F40DF">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T4638. </w:t>
            </w:r>
            <w:r w:rsidRPr="0029055C">
              <w:rPr>
                <w:rFonts w:asciiTheme="minorHAnsi" w:hAnsiTheme="minorHAnsi" w:cstheme="minorHAnsi"/>
                <w:b w:val="0"/>
                <w:sz w:val="18"/>
                <w:szCs w:val="20"/>
              </w:rPr>
              <w:t>Αριθμός στελεχών που παρακολουθεί προγράμματα ταχείας εξέλιξης</w:t>
            </w:r>
          </w:p>
        </w:tc>
        <w:tc>
          <w:tcPr>
            <w:tcW w:w="556" w:type="pct"/>
            <w:shd w:val="clear" w:color="auto" w:fill="DAEEF3" w:themeFill="accent5" w:themeFillTint="33"/>
            <w:noWrap/>
            <w:vAlign w:val="center"/>
          </w:tcPr>
          <w:p w14:paraId="6CE1235C"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r w:rsidRPr="0029055C">
              <w:rPr>
                <w:rFonts w:asciiTheme="minorHAnsi" w:hAnsiTheme="minorHAnsi" w:cstheme="minorHAnsi"/>
                <w:b/>
                <w:bCs/>
                <w:sz w:val="18"/>
                <w:szCs w:val="20"/>
              </w:rPr>
              <w:t>500</w:t>
            </w:r>
          </w:p>
        </w:tc>
        <w:tc>
          <w:tcPr>
            <w:tcW w:w="556" w:type="pct"/>
            <w:shd w:val="clear" w:color="auto" w:fill="DAEEF3" w:themeFill="accent5" w:themeFillTint="33"/>
            <w:noWrap/>
            <w:vAlign w:val="center"/>
          </w:tcPr>
          <w:p w14:paraId="1416850C"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1.000</w:t>
            </w:r>
          </w:p>
        </w:tc>
        <w:tc>
          <w:tcPr>
            <w:tcW w:w="556" w:type="pct"/>
            <w:shd w:val="clear" w:color="auto" w:fill="DAEEF3" w:themeFill="accent5" w:themeFillTint="33"/>
            <w:noWrap/>
            <w:vAlign w:val="center"/>
          </w:tcPr>
          <w:p w14:paraId="3EFAE451"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1.330</w:t>
            </w:r>
          </w:p>
        </w:tc>
        <w:tc>
          <w:tcPr>
            <w:tcW w:w="556" w:type="pct"/>
            <w:shd w:val="clear" w:color="auto" w:fill="DAEEF3" w:themeFill="accent5" w:themeFillTint="33"/>
            <w:vAlign w:val="center"/>
          </w:tcPr>
          <w:p w14:paraId="3A15D1CA"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898</w:t>
            </w:r>
          </w:p>
        </w:tc>
        <w:tc>
          <w:tcPr>
            <w:tcW w:w="556" w:type="pct"/>
            <w:shd w:val="clear" w:color="auto" w:fill="DAEEF3" w:themeFill="accent5" w:themeFillTint="33"/>
            <w:vAlign w:val="center"/>
          </w:tcPr>
          <w:p w14:paraId="721E0E78"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700</w:t>
            </w:r>
          </w:p>
        </w:tc>
        <w:tc>
          <w:tcPr>
            <w:tcW w:w="557" w:type="pct"/>
            <w:shd w:val="clear" w:color="auto" w:fill="DAEEF3" w:themeFill="accent5" w:themeFillTint="33"/>
            <w:vAlign w:val="center"/>
          </w:tcPr>
          <w:p w14:paraId="061DF481"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1.100</w:t>
            </w:r>
          </w:p>
        </w:tc>
      </w:tr>
      <w:tr w:rsidR="00FC1AA4" w:rsidRPr="0029055C" w14:paraId="25F9AB2F" w14:textId="77777777" w:rsidTr="00B44C7E">
        <w:tc>
          <w:tcPr>
            <w:cnfStyle w:val="001000000000" w:firstRow="0" w:lastRow="0" w:firstColumn="1" w:lastColumn="0" w:oddVBand="0" w:evenVBand="0" w:oddHBand="0" w:evenHBand="0" w:firstRowFirstColumn="0" w:firstRowLastColumn="0" w:lastRowFirstColumn="0" w:lastRowLastColumn="0"/>
            <w:tcW w:w="1663" w:type="pct"/>
            <w:noWrap/>
          </w:tcPr>
          <w:p w14:paraId="2C3C66CC" w14:textId="77777777" w:rsidR="00FC1AA4" w:rsidRPr="0029055C" w:rsidRDefault="00FC1AA4" w:rsidP="001B2566">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T4639. </w:t>
            </w:r>
            <w:r w:rsidRPr="0029055C">
              <w:rPr>
                <w:rFonts w:asciiTheme="minorHAnsi" w:hAnsiTheme="minorHAnsi" w:cstheme="minorHAnsi"/>
                <w:b w:val="0"/>
                <w:sz w:val="18"/>
                <w:szCs w:val="20"/>
              </w:rPr>
              <w:t>Αριθμός προγραμμάτων σπουδών / πακέτων εκπαιδευτικού υλικού που δημιουργούνται ή αναβαθμίζονται</w:t>
            </w:r>
          </w:p>
        </w:tc>
        <w:tc>
          <w:tcPr>
            <w:tcW w:w="556" w:type="pct"/>
            <w:noWrap/>
            <w:vAlign w:val="center"/>
          </w:tcPr>
          <w:p w14:paraId="2440754E"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p>
        </w:tc>
        <w:tc>
          <w:tcPr>
            <w:tcW w:w="556" w:type="pct"/>
            <w:noWrap/>
            <w:vAlign w:val="center"/>
          </w:tcPr>
          <w:p w14:paraId="57E0F8F7"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204</w:t>
            </w:r>
          </w:p>
        </w:tc>
        <w:tc>
          <w:tcPr>
            <w:tcW w:w="556" w:type="pct"/>
            <w:noWrap/>
            <w:vAlign w:val="center"/>
          </w:tcPr>
          <w:p w14:paraId="6CBC0E71"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351</w:t>
            </w:r>
          </w:p>
        </w:tc>
        <w:tc>
          <w:tcPr>
            <w:tcW w:w="556" w:type="pct"/>
            <w:vAlign w:val="center"/>
          </w:tcPr>
          <w:p w14:paraId="058308C7"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165</w:t>
            </w:r>
          </w:p>
        </w:tc>
        <w:tc>
          <w:tcPr>
            <w:tcW w:w="556" w:type="pct"/>
            <w:vAlign w:val="center"/>
          </w:tcPr>
          <w:p w14:paraId="0EF47A5C"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p>
        </w:tc>
        <w:tc>
          <w:tcPr>
            <w:tcW w:w="557" w:type="pct"/>
            <w:vAlign w:val="center"/>
          </w:tcPr>
          <w:p w14:paraId="5406DA83"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204</w:t>
            </w:r>
          </w:p>
        </w:tc>
      </w:tr>
    </w:tbl>
    <w:p w14:paraId="7628EA82" w14:textId="77777777" w:rsidR="001E14FB" w:rsidRPr="0029055C" w:rsidRDefault="009E511A" w:rsidP="001E14FB">
      <w:pPr>
        <w:rPr>
          <w:rFonts w:cstheme="minorHAnsi"/>
          <w:sz w:val="22"/>
          <w:szCs w:val="22"/>
        </w:rPr>
      </w:pPr>
      <w:r w:rsidRPr="0029055C">
        <w:rPr>
          <w:rFonts w:cstheme="minorHAnsi"/>
          <w:sz w:val="22"/>
          <w:szCs w:val="22"/>
        </w:rPr>
        <w:t>Με βάση τα στοιχεία του ανωτέρω Πίνακα, η υλοποίηση του φυσικού αντικειμένου ανά δείκτη έχει ως εξής:</w:t>
      </w:r>
    </w:p>
    <w:p w14:paraId="1AB98586" w14:textId="77777777" w:rsidR="00585C5D" w:rsidRPr="0029055C" w:rsidRDefault="00585C5D" w:rsidP="00A06F3C">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 xml:space="preserve">T4633: </w:t>
      </w:r>
      <w:r w:rsidRPr="0029055C">
        <w:rPr>
          <w:rFonts w:cstheme="minorHAnsi"/>
          <w:color w:val="31849B" w:themeColor="accent5" w:themeShade="BF"/>
          <w:sz w:val="22"/>
          <w:szCs w:val="22"/>
        </w:rPr>
        <w:t>Αριθμός έργων δημιουργίας και εφαρμογής ενιαίου συστήματος της ψηφιακής διαχείρισης ανθρώπινου δυναμικού της δημόσιας διοίκησης.</w:t>
      </w:r>
      <w:r w:rsidRPr="0029055C">
        <w:rPr>
          <w:rFonts w:cstheme="minorHAnsi"/>
          <w:color w:val="215868" w:themeColor="accent5" w:themeShade="80"/>
          <w:sz w:val="22"/>
          <w:szCs w:val="22"/>
        </w:rPr>
        <w:t xml:space="preserve"> </w:t>
      </w:r>
      <w:r w:rsidRPr="0029055C">
        <w:rPr>
          <w:rFonts w:cstheme="minorHAnsi"/>
          <w:sz w:val="22"/>
          <w:szCs w:val="22"/>
        </w:rPr>
        <w:t xml:space="preserve">Η τιμή στόχος του δείκτη για το έτος 2023 είναι 1 και αφορά στη δημιουργία και εφαρμογή του συστήματος ενιαίας διαχείρισης του ανθρωπίνου δυναμικού της δημόσιας διοίκησης. Στο πλαίσιο της </w:t>
      </w:r>
      <w:r w:rsidRPr="0029055C">
        <w:rPr>
          <w:rFonts w:cstheme="minorHAnsi"/>
          <w:i/>
          <w:sz w:val="22"/>
          <w:szCs w:val="22"/>
        </w:rPr>
        <w:t xml:space="preserve">Κατηγορίας Δράσης </w:t>
      </w:r>
      <w:r w:rsidR="00A06F3C" w:rsidRPr="0029055C">
        <w:rPr>
          <w:rFonts w:cstheme="minorHAnsi"/>
          <w:i/>
          <w:sz w:val="22"/>
          <w:szCs w:val="22"/>
        </w:rPr>
        <w:t>Γ.1.1 «Δράσεις βελτίωσης των πολιτικών προσωπικού και εφαρμογής τους και δράσεις ανάπτυξης και εφαρμογής συστημάτων διαχείρισης του ανθρώπινου δυναμικού»</w:t>
      </w:r>
      <w:r w:rsidRPr="0029055C">
        <w:rPr>
          <w:rFonts w:cstheme="minorHAnsi"/>
          <w:sz w:val="22"/>
          <w:szCs w:val="22"/>
        </w:rPr>
        <w:t xml:space="preserve"> του Προγράμματος προβλέπεται η υλοποίηση του έργου «Ενιαίο Σύστημα Διαχείρισης </w:t>
      </w:r>
      <w:r w:rsidRPr="0029055C">
        <w:rPr>
          <w:rFonts w:cstheme="minorHAnsi"/>
          <w:sz w:val="22"/>
          <w:szCs w:val="22"/>
        </w:rPr>
        <w:lastRenderedPageBreak/>
        <w:t>Ανθρωπίνου Δυναμικού στη Δημόσια Διοίκηση (HRMS)» το οποίο έχει μεγάλο βαθμό ωρίμανσης και ταυτόχρονα αποτελεί και έργο προτεραιότητας σύμφωνα με την Εθνική Στρατηγική για τη Δι</w:t>
      </w:r>
      <w:r w:rsidR="0065040C" w:rsidRPr="0029055C">
        <w:rPr>
          <w:rFonts w:cstheme="minorHAnsi"/>
          <w:sz w:val="22"/>
          <w:szCs w:val="22"/>
        </w:rPr>
        <w:t>οικητική Μεταρρύθμιση 2017-2019. Ο δείκτης εκτιμάται ότι θα επιτευχθεί στο τέλος της ΠΠ.</w:t>
      </w:r>
    </w:p>
    <w:p w14:paraId="5A4428BD" w14:textId="77777777" w:rsidR="0065040C" w:rsidRPr="0029055C" w:rsidRDefault="0065040C" w:rsidP="0065040C">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T4634</w:t>
      </w:r>
      <w:r w:rsidRPr="0029055C">
        <w:rPr>
          <w:rFonts w:cstheme="minorHAnsi"/>
          <w:color w:val="31849B" w:themeColor="accent5" w:themeShade="BF"/>
          <w:sz w:val="22"/>
          <w:szCs w:val="22"/>
        </w:rPr>
        <w:t xml:space="preserve">: Αριθμός μελετών για τη βελτίωση των πολιτικών ανθρωπίνου δυναμικού του δημόσιου τομέα. </w:t>
      </w:r>
      <w:r w:rsidRPr="0029055C">
        <w:rPr>
          <w:rFonts w:cstheme="minorHAnsi"/>
          <w:sz w:val="22"/>
          <w:szCs w:val="22"/>
        </w:rPr>
        <w:t>Ο δείκτης συμπεριλήφθηκε στο σύστημα δεικτών του Προγράμματος προκειμένου να ποσοτικοποιήσει τις δράσεις εκπόνησης μελετών για τη βελτίωση των πολιτικών ανθρώπινου δυναμικού που άπτονται των επιμέρους πτυχών του συγκεκριμένου θέματος και αποτελούν προϋπόθεση για το σχεδιασμό ενός νέου και βιώσιμου συστήματος ανακατανομής των δημοσίων υπαλλήλων που θα συμβαδίζει με τη διαχείριση σταδιοδρομίας τους. Δεδομένου ότι σχετικές μελέτες που αφορούν στη βελτίωση των πολιτικών ανθρωπίνου δυναμικού, όπως ενδεικτικά: νέο κλαδολόγιο, μεθοδολογία προσλήψεων στο δημόσιο, κινητικότητα βάση περιγραμμάτων θέσης, υλοποιήθηκαν στο πλαίσιο της παροχής τεχνικής βοήθειας από την SRSS, προτείνεται η αφαίρεση του δείκτη Τ4634 από το σύστημα δεικτών του ΕΠ ΜΔΤ.</w:t>
      </w:r>
    </w:p>
    <w:p w14:paraId="03DBCA4F" w14:textId="77777777" w:rsidR="0065040C" w:rsidRPr="0029055C" w:rsidRDefault="0065040C" w:rsidP="00277FD4">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T4635</w:t>
      </w:r>
      <w:r w:rsidRPr="0029055C">
        <w:rPr>
          <w:rFonts w:cstheme="minorHAnsi"/>
          <w:color w:val="31849B" w:themeColor="accent5" w:themeShade="BF"/>
          <w:sz w:val="22"/>
          <w:szCs w:val="22"/>
        </w:rPr>
        <w:t xml:space="preserve">: Αριθμός δημοσίων υπαλλήλων που συμμετέχουν σε προγράμματα κατάρτισης για την ανάπτυξη δεξιοτήτων/διοικητικών ικανοτήτων. </w:t>
      </w:r>
      <w:r w:rsidR="00AE42F7" w:rsidRPr="0029055C">
        <w:rPr>
          <w:rFonts w:cstheme="minorHAnsi"/>
          <w:sz w:val="22"/>
          <w:szCs w:val="22"/>
        </w:rPr>
        <w:t xml:space="preserve">Ο δείκτης, ο οποίος περιλαμβάνεται και στο Πλαίσιο Επιδόσεων του ΕΠ ΜΔΤ, τροφοδοτείται από τις δράσεις κατάρτισης του ανθρώπινου δυναμικού για την υποστήριξη των μεταρρυθμίσεων στο δημόσιο τομέα, που προβλέπονται στο πλαίσιο της </w:t>
      </w:r>
      <w:r w:rsidR="00AE42F7" w:rsidRPr="0029055C">
        <w:rPr>
          <w:rFonts w:cstheme="minorHAnsi"/>
          <w:i/>
          <w:sz w:val="22"/>
          <w:szCs w:val="22"/>
        </w:rPr>
        <w:t>Κατηγορίας Δράσης Γ.2.1 «Δράσεις ανάπτυξης γνώσεων, δεξιοτήτων και ικανοτήτων ανθρώπινου δυναμικού του Δημοσίου Τομέα»</w:t>
      </w:r>
      <w:r w:rsidR="00AE42F7" w:rsidRPr="0029055C">
        <w:rPr>
          <w:rFonts w:cstheme="minorHAnsi"/>
          <w:sz w:val="22"/>
          <w:szCs w:val="22"/>
        </w:rPr>
        <w:t xml:space="preserve"> του Προγράμματος.  </w:t>
      </w:r>
      <w:r w:rsidR="00A06F3C" w:rsidRPr="0029055C">
        <w:rPr>
          <w:rFonts w:cstheme="minorHAnsi"/>
          <w:sz w:val="22"/>
          <w:szCs w:val="22"/>
        </w:rPr>
        <w:t xml:space="preserve">Ο στόχος των ενταγμένων έργων που τροφοδοτούν το δείκτη (197.311) υπερκαλύπτει τον προγραμματικό στόχο για το 2023 κατά 140,9%, ενώ τόσο ο ενδιάμεσος στόχος του δείκτη (70.000), όσο και ο στόχος του δείκτη για το 2023 (140.000) έχουν ήδη καλυφθεί </w:t>
      </w:r>
      <w:r w:rsidR="00277FD4" w:rsidRPr="0029055C">
        <w:rPr>
          <w:rFonts w:cstheme="minorHAnsi"/>
          <w:sz w:val="22"/>
          <w:szCs w:val="22"/>
        </w:rPr>
        <w:t xml:space="preserve">με βάση τα στοιχεία υλοποίησης των σχετικών δράσεων που τροφοδοτούν το δείκτη έως το τέλος του 2017 </w:t>
      </w:r>
      <w:r w:rsidR="00A06F3C" w:rsidRPr="0029055C">
        <w:rPr>
          <w:rFonts w:cstheme="minorHAnsi"/>
          <w:sz w:val="22"/>
          <w:szCs w:val="22"/>
        </w:rPr>
        <w:t>(τιμή υλοποίησης δείκτη 31.12.2017: 143.549), λόγω της αύξησης του αριθμού των προγραμμάτων κατάρτισης και ως εκ τούτου και των συμμετεχόντων. Η αύξηση αυτή προήλθε από την αύξηση της ζήτησης για απόκτηση γνώσεων και δεξιοτήτων σε θέματα που αφορούν υποστήριξη δημοσίων πολιτικών, όπως πχ. η έκδοση του Ν.4412/2016 περί δημοσίων συμβάσεων, του Ν.4325/2015 για τον εκδημοκρατισμό της Διοίκησης, του Ν.4440/2016 για την κινητικότητα των δημοσίων υπαλλήλων κ</w:t>
      </w:r>
      <w:r w:rsidR="00277FD4" w:rsidRPr="0029055C">
        <w:rPr>
          <w:rFonts w:cstheme="minorHAnsi"/>
          <w:sz w:val="22"/>
          <w:szCs w:val="22"/>
        </w:rPr>
        <w:t>.</w:t>
      </w:r>
      <w:r w:rsidR="00A06F3C" w:rsidRPr="0029055C">
        <w:rPr>
          <w:rFonts w:cstheme="minorHAnsi"/>
          <w:sz w:val="22"/>
          <w:szCs w:val="22"/>
        </w:rPr>
        <w:t>λπ.</w:t>
      </w:r>
      <w:r w:rsidR="00277FD4" w:rsidRPr="0029055C">
        <w:rPr>
          <w:rFonts w:cstheme="minorHAnsi"/>
          <w:sz w:val="22"/>
          <w:szCs w:val="22"/>
        </w:rPr>
        <w:t xml:space="preserve"> Λαμβάνοντας υπόψη την πρόοδο υλοποίησης των δράσεων κατάρτισης του ανθρώπινου δυναμικού του δημόσιου τομέα, καθώς και τον υφιστάμενο προγραμματισμό για την υπόλοιπη περίοδο έως το τέλος της ΠΠ, προτείνεται αύξηση της τιμής στόχου του δείκτη για το 2018 από 70.000 σε 150.000 και της τιμής στόχου του δείκτη για το 2023 από 140.000 σε 300.000.</w:t>
      </w:r>
    </w:p>
    <w:p w14:paraId="21ECDE8A" w14:textId="77777777" w:rsidR="00277FD4" w:rsidRPr="0029055C" w:rsidRDefault="00277FD4" w:rsidP="00351B2D">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 xml:space="preserve">Τ4636: </w:t>
      </w:r>
      <w:r w:rsidRPr="0029055C">
        <w:rPr>
          <w:rFonts w:cstheme="minorHAnsi"/>
          <w:color w:val="31849B" w:themeColor="accent5" w:themeShade="BF"/>
          <w:sz w:val="22"/>
          <w:szCs w:val="22"/>
        </w:rPr>
        <w:t xml:space="preserve">Αριθμός δημοσίων υπαλλήλων που συμμετέχουν σε προγράμματα εξ αποστάσεως εκπαίδευσης. </w:t>
      </w:r>
      <w:r w:rsidRPr="0029055C">
        <w:rPr>
          <w:rFonts w:cstheme="minorHAnsi"/>
          <w:sz w:val="22"/>
          <w:szCs w:val="22"/>
        </w:rPr>
        <w:t xml:space="preserve">Ο δείκτης τροφοδοτείται από τις προγραμματισμένες δράσεις εξ΄ αποστάσεως εκπαίδευσης του ανθρώπινου δυναμικού του δημόσιου τομέα που προβλέπονται στο πλαίσιο της </w:t>
      </w:r>
      <w:r w:rsidRPr="0029055C">
        <w:rPr>
          <w:rFonts w:cstheme="minorHAnsi"/>
          <w:i/>
          <w:sz w:val="22"/>
          <w:szCs w:val="22"/>
        </w:rPr>
        <w:t>Κατηγορίας Δράσης</w:t>
      </w:r>
      <w:r w:rsidRPr="0029055C">
        <w:rPr>
          <w:rFonts w:cstheme="minorHAnsi"/>
          <w:sz w:val="22"/>
          <w:szCs w:val="22"/>
        </w:rPr>
        <w:t xml:space="preserve"> </w:t>
      </w:r>
      <w:r w:rsidRPr="0029055C">
        <w:rPr>
          <w:rFonts w:cstheme="minorHAnsi"/>
          <w:i/>
          <w:sz w:val="22"/>
          <w:szCs w:val="22"/>
        </w:rPr>
        <w:t>Γ.2.1 «Δράσεις ανάπτυξης γνώσεων, δεξιοτήτων και ικανοτήτων ανθρώπινου δυναμικού του Δημοσίου Τομέα»</w:t>
      </w:r>
      <w:r w:rsidRPr="0029055C">
        <w:rPr>
          <w:rFonts w:cstheme="minorHAnsi"/>
          <w:sz w:val="22"/>
          <w:szCs w:val="22"/>
        </w:rPr>
        <w:t xml:space="preserve"> του Προγράμματος.  Ο στόχος των ενταγμένων έργων που τροφοδοτούν το δείκτη (7.465) καλύπτει τον προγραμματικό στόχο για το 2023 κατά 62,2%, αλλά παρατηρείται υστέρηση στην πρόοδο υλοποίησης (έως το τέλος του 2017 είχε επιτευχθεί μόλις το 15,4% του στόχου). Η υστέρηση</w:t>
      </w:r>
      <w:r w:rsidR="00571743" w:rsidRPr="0029055C">
        <w:rPr>
          <w:rFonts w:cstheme="minorHAnsi"/>
          <w:sz w:val="22"/>
          <w:szCs w:val="22"/>
        </w:rPr>
        <w:t xml:space="preserve"> αυτή οφείλεται στον</w:t>
      </w:r>
      <w:r w:rsidRPr="0029055C">
        <w:rPr>
          <w:rFonts w:cstheme="minorHAnsi"/>
          <w:sz w:val="22"/>
          <w:szCs w:val="22"/>
        </w:rPr>
        <w:t xml:space="preserve"> περιορισμ</w:t>
      </w:r>
      <w:r w:rsidR="00571743" w:rsidRPr="0029055C">
        <w:rPr>
          <w:rFonts w:cstheme="minorHAnsi"/>
          <w:sz w:val="22"/>
          <w:szCs w:val="22"/>
        </w:rPr>
        <w:t>ό</w:t>
      </w:r>
      <w:r w:rsidRPr="0029055C">
        <w:rPr>
          <w:rFonts w:cstheme="minorHAnsi"/>
          <w:sz w:val="22"/>
          <w:szCs w:val="22"/>
        </w:rPr>
        <w:t xml:space="preserve"> του σχεδιασμού και της υλοποίησης </w:t>
      </w:r>
      <w:r w:rsidR="00571743" w:rsidRPr="0029055C">
        <w:rPr>
          <w:rFonts w:cstheme="minorHAnsi"/>
          <w:sz w:val="22"/>
          <w:szCs w:val="22"/>
        </w:rPr>
        <w:t xml:space="preserve"> </w:t>
      </w:r>
      <w:r w:rsidRPr="0029055C">
        <w:rPr>
          <w:rFonts w:cstheme="minorHAnsi"/>
          <w:sz w:val="22"/>
          <w:szCs w:val="22"/>
        </w:rPr>
        <w:t xml:space="preserve">εξ΄ αποστάσεως επιμορφωτικών δράσεων, μετά την έκδοση του Ν.4368/2016, με τον οποίο συστάθηκε στο Ελληνικό Ανοικτό Πανεπιστήμιο Κέντρο Πιστοποίησης της εξ’ αποστάσεως (e−learning) εκπαίδευσης. Ειδικότερα, σύμφωνα με το Άρθρο 91, παρ. 2 του Ν. 4368/2016, προβλέπεται η έκδοση Απόφασης του Υπουργού Παιδείας, Έρευνας και Θρησκευμάτων, όπου μεταξύ των άλλων θα </w:t>
      </w:r>
      <w:r w:rsidRPr="0029055C">
        <w:rPr>
          <w:rFonts w:cstheme="minorHAnsi"/>
          <w:sz w:val="22"/>
          <w:szCs w:val="22"/>
        </w:rPr>
        <w:lastRenderedPageBreak/>
        <w:t>καθορίζει κάθε αναγκαία λεπτομέρεια που αφορά τον σκοπό, το περιεχόμενο, τις διαδικασίες και τις προϋποθέσεις πιστοποίησης από το Κέντρο Πιστοποίησης του ΕΑΠ, των προγραμμάτων εξ αποστάσεως εκπαίδευσης που παρέχονται από οποιονδήποτε φορέα που δραστηριοποιείται στην Ελλάδα. Μέχρι σήμερα δεν έχει εκδοθεί η προβλεπόμενη Υπουργική Απόφαση, με αποτέλεσμα την μείωση προγραμμάτων e learning.</w:t>
      </w:r>
      <w:r w:rsidR="00571743" w:rsidRPr="0029055C">
        <w:rPr>
          <w:rFonts w:cstheme="minorHAnsi"/>
          <w:sz w:val="22"/>
          <w:szCs w:val="22"/>
        </w:rPr>
        <w:t xml:space="preserve"> Προτείνεται η μείωση της τιμής στόχου του δείκτη για το 2023 από 12.000 σε 3.000, τιμή η οποία εκτιμάται ότι θα επιτευχθεί.</w:t>
      </w:r>
    </w:p>
    <w:p w14:paraId="1722238F" w14:textId="77777777" w:rsidR="00AC223D" w:rsidRPr="0029055C" w:rsidRDefault="00277FD4" w:rsidP="00571743">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 xml:space="preserve">Τ4637: </w:t>
      </w:r>
      <w:r w:rsidRPr="0029055C">
        <w:rPr>
          <w:rFonts w:cstheme="minorHAnsi"/>
          <w:color w:val="31849B" w:themeColor="accent5" w:themeShade="BF"/>
          <w:sz w:val="22"/>
          <w:szCs w:val="22"/>
        </w:rPr>
        <w:t>Αριθμός προγραμμάτων κατάρτισης για μεσαία και υψηλόβαθμα διοικητικά στελέχη της δημόσιας διοίκησης</w:t>
      </w:r>
      <w:r w:rsidR="00585C5D" w:rsidRPr="0029055C">
        <w:rPr>
          <w:rFonts w:cstheme="minorHAnsi"/>
          <w:color w:val="31849B" w:themeColor="accent5" w:themeShade="BF"/>
          <w:sz w:val="22"/>
          <w:szCs w:val="22"/>
        </w:rPr>
        <w:t xml:space="preserve">. </w:t>
      </w:r>
      <w:r w:rsidR="00571743" w:rsidRPr="0029055C">
        <w:rPr>
          <w:rFonts w:cstheme="minorHAnsi"/>
          <w:sz w:val="22"/>
          <w:szCs w:val="22"/>
        </w:rPr>
        <w:t>Η τιμή στόχος του</w:t>
      </w:r>
      <w:r w:rsidR="00571743" w:rsidRPr="0029055C">
        <w:rPr>
          <w:rFonts w:cstheme="minorHAnsi"/>
          <w:color w:val="31849B" w:themeColor="accent5" w:themeShade="BF"/>
          <w:sz w:val="22"/>
          <w:szCs w:val="22"/>
        </w:rPr>
        <w:t xml:space="preserve"> </w:t>
      </w:r>
      <w:r w:rsidR="00585C5D" w:rsidRPr="0029055C">
        <w:rPr>
          <w:rFonts w:cstheme="minorHAnsi"/>
          <w:sz w:val="22"/>
          <w:szCs w:val="22"/>
        </w:rPr>
        <w:t>δείκτη</w:t>
      </w:r>
      <w:r w:rsidR="00571743" w:rsidRPr="0029055C">
        <w:rPr>
          <w:rFonts w:cstheme="minorHAnsi"/>
          <w:sz w:val="22"/>
          <w:szCs w:val="22"/>
        </w:rPr>
        <w:t xml:space="preserve"> για το 2023 ανέρχεται σε 250 και τροφοδοτείται από τις δράσεις κατάρτισης του ανθρώπινου δυναμικού για την υποστήριξη των μεταρρυθμίσεων στο δημόσιο τομέα, που προβλέπονται στο πλαίσιο της Κατηγορίας Δράσης Γ.2.1 «Δράσεις ανάπτυξης γνώσεων, δεξιοτήτων και ικανοτήτων ανθρώπινου δυναμικού του Δημοσίου Τομέα» του Προγράμματος</w:t>
      </w:r>
      <w:r w:rsidR="00AC223D" w:rsidRPr="0029055C">
        <w:rPr>
          <w:rFonts w:cstheme="minorHAnsi"/>
          <w:sz w:val="22"/>
          <w:szCs w:val="22"/>
        </w:rPr>
        <w:t>. Με βάση τα στοιχεία υλοποίησης των σχετικών δράσεων έως το τέλος του 2017, ο δείκτης έχει επιτευχθεί σε ποσοστό 50,8% και εκτιμάται  ότι θα επιτευχθεί πλήρως έως το τέλος της ΠΠ.</w:t>
      </w:r>
    </w:p>
    <w:p w14:paraId="13BAED1C" w14:textId="77777777" w:rsidR="00D26078" w:rsidRPr="0029055C" w:rsidRDefault="00D26078" w:rsidP="00D26078">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Τ4638</w:t>
      </w:r>
      <w:r w:rsidRPr="0029055C">
        <w:rPr>
          <w:rFonts w:cstheme="minorHAnsi"/>
          <w:color w:val="31849B" w:themeColor="accent5" w:themeShade="BF"/>
          <w:sz w:val="22"/>
          <w:szCs w:val="22"/>
        </w:rPr>
        <w:t xml:space="preserve">: Αριθμός στελεχών που παρακολουθεί προγράμματα ταχείας εξέλιξης. </w:t>
      </w:r>
      <w:r w:rsidRPr="0029055C">
        <w:rPr>
          <w:rFonts w:cstheme="minorHAnsi"/>
          <w:color w:val="31849B" w:themeColor="accent5" w:themeShade="BF"/>
          <w:sz w:val="22"/>
          <w:szCs w:val="22"/>
        </w:rPr>
        <w:br/>
      </w:r>
      <w:r w:rsidRPr="0029055C">
        <w:rPr>
          <w:rFonts w:cstheme="minorHAnsi"/>
          <w:sz w:val="22"/>
          <w:szCs w:val="22"/>
        </w:rPr>
        <w:t xml:space="preserve">Ο συγκεκριμένος δείκτης, ο οποίος περιλαμβάνεται και στο Πλαίσιο Επιδόσεων του ΕΠ ΜΔΤ, τροφοδοτείται από τις δράσεις προεισαγωγικής εκπαίδευσης των δημοσίων υπαλλήλων και των δικαστικών λειτουργών, που προβλέπονται στο πλαίσιο της </w:t>
      </w:r>
      <w:r w:rsidRPr="0029055C">
        <w:rPr>
          <w:rFonts w:cstheme="minorHAnsi"/>
          <w:i/>
          <w:sz w:val="22"/>
          <w:szCs w:val="22"/>
        </w:rPr>
        <w:t>Κατηγορίας Δράσης Γ.2.1 «Δράσεις ανάπτυξης γνώσεων, δεξιοτήτων και ικανοτήτων ανθρώπινου δυναμικού του Δημοσίου Τομέα»</w:t>
      </w:r>
      <w:r w:rsidRPr="0029055C">
        <w:rPr>
          <w:rFonts w:cstheme="minorHAnsi"/>
          <w:sz w:val="22"/>
          <w:szCs w:val="22"/>
        </w:rPr>
        <w:t xml:space="preserve"> του Προγράμματος. Ο στόχος των ενταγμένων έργων που τροφοδοτούν το</w:t>
      </w:r>
      <w:r w:rsidR="00684612" w:rsidRPr="0029055C">
        <w:rPr>
          <w:rFonts w:cstheme="minorHAnsi"/>
          <w:sz w:val="22"/>
          <w:szCs w:val="22"/>
        </w:rPr>
        <w:t>ν</w:t>
      </w:r>
      <w:r w:rsidRPr="0029055C">
        <w:rPr>
          <w:rFonts w:cstheme="minorHAnsi"/>
          <w:sz w:val="22"/>
          <w:szCs w:val="22"/>
        </w:rPr>
        <w:t xml:space="preserve"> δείκτη (1.330) υπερκαλύπτει τον προγραμματικό στόχο για το 2023 κατά 133%, ενώ ο ενδιάμεσος στόχος του δείκτη (500) έχει ήδη καλυφθεί με βάση τα στοιχεία υλοποίησης των σχετικών δράσεων που τροφοδοτούν το δείκτη έως το τέλος του 2017 (τιμή υλοποίησης δείκτη 31.12.2017: 898). Λαμβάνοντας υπόψη την πρόοδο υλοποίησης των σχετικών δράσεων που τροφοδοτούν το δείκτη, καθώς και τον υφιστάμενο προγραμματισμό του ΕΚΔΔΑ και της ΕΣΔι, προτείνεται αύξηση της τιμής στόχου του δείκτη για το 2018 από 500 σε 700 και της τιμής στόχου του δείκτη για το 2023 από 1.000 σε 1.100.</w:t>
      </w:r>
    </w:p>
    <w:p w14:paraId="0526FB94" w14:textId="77777777" w:rsidR="00684612" w:rsidRPr="0029055C" w:rsidRDefault="00D26078" w:rsidP="00684612">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Τ4639</w:t>
      </w:r>
      <w:r w:rsidRPr="0029055C">
        <w:rPr>
          <w:rFonts w:cstheme="minorHAnsi"/>
          <w:color w:val="31849B" w:themeColor="accent5" w:themeShade="BF"/>
          <w:sz w:val="22"/>
          <w:szCs w:val="22"/>
        </w:rPr>
        <w:t>: Αριθμός προγραμμάτων σπουδών/πακέτων εκπαιδευτικού υλικού που δημιουργούνται ή αναβαθμίζονται.</w:t>
      </w:r>
      <w:r w:rsidRPr="0029055C">
        <w:rPr>
          <w:rFonts w:cstheme="minorHAnsi"/>
          <w:sz w:val="22"/>
          <w:szCs w:val="22"/>
        </w:rPr>
        <w:t xml:space="preserve"> Η τιμή στόχος </w:t>
      </w:r>
      <w:r w:rsidR="00684612" w:rsidRPr="0029055C">
        <w:rPr>
          <w:rFonts w:cstheme="minorHAnsi"/>
          <w:sz w:val="22"/>
          <w:szCs w:val="22"/>
        </w:rPr>
        <w:t xml:space="preserve">του δείκτη </w:t>
      </w:r>
      <w:r w:rsidRPr="0029055C">
        <w:rPr>
          <w:rFonts w:cstheme="minorHAnsi"/>
          <w:sz w:val="22"/>
          <w:szCs w:val="22"/>
        </w:rPr>
        <w:t>για το έτος 2023 είναι 204 και αφορά στη δημιουργία ή αναβάθμιση προγραμμάτων σπουδών/πακέτων εκπαιδευτικού υλικού των σχολών παροχής κατάρτισης δημοσίων υπαλλήλων</w:t>
      </w:r>
      <w:r w:rsidR="00684612" w:rsidRPr="0029055C">
        <w:rPr>
          <w:rFonts w:cstheme="minorHAnsi"/>
          <w:sz w:val="22"/>
          <w:szCs w:val="22"/>
        </w:rPr>
        <w:t>. Ο στόχος των ενταγμένων έργων που τροφοδοτούν τον δείκτη (351) υπερκαλύπτει τον προγραμματικό στόχο για το 2023 κατά 172%, ενώ με βάση τα στοιχεία υλοποίησης των σχετικών δράσεων έως το τέλος του 2017, ο δείκτης έχει επιτευχθεί σε ποσοστό 80,9% (τιμή υλοποίησης δείκτη 31.12.2017: 165) και εκτιμάται  ότι θα επιτευχθεί πλήρως έως το τέλος της ΠΠ.</w:t>
      </w:r>
    </w:p>
    <w:p w14:paraId="438E1D47" w14:textId="77777777" w:rsidR="00462B17" w:rsidRPr="0029055C" w:rsidRDefault="009E511A" w:rsidP="001E14FB">
      <w:pPr>
        <w:rPr>
          <w:rFonts w:cstheme="minorHAnsi"/>
          <w:sz w:val="22"/>
          <w:szCs w:val="22"/>
        </w:rPr>
      </w:pPr>
      <w:r w:rsidRPr="0029055C">
        <w:rPr>
          <w:rFonts w:cstheme="minorHAnsi"/>
          <w:sz w:val="22"/>
          <w:szCs w:val="22"/>
        </w:rPr>
        <w:t xml:space="preserve">Αντίστοιχα με την πρόοδο υλοποίησης των δεικτών εκροής του Θεματικού Άξονα </w:t>
      </w:r>
      <w:r w:rsidR="001B3747" w:rsidRPr="0029055C">
        <w:rPr>
          <w:rFonts w:cstheme="minorHAnsi"/>
          <w:sz w:val="22"/>
          <w:szCs w:val="22"/>
        </w:rPr>
        <w:t>ΙΙΙ</w:t>
      </w:r>
      <w:r w:rsidRPr="0029055C">
        <w:rPr>
          <w:rFonts w:cstheme="minorHAnsi"/>
          <w:sz w:val="22"/>
          <w:szCs w:val="22"/>
        </w:rPr>
        <w:t>, στη συνέχεια παρατίθεται η πρόοδος υλοποίησης των δεικτών αποτελέσματος του ΘΑ.</w:t>
      </w:r>
    </w:p>
    <w:p w14:paraId="3E0615B1" w14:textId="77777777" w:rsidR="00FC1AA4" w:rsidRPr="0029055C" w:rsidRDefault="00FC1AA4" w:rsidP="00FC1AA4">
      <w:pPr>
        <w:pStyle w:val="Caption"/>
        <w:spacing w:before="240" w:after="120" w:line="280" w:lineRule="atLeast"/>
        <w:rPr>
          <w:b w:val="0"/>
          <w:sz w:val="22"/>
          <w:szCs w:val="22"/>
        </w:rPr>
      </w:pPr>
      <w:r w:rsidRPr="0029055C">
        <w:rPr>
          <w:sz w:val="22"/>
          <w:szCs w:val="22"/>
        </w:rPr>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22</w:t>
      </w:r>
      <w:r w:rsidRPr="0029055C">
        <w:rPr>
          <w:sz w:val="22"/>
          <w:szCs w:val="22"/>
        </w:rPr>
        <w:fldChar w:fldCharType="end"/>
      </w:r>
      <w:r w:rsidRPr="0029055C">
        <w:rPr>
          <w:b w:val="0"/>
          <w:sz w:val="22"/>
          <w:szCs w:val="22"/>
        </w:rPr>
        <w:t xml:space="preserve">. Πρόοδος υλοποίησης δεικτών αποτελέσματος του </w:t>
      </w:r>
      <w:r w:rsidR="001B3747" w:rsidRPr="0029055C">
        <w:rPr>
          <w:b w:val="0"/>
          <w:sz w:val="22"/>
          <w:szCs w:val="22"/>
        </w:rPr>
        <w:t>Θεματικού Άξονα ΙΙΙ</w:t>
      </w:r>
      <w:r w:rsidRPr="0029055C">
        <w:rPr>
          <w:b w:val="0"/>
          <w:sz w:val="22"/>
          <w:szCs w:val="22"/>
        </w:rPr>
        <w:t xml:space="preserve"> </w:t>
      </w:r>
    </w:p>
    <w:tbl>
      <w:tblPr>
        <w:tblStyle w:val="GridTable6Colorful-Accent5"/>
        <w:tblW w:w="5000" w:type="pct"/>
        <w:tblLayout w:type="fixed"/>
        <w:tblCellMar>
          <w:left w:w="28" w:type="dxa"/>
          <w:right w:w="28" w:type="dxa"/>
        </w:tblCellMar>
        <w:tblLook w:val="06A0" w:firstRow="1" w:lastRow="0" w:firstColumn="1" w:lastColumn="0" w:noHBand="1" w:noVBand="1"/>
      </w:tblPr>
      <w:tblGrid>
        <w:gridCol w:w="3255"/>
        <w:gridCol w:w="1162"/>
        <w:gridCol w:w="1161"/>
        <w:gridCol w:w="1161"/>
        <w:gridCol w:w="1161"/>
        <w:gridCol w:w="1160"/>
      </w:tblGrid>
      <w:tr w:rsidR="00FC1AA4" w:rsidRPr="0029055C" w14:paraId="7EC97C3C" w14:textId="77777777" w:rsidTr="00B44C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6" w:type="pct"/>
            <w:noWrap/>
            <w:vAlign w:val="center"/>
          </w:tcPr>
          <w:p w14:paraId="0A7B0C88" w14:textId="77777777" w:rsidR="00FC1AA4" w:rsidRPr="0029055C" w:rsidRDefault="00FC1AA4" w:rsidP="00462B17">
            <w:pPr>
              <w:spacing w:before="40" w:after="40" w:line="240" w:lineRule="auto"/>
              <w:jc w:val="center"/>
              <w:rPr>
                <w:rFonts w:asciiTheme="minorHAnsi" w:hAnsiTheme="minorHAnsi" w:cstheme="minorHAnsi"/>
                <w:sz w:val="18"/>
                <w:szCs w:val="20"/>
              </w:rPr>
            </w:pPr>
            <w:r w:rsidRPr="0029055C">
              <w:rPr>
                <w:rFonts w:asciiTheme="minorHAnsi" w:hAnsiTheme="minorHAnsi" w:cstheme="minorHAnsi"/>
                <w:sz w:val="18"/>
                <w:szCs w:val="20"/>
              </w:rPr>
              <w:t>Δείκτης</w:t>
            </w:r>
          </w:p>
        </w:tc>
        <w:tc>
          <w:tcPr>
            <w:tcW w:w="641" w:type="pct"/>
            <w:vAlign w:val="center"/>
          </w:tcPr>
          <w:p w14:paraId="2D9C8018" w14:textId="77777777" w:rsidR="00FC1AA4" w:rsidRPr="0029055C" w:rsidRDefault="00FC1AA4" w:rsidP="00462B17">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18"/>
                <w:szCs w:val="20"/>
              </w:rPr>
            </w:pPr>
            <w:r w:rsidRPr="0029055C">
              <w:rPr>
                <w:rFonts w:asciiTheme="minorHAnsi" w:hAnsiTheme="minorHAnsi" w:cstheme="minorHAnsi"/>
                <w:sz w:val="18"/>
                <w:szCs w:val="20"/>
              </w:rPr>
              <w:t xml:space="preserve">Τιμή </w:t>
            </w:r>
            <w:r w:rsidR="00462B17" w:rsidRPr="0029055C">
              <w:rPr>
                <w:rFonts w:asciiTheme="minorHAnsi" w:hAnsiTheme="minorHAnsi" w:cstheme="minorHAnsi"/>
                <w:sz w:val="18"/>
                <w:szCs w:val="20"/>
              </w:rPr>
              <w:br/>
            </w:r>
            <w:r w:rsidRPr="0029055C">
              <w:rPr>
                <w:rFonts w:asciiTheme="minorHAnsi" w:hAnsiTheme="minorHAnsi" w:cstheme="minorHAnsi"/>
                <w:sz w:val="18"/>
                <w:szCs w:val="20"/>
              </w:rPr>
              <w:t>Βάσης</w:t>
            </w:r>
          </w:p>
        </w:tc>
        <w:tc>
          <w:tcPr>
            <w:tcW w:w="641" w:type="pct"/>
            <w:noWrap/>
            <w:vAlign w:val="center"/>
          </w:tcPr>
          <w:p w14:paraId="67EAE585" w14:textId="77777777" w:rsidR="00FC1AA4" w:rsidRPr="0029055C" w:rsidRDefault="00FC1AA4" w:rsidP="00462B17">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 xml:space="preserve">Στόχος </w:t>
            </w:r>
            <w:r w:rsidR="00462B17" w:rsidRPr="0029055C">
              <w:rPr>
                <w:rFonts w:asciiTheme="minorHAnsi" w:hAnsiTheme="minorHAnsi" w:cstheme="minorHAnsi"/>
                <w:sz w:val="18"/>
                <w:szCs w:val="20"/>
              </w:rPr>
              <w:br/>
            </w:r>
            <w:r w:rsidRPr="0029055C">
              <w:rPr>
                <w:rFonts w:asciiTheme="minorHAnsi" w:hAnsiTheme="minorHAnsi" w:cstheme="minorHAnsi"/>
                <w:sz w:val="18"/>
                <w:szCs w:val="20"/>
              </w:rPr>
              <w:t>2023</w:t>
            </w:r>
          </w:p>
        </w:tc>
        <w:tc>
          <w:tcPr>
            <w:tcW w:w="641" w:type="pct"/>
            <w:noWrap/>
            <w:vAlign w:val="center"/>
          </w:tcPr>
          <w:p w14:paraId="39740020" w14:textId="77777777" w:rsidR="00FC1AA4" w:rsidRPr="0029055C" w:rsidRDefault="00FC1AA4" w:rsidP="00462B17">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Ενταγμένων Πράξεων</w:t>
            </w:r>
          </w:p>
        </w:tc>
        <w:tc>
          <w:tcPr>
            <w:tcW w:w="641" w:type="pct"/>
            <w:vAlign w:val="center"/>
          </w:tcPr>
          <w:p w14:paraId="3235992D" w14:textId="77777777" w:rsidR="00FC1AA4" w:rsidRPr="0029055C" w:rsidRDefault="00FC1AA4" w:rsidP="00462B17">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Επίτευξη 31.12.17</w:t>
            </w:r>
          </w:p>
        </w:tc>
        <w:tc>
          <w:tcPr>
            <w:tcW w:w="640" w:type="pct"/>
            <w:vAlign w:val="center"/>
          </w:tcPr>
          <w:p w14:paraId="4D422D1C" w14:textId="77777777" w:rsidR="00FC1AA4" w:rsidRPr="0029055C" w:rsidRDefault="00FC1AA4" w:rsidP="00462B17">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Εκτίμηση Επίτευξης 31.12.23</w:t>
            </w:r>
          </w:p>
        </w:tc>
      </w:tr>
      <w:tr w:rsidR="00FC1AA4" w:rsidRPr="0029055C" w14:paraId="481CC9D0" w14:textId="77777777" w:rsidTr="00B44C7E">
        <w:tc>
          <w:tcPr>
            <w:cnfStyle w:val="001000000000" w:firstRow="0" w:lastRow="0" w:firstColumn="1" w:lastColumn="0" w:oddVBand="0" w:evenVBand="0" w:oddHBand="0" w:evenHBand="0" w:firstRowFirstColumn="0" w:firstRowLastColumn="0" w:lastRowFirstColumn="0" w:lastRowLastColumn="0"/>
            <w:tcW w:w="1796" w:type="pct"/>
            <w:noWrap/>
          </w:tcPr>
          <w:p w14:paraId="12B00DAC" w14:textId="77777777" w:rsidR="00FC1AA4" w:rsidRPr="0029055C" w:rsidRDefault="00FC1AA4" w:rsidP="00351B2D">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T4612. </w:t>
            </w:r>
            <w:r w:rsidRPr="0029055C">
              <w:rPr>
                <w:rFonts w:asciiTheme="minorHAnsi" w:hAnsiTheme="minorHAnsi" w:cstheme="minorHAnsi"/>
                <w:b w:val="0"/>
                <w:sz w:val="18"/>
                <w:szCs w:val="20"/>
              </w:rPr>
              <w:t>Αριθμός φορέων δημόσιας διοίκησης που εφαρμόζουν νέες οριζόντιες πολιτικές  ανθρώπινου δυναμικού</w:t>
            </w:r>
          </w:p>
        </w:tc>
        <w:tc>
          <w:tcPr>
            <w:tcW w:w="641" w:type="pct"/>
            <w:vAlign w:val="center"/>
          </w:tcPr>
          <w:p w14:paraId="07094D57"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8</w:t>
            </w:r>
          </w:p>
        </w:tc>
        <w:tc>
          <w:tcPr>
            <w:tcW w:w="641" w:type="pct"/>
            <w:noWrap/>
            <w:vAlign w:val="center"/>
          </w:tcPr>
          <w:p w14:paraId="0AE8AB85"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25</w:t>
            </w:r>
          </w:p>
        </w:tc>
        <w:tc>
          <w:tcPr>
            <w:tcW w:w="641" w:type="pct"/>
            <w:noWrap/>
            <w:vAlign w:val="center"/>
          </w:tcPr>
          <w:p w14:paraId="1B08C78A"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641" w:type="pct"/>
            <w:vAlign w:val="center"/>
          </w:tcPr>
          <w:p w14:paraId="3ADBB1C7"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640" w:type="pct"/>
            <w:vAlign w:val="center"/>
          </w:tcPr>
          <w:p w14:paraId="1940056C"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25</w:t>
            </w:r>
          </w:p>
        </w:tc>
      </w:tr>
      <w:tr w:rsidR="00FC1AA4" w:rsidRPr="0029055C" w14:paraId="1FD059A7" w14:textId="77777777" w:rsidTr="00B44C7E">
        <w:tc>
          <w:tcPr>
            <w:cnfStyle w:val="001000000000" w:firstRow="0" w:lastRow="0" w:firstColumn="1" w:lastColumn="0" w:oddVBand="0" w:evenVBand="0" w:oddHBand="0" w:evenHBand="0" w:firstRowFirstColumn="0" w:firstRowLastColumn="0" w:lastRowFirstColumn="0" w:lastRowLastColumn="0"/>
            <w:tcW w:w="1796" w:type="pct"/>
            <w:noWrap/>
          </w:tcPr>
          <w:p w14:paraId="137718A4" w14:textId="77777777" w:rsidR="00FC1AA4" w:rsidRPr="0029055C" w:rsidRDefault="00FC1AA4" w:rsidP="00351B2D">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lastRenderedPageBreak/>
              <w:t xml:space="preserve">T4613.  </w:t>
            </w:r>
            <w:r w:rsidRPr="0029055C">
              <w:rPr>
                <w:rFonts w:asciiTheme="minorHAnsi" w:hAnsiTheme="minorHAnsi" w:cstheme="minorHAnsi"/>
                <w:b w:val="0"/>
                <w:sz w:val="18"/>
                <w:szCs w:val="20"/>
              </w:rPr>
              <w:t>Αριθμός δημοσίων υπαλλήλων που πιστοποιήθηκαν μετά την παρακολούθηση προγραμμάτων κατάρτισης</w:t>
            </w:r>
          </w:p>
        </w:tc>
        <w:tc>
          <w:tcPr>
            <w:tcW w:w="641" w:type="pct"/>
            <w:vAlign w:val="center"/>
          </w:tcPr>
          <w:p w14:paraId="5AF90A84"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97.393</w:t>
            </w:r>
          </w:p>
        </w:tc>
        <w:tc>
          <w:tcPr>
            <w:tcW w:w="641" w:type="pct"/>
            <w:noWrap/>
            <w:vAlign w:val="center"/>
          </w:tcPr>
          <w:p w14:paraId="1F1559F9"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196.033</w:t>
            </w:r>
          </w:p>
        </w:tc>
        <w:tc>
          <w:tcPr>
            <w:tcW w:w="641" w:type="pct"/>
            <w:noWrap/>
            <w:vAlign w:val="center"/>
          </w:tcPr>
          <w:p w14:paraId="11296E24"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158.509</w:t>
            </w:r>
          </w:p>
        </w:tc>
        <w:tc>
          <w:tcPr>
            <w:tcW w:w="641" w:type="pct"/>
            <w:vAlign w:val="center"/>
          </w:tcPr>
          <w:p w14:paraId="7D7315E5"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115.317</w:t>
            </w:r>
          </w:p>
        </w:tc>
        <w:tc>
          <w:tcPr>
            <w:tcW w:w="640" w:type="pct"/>
            <w:vAlign w:val="center"/>
          </w:tcPr>
          <w:p w14:paraId="431BE295"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210.000</w:t>
            </w:r>
          </w:p>
        </w:tc>
      </w:tr>
      <w:tr w:rsidR="00FC1AA4" w:rsidRPr="0029055C" w14:paraId="22AF069B" w14:textId="77777777" w:rsidTr="00B44C7E">
        <w:tc>
          <w:tcPr>
            <w:cnfStyle w:val="001000000000" w:firstRow="0" w:lastRow="0" w:firstColumn="1" w:lastColumn="0" w:oddVBand="0" w:evenVBand="0" w:oddHBand="0" w:evenHBand="0" w:firstRowFirstColumn="0" w:firstRowLastColumn="0" w:lastRowFirstColumn="0" w:lastRowLastColumn="0"/>
            <w:tcW w:w="1796" w:type="pct"/>
            <w:noWrap/>
          </w:tcPr>
          <w:p w14:paraId="170C283F" w14:textId="77777777" w:rsidR="00FC1AA4" w:rsidRPr="0029055C" w:rsidRDefault="00FC1AA4" w:rsidP="00351B2D">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T4614. </w:t>
            </w:r>
            <w:r w:rsidRPr="0029055C">
              <w:rPr>
                <w:rFonts w:asciiTheme="minorHAnsi" w:hAnsiTheme="minorHAnsi" w:cstheme="minorHAnsi"/>
                <w:b w:val="0"/>
                <w:sz w:val="18"/>
                <w:szCs w:val="20"/>
              </w:rPr>
              <w:t>Αριθμός στελεχών ταχείας εξέλιξης για την υποβοήθηση των μεταρρυθμίσεων που καταρτίστηκαν και τοποθετήθηκαν σε θέσεις του Δημόσιου Τομέα</w:t>
            </w:r>
            <w:r w:rsidRPr="0029055C">
              <w:rPr>
                <w:rFonts w:asciiTheme="minorHAnsi" w:hAnsiTheme="minorHAnsi" w:cstheme="minorHAnsi"/>
                <w:sz w:val="18"/>
                <w:szCs w:val="20"/>
              </w:rPr>
              <w:t xml:space="preserve"> </w:t>
            </w:r>
          </w:p>
        </w:tc>
        <w:tc>
          <w:tcPr>
            <w:tcW w:w="641" w:type="pct"/>
            <w:vAlign w:val="center"/>
          </w:tcPr>
          <w:p w14:paraId="4870C4CA"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20"/>
              </w:rPr>
            </w:pPr>
            <w:r w:rsidRPr="0029055C">
              <w:rPr>
                <w:rFonts w:asciiTheme="minorHAnsi" w:hAnsiTheme="minorHAnsi" w:cstheme="minorHAnsi"/>
                <w:bCs/>
                <w:sz w:val="18"/>
                <w:szCs w:val="20"/>
              </w:rPr>
              <w:t>917</w:t>
            </w:r>
          </w:p>
        </w:tc>
        <w:tc>
          <w:tcPr>
            <w:tcW w:w="641" w:type="pct"/>
            <w:noWrap/>
            <w:vAlign w:val="center"/>
          </w:tcPr>
          <w:p w14:paraId="293A534C"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1.917</w:t>
            </w:r>
          </w:p>
        </w:tc>
        <w:tc>
          <w:tcPr>
            <w:tcW w:w="641" w:type="pct"/>
            <w:noWrap/>
            <w:vAlign w:val="center"/>
          </w:tcPr>
          <w:p w14:paraId="3D9A6340"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1.330</w:t>
            </w:r>
          </w:p>
        </w:tc>
        <w:tc>
          <w:tcPr>
            <w:tcW w:w="641" w:type="pct"/>
            <w:vAlign w:val="center"/>
          </w:tcPr>
          <w:p w14:paraId="66DE6384"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549</w:t>
            </w:r>
          </w:p>
        </w:tc>
        <w:tc>
          <w:tcPr>
            <w:tcW w:w="640" w:type="pct"/>
            <w:vAlign w:val="center"/>
          </w:tcPr>
          <w:p w14:paraId="7C9CB3EA" w14:textId="77777777" w:rsidR="00FC1AA4" w:rsidRPr="0029055C" w:rsidRDefault="00FC1AA4" w:rsidP="00FC1AA4">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p>
        </w:tc>
      </w:tr>
    </w:tbl>
    <w:p w14:paraId="2F9D1FAF" w14:textId="77777777" w:rsidR="00414795" w:rsidRPr="0029055C" w:rsidRDefault="00414795" w:rsidP="00414795">
      <w:pPr>
        <w:rPr>
          <w:rFonts w:cstheme="minorHAnsi"/>
          <w:sz w:val="22"/>
          <w:szCs w:val="22"/>
        </w:rPr>
      </w:pPr>
      <w:r w:rsidRPr="0029055C">
        <w:rPr>
          <w:rFonts w:cstheme="minorHAnsi"/>
          <w:sz w:val="22"/>
          <w:szCs w:val="22"/>
        </w:rPr>
        <w:t xml:space="preserve">Με βάση τα στοιχεία του ανωτέρω Πίνακα, η πρόοδος υλοποίησης των δεικτών αποτελέσματος του Θεματικού Άξονα </w:t>
      </w:r>
      <w:r w:rsidR="001B3747" w:rsidRPr="0029055C">
        <w:rPr>
          <w:rFonts w:cstheme="minorHAnsi"/>
          <w:sz w:val="22"/>
          <w:szCs w:val="22"/>
        </w:rPr>
        <w:t>ΙΙΙ</w:t>
      </w:r>
      <w:r w:rsidRPr="0029055C">
        <w:rPr>
          <w:rFonts w:cstheme="minorHAnsi"/>
          <w:sz w:val="22"/>
          <w:szCs w:val="22"/>
        </w:rPr>
        <w:t xml:space="preserve"> έχει ως εξής:</w:t>
      </w:r>
    </w:p>
    <w:p w14:paraId="39D538F8" w14:textId="77777777" w:rsidR="00AD2880" w:rsidRPr="0029055C" w:rsidRDefault="00414795" w:rsidP="00AD2880">
      <w:pPr>
        <w:pStyle w:val="ListParagraph"/>
        <w:numPr>
          <w:ilvl w:val="0"/>
          <w:numId w:val="17"/>
        </w:numPr>
        <w:spacing w:line="280" w:lineRule="atLeast"/>
        <w:ind w:left="714" w:hanging="357"/>
        <w:contextualSpacing w:val="0"/>
        <w:rPr>
          <w:rFonts w:cstheme="minorHAnsi"/>
          <w:sz w:val="22"/>
          <w:szCs w:val="22"/>
        </w:rPr>
      </w:pPr>
      <w:r w:rsidRPr="0029055C">
        <w:rPr>
          <w:rFonts w:cstheme="minorHAnsi"/>
          <w:b/>
          <w:color w:val="31849B" w:themeColor="accent5" w:themeShade="BF"/>
          <w:sz w:val="22"/>
          <w:szCs w:val="22"/>
        </w:rPr>
        <w:t>Τ4612</w:t>
      </w:r>
      <w:r w:rsidRPr="0029055C">
        <w:rPr>
          <w:rFonts w:cstheme="minorHAnsi"/>
          <w:color w:val="31849B" w:themeColor="accent5" w:themeShade="BF"/>
          <w:sz w:val="22"/>
          <w:szCs w:val="22"/>
        </w:rPr>
        <w:t>: Αριθμός φορέων δημόσιας διοίκησης που εφαρμόζουν νέες οριζόντιες πολιτικές  ανθρώπινου δυναμικού.</w:t>
      </w:r>
      <w:r w:rsidRPr="0029055C">
        <w:rPr>
          <w:rFonts w:cstheme="minorHAnsi"/>
          <w:sz w:val="22"/>
          <w:szCs w:val="22"/>
        </w:rPr>
        <w:t xml:space="preserve"> </w:t>
      </w:r>
      <w:r w:rsidR="00AD2880" w:rsidRPr="0029055C">
        <w:rPr>
          <w:rFonts w:cstheme="minorHAnsi"/>
          <w:sz w:val="22"/>
          <w:szCs w:val="22"/>
        </w:rPr>
        <w:t xml:space="preserve">Ο δείκτης αποτελέσματος Τ4612 συνδέεται με τον δείκτη εκροής </w:t>
      </w:r>
      <w:r w:rsidR="00AD2880" w:rsidRPr="0029055C">
        <w:rPr>
          <w:rFonts w:cstheme="minorHAnsi"/>
          <w:i/>
          <w:sz w:val="22"/>
          <w:szCs w:val="22"/>
        </w:rPr>
        <w:t>Τ4633 «Αριθμός έργων δημιουργίας και εφαρμογής ενιαίας ψηφιακής διαχείρισης ανθρώπινου δυναμικού της δημόσιας διοίκησης»</w:t>
      </w:r>
      <w:r w:rsidR="00AD2880" w:rsidRPr="0029055C">
        <w:rPr>
          <w:rFonts w:cstheme="minorHAnsi"/>
          <w:sz w:val="22"/>
          <w:szCs w:val="22"/>
        </w:rPr>
        <w:t xml:space="preserve">. Η τιμή στόχος του δείκτη για το έτος 2023 είναι 25 και αφορά στην εφαρμογή των νέων οριζόντιων πολιτικών διαχείρισης ανθρωπίνου δυναμικού από 18 Υπουργεία και 7 Αποκεντρωμένες Διοικήσεις. Ο δείκτης παρουσιάζει μηδενική υλοποίηση, αλλά εκτιμάται ότι θα επιτευχθεί έως το τέλος της ΠΠ. </w:t>
      </w:r>
    </w:p>
    <w:p w14:paraId="43F74501" w14:textId="77777777" w:rsidR="00414795" w:rsidRPr="0029055C" w:rsidRDefault="00AD2880" w:rsidP="00676C1A">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Τ4613</w:t>
      </w:r>
      <w:r w:rsidRPr="0029055C">
        <w:rPr>
          <w:rFonts w:cstheme="minorHAnsi"/>
          <w:color w:val="31849B" w:themeColor="accent5" w:themeShade="BF"/>
          <w:sz w:val="22"/>
          <w:szCs w:val="22"/>
        </w:rPr>
        <w:t xml:space="preserve">: Αριθμός δημοσίων υπαλλήλων που πιστοποιήθηκαν μετά την παρακολούθηση προγραμμάτων κατάρτισης. </w:t>
      </w:r>
      <w:r w:rsidRPr="0029055C">
        <w:rPr>
          <w:rFonts w:cstheme="minorHAnsi"/>
          <w:sz w:val="22"/>
          <w:szCs w:val="22"/>
        </w:rPr>
        <w:t xml:space="preserve">Ο δείκτης αποτελέσματος Τ4613 συνδέεται με τους δείκτες εκροής </w:t>
      </w:r>
      <w:r w:rsidRPr="0029055C">
        <w:rPr>
          <w:rFonts w:cstheme="minorHAnsi"/>
          <w:i/>
          <w:sz w:val="22"/>
          <w:szCs w:val="22"/>
        </w:rPr>
        <w:t>Τ4635 «Αριθμός δημοσίων υπαλλήλων που συμμετέχουν σε προγράμματα κατάρτισης για την ανάπτυξη δεξιοτήτων/διοικητικών ικανοτήτων»</w:t>
      </w:r>
      <w:r w:rsidRPr="0029055C">
        <w:rPr>
          <w:rFonts w:cstheme="minorHAnsi"/>
          <w:sz w:val="22"/>
          <w:szCs w:val="22"/>
        </w:rPr>
        <w:t xml:space="preserve"> και </w:t>
      </w:r>
      <w:r w:rsidRPr="0029055C">
        <w:rPr>
          <w:rFonts w:cstheme="minorHAnsi"/>
          <w:i/>
          <w:sz w:val="22"/>
          <w:szCs w:val="22"/>
        </w:rPr>
        <w:t xml:space="preserve">Τ4636, «Αριθμός δημοσίων υπαλλήλων που συμμετέχουν σε προγράμματα εξ αποστάσεως εκπαίδευσης». </w:t>
      </w:r>
      <w:r w:rsidR="00676C1A" w:rsidRPr="0029055C">
        <w:rPr>
          <w:rFonts w:cstheme="minorHAnsi"/>
          <w:sz w:val="22"/>
          <w:szCs w:val="22"/>
        </w:rPr>
        <w:t>Ο στόχος του δείκτη για το 2023 (98.640 πρόσθετοι πιστοποιημένοι δημόσιοι υπάλληλοι) έχει ήδη καλυφθεί με βάση τα στοιχεία υλοποίησης των σχετικών δράσεων που τροφοδοτούν το δείκτη έως το τέλος του 2017 (τιμή υλοποίησης δείκτη 31.12.2017: 115.317). Λαμβάνοντας υπόψη την πρόοδο υλοποίησης των δράσεων κατάρτισης του ανθρώπινου δυναμικού του δημόσιου τομέα, καθώς και τον υφιστάμενο προγραμματισμό για την υπόλοιπη περίοδο έως το τέλος της ΠΠ, προτείνεται αύξηση της τιμής στόχου του δείκτη για το 2023 από 196.033 σε 210.000.</w:t>
      </w:r>
    </w:p>
    <w:p w14:paraId="001F1913" w14:textId="77777777" w:rsidR="001E14FB" w:rsidRPr="0029055C" w:rsidRDefault="00EA5735" w:rsidP="001E14FB">
      <w:pPr>
        <w:pStyle w:val="ListParagraph"/>
        <w:numPr>
          <w:ilvl w:val="0"/>
          <w:numId w:val="17"/>
        </w:numPr>
        <w:spacing w:line="280" w:lineRule="atLeast"/>
        <w:contextualSpacing w:val="0"/>
        <w:rPr>
          <w:rFonts w:cstheme="minorHAnsi"/>
          <w:color w:val="31849B" w:themeColor="accent5" w:themeShade="BF"/>
          <w:sz w:val="22"/>
          <w:szCs w:val="22"/>
        </w:rPr>
      </w:pPr>
      <w:r w:rsidRPr="0029055C">
        <w:rPr>
          <w:rFonts w:cstheme="minorHAnsi"/>
          <w:b/>
          <w:color w:val="31849B" w:themeColor="accent5" w:themeShade="BF"/>
          <w:sz w:val="22"/>
          <w:szCs w:val="22"/>
        </w:rPr>
        <w:t>Τ4614</w:t>
      </w:r>
      <w:r w:rsidRPr="0029055C">
        <w:rPr>
          <w:rFonts w:cstheme="minorHAnsi"/>
          <w:color w:val="31849B" w:themeColor="accent5" w:themeShade="BF"/>
          <w:sz w:val="22"/>
          <w:szCs w:val="22"/>
        </w:rPr>
        <w:t xml:space="preserve">: Αριθμός στελεχών ταχείας εξέλιξης για την υποβοήθηση των μεταρρυθμίσεων που καταρτίστηκαν και τοποθετήθηκαν σε θέσεις του Δημόσιου Τομέα. </w:t>
      </w:r>
      <w:r w:rsidRPr="0029055C">
        <w:rPr>
          <w:rFonts w:cstheme="minorHAnsi"/>
          <w:sz w:val="22"/>
          <w:szCs w:val="22"/>
        </w:rPr>
        <w:t xml:space="preserve">Ο δείκτης αποτελέσματος Τ4614 συνδέεται με το δείκτη εκροής </w:t>
      </w:r>
      <w:r w:rsidRPr="0029055C">
        <w:rPr>
          <w:rFonts w:cstheme="minorHAnsi"/>
          <w:i/>
          <w:sz w:val="22"/>
          <w:szCs w:val="22"/>
        </w:rPr>
        <w:t>Τ4638 «Αριθμός στελεχών που παρακολουθεί προγράμματα ταχείας εξέλιξης»</w:t>
      </w:r>
      <w:r w:rsidRPr="0029055C">
        <w:rPr>
          <w:rFonts w:cstheme="minorHAnsi"/>
          <w:sz w:val="22"/>
          <w:szCs w:val="22"/>
        </w:rPr>
        <w:t xml:space="preserve">. Η τιμή στόχος του δείκτη είναι 1.917 </w:t>
      </w:r>
      <w:r w:rsidR="00916856" w:rsidRPr="0029055C">
        <w:rPr>
          <w:rFonts w:cstheme="minorHAnsi"/>
          <w:sz w:val="22"/>
          <w:szCs w:val="22"/>
        </w:rPr>
        <w:t xml:space="preserve">στελέχη ταχείας εξέλιξης που τοποθετήθηκαν σε θέσεις του Δημόσιου Τομέα </w:t>
      </w:r>
      <w:r w:rsidRPr="0029055C">
        <w:rPr>
          <w:rFonts w:cstheme="minorHAnsi"/>
          <w:sz w:val="22"/>
          <w:szCs w:val="22"/>
        </w:rPr>
        <w:t>και προκύπτει από τη</w:t>
      </w:r>
      <w:r w:rsidR="00916856" w:rsidRPr="0029055C">
        <w:rPr>
          <w:rFonts w:cstheme="minorHAnsi"/>
          <w:sz w:val="22"/>
          <w:szCs w:val="22"/>
        </w:rPr>
        <w:t xml:space="preserve">ν κατάρτιση και τοποθέτηση σε θέσεις του Δημόσιου Τομέα 1.000 πρόσθετων στελεχών (400 Δημόσιοι Υπάλληλοι από το ΕΚΔΔΑ &amp; 600 δικαστικοί λειτουργοί από την ΕΣΔι), με τιμή βάσης του δείκτη 917. </w:t>
      </w:r>
      <w:r w:rsidRPr="0029055C">
        <w:rPr>
          <w:rFonts w:cstheme="minorHAnsi"/>
          <w:sz w:val="22"/>
          <w:szCs w:val="22"/>
        </w:rPr>
        <w:t>Ο δείκτης έχει ήδη επιτευχθεί σε ποσοστό 5</w:t>
      </w:r>
      <w:r w:rsidR="00916856" w:rsidRPr="0029055C">
        <w:rPr>
          <w:rFonts w:cstheme="minorHAnsi"/>
          <w:sz w:val="22"/>
          <w:szCs w:val="22"/>
        </w:rPr>
        <w:t>4,9</w:t>
      </w:r>
      <w:r w:rsidRPr="0029055C">
        <w:rPr>
          <w:rFonts w:cstheme="minorHAnsi"/>
          <w:sz w:val="22"/>
          <w:szCs w:val="22"/>
        </w:rPr>
        <w:t>%</w:t>
      </w:r>
      <w:r w:rsidR="00916856" w:rsidRPr="0029055C">
        <w:rPr>
          <w:rFonts w:cstheme="minorHAnsi"/>
          <w:sz w:val="22"/>
          <w:szCs w:val="22"/>
        </w:rPr>
        <w:t>, λαμβάνοντας υπόψη ότι μέχρι το τέλος του 2017 είχαν καταρτισθεί και τοποθετηθεί σε θέσεις του Δημόσιου Τομέα 549 στελέχη. Ο στόχος του δείκτη εκτιμάται ότι θα επιτευχθεί έως το τέλος της ΠΠ.</w:t>
      </w:r>
    </w:p>
    <w:p w14:paraId="44119BFC" w14:textId="77777777" w:rsidR="001E14FB" w:rsidRPr="0029055C" w:rsidRDefault="001E14FB" w:rsidP="00136BEA">
      <w:pPr>
        <w:pStyle w:val="Heading3"/>
        <w:pageBreakBefore/>
      </w:pPr>
      <w:bookmarkStart w:id="17" w:name="_Toc519758765"/>
      <w:r w:rsidRPr="0029055C">
        <w:lastRenderedPageBreak/>
        <w:t xml:space="preserve">Θεματικός Άξονας </w:t>
      </w:r>
      <w:r w:rsidR="001B3747" w:rsidRPr="0029055C">
        <w:t>IV</w:t>
      </w:r>
      <w:r w:rsidRPr="0029055C">
        <w:t xml:space="preserve"> </w:t>
      </w:r>
      <w:r w:rsidR="00281C61" w:rsidRPr="0029055C">
        <w:t>«Τεχνική Υποστήριξη για την Εφαρμογή / Υλοποίηση των Δράσεων ΕΚΤ του Επιχειρησιακού Προγράμματος» (Άξονες Προτεραιότητας 10,11 &amp; 12</w:t>
      </w:r>
      <w:r w:rsidRPr="0029055C">
        <w:t>)</w:t>
      </w:r>
      <w:bookmarkEnd w:id="17"/>
    </w:p>
    <w:p w14:paraId="7299E138" w14:textId="77777777" w:rsidR="008A638E" w:rsidRPr="0029055C" w:rsidRDefault="008A638E" w:rsidP="00136BEA">
      <w:pPr>
        <w:keepNext/>
        <w:spacing w:line="280" w:lineRule="atLeast"/>
        <w:rPr>
          <w:sz w:val="22"/>
        </w:rPr>
      </w:pPr>
      <w:r w:rsidRPr="0029055C">
        <w:rPr>
          <w:sz w:val="22"/>
          <w:lang w:eastAsia="en-US"/>
        </w:rPr>
        <w:t xml:space="preserve">Ο Θεματικός Άξονας </w:t>
      </w:r>
      <w:r w:rsidR="001B3747" w:rsidRPr="0029055C">
        <w:rPr>
          <w:sz w:val="22"/>
          <w:lang w:eastAsia="en-US"/>
        </w:rPr>
        <w:t>IV</w:t>
      </w:r>
      <w:r w:rsidRPr="0029055C">
        <w:rPr>
          <w:sz w:val="22"/>
          <w:lang w:eastAsia="en-US"/>
        </w:rPr>
        <w:t xml:space="preserve"> του ΕΠ ΜΔΤ αφορά στην Τεχνική Βοήθεια του Προγράμματος για την εφαρμογή των δράσεων ΕΚΤ που υλοποιούνται στο πλαίσιο των Θεματικών Αξόνων </w:t>
      </w:r>
      <w:r w:rsidR="001B3747" w:rsidRPr="0029055C">
        <w:rPr>
          <w:sz w:val="22"/>
          <w:lang w:eastAsia="en-US"/>
        </w:rPr>
        <w:t>I</w:t>
      </w:r>
      <w:r w:rsidRPr="0029055C">
        <w:rPr>
          <w:sz w:val="22"/>
          <w:lang w:eastAsia="en-US"/>
        </w:rPr>
        <w:t xml:space="preserve"> και </w:t>
      </w:r>
      <w:r w:rsidR="001B3747" w:rsidRPr="0029055C">
        <w:rPr>
          <w:sz w:val="22"/>
          <w:lang w:eastAsia="en-US"/>
        </w:rPr>
        <w:t>III</w:t>
      </w:r>
      <w:r w:rsidRPr="0029055C">
        <w:rPr>
          <w:sz w:val="22"/>
          <w:lang w:eastAsia="en-US"/>
        </w:rPr>
        <w:t xml:space="preserve"> και περιλαμβάνει δράσεις για </w:t>
      </w:r>
      <w:r w:rsidRPr="0029055C">
        <w:rPr>
          <w:sz w:val="22"/>
        </w:rPr>
        <w:t xml:space="preserve">την ενίσχυση των συστημάτων και των διαδικασιών της Διαχειριστικής Αρχής, των υποστηρικτικών δομών του συστήματος διοίκησης, καθώς και των Δικαιούχων και λοιπών εμπλεκομένων με στόχο την αποτελεσματική εφαρμογή των δράσεων ΕΚΤ του Επιχειρησιακού Προγράμματος. Ειδικότερα, περιλαμβάνει: </w:t>
      </w:r>
    </w:p>
    <w:p w14:paraId="1462254C" w14:textId="77777777" w:rsidR="008A638E" w:rsidRPr="0029055C" w:rsidRDefault="008A638E" w:rsidP="008A638E">
      <w:pPr>
        <w:pStyle w:val="ListParagraph"/>
        <w:numPr>
          <w:ilvl w:val="0"/>
          <w:numId w:val="15"/>
        </w:numPr>
        <w:spacing w:line="280" w:lineRule="atLeast"/>
        <w:contextualSpacing w:val="0"/>
        <w:rPr>
          <w:sz w:val="22"/>
        </w:rPr>
      </w:pPr>
      <w:r w:rsidRPr="0029055C">
        <w:rPr>
          <w:sz w:val="22"/>
        </w:rPr>
        <w:t xml:space="preserve">Δράσεις για την προετοιμασία, εφαρμογή, παρακολούθηση και επιθεώρηση του Επιχειρησιακού Προγράμματος </w:t>
      </w:r>
    </w:p>
    <w:p w14:paraId="143D8325" w14:textId="77777777" w:rsidR="008A638E" w:rsidRPr="0029055C" w:rsidRDefault="008A638E" w:rsidP="008A638E">
      <w:pPr>
        <w:pStyle w:val="ListParagraph"/>
        <w:numPr>
          <w:ilvl w:val="0"/>
          <w:numId w:val="15"/>
        </w:numPr>
        <w:spacing w:line="280" w:lineRule="atLeast"/>
        <w:contextualSpacing w:val="0"/>
        <w:rPr>
          <w:sz w:val="22"/>
        </w:rPr>
      </w:pPr>
      <w:r w:rsidRPr="0029055C">
        <w:rPr>
          <w:sz w:val="22"/>
        </w:rPr>
        <w:t xml:space="preserve">Εκπόνηση Αξιολογήσεων, Μελετών – Εμπειρογνωμοσυνών και Υπηρεσίες Τεχνικών Συμβούλων </w:t>
      </w:r>
    </w:p>
    <w:p w14:paraId="16DCCE34" w14:textId="77777777" w:rsidR="008A638E" w:rsidRPr="0029055C" w:rsidRDefault="008A638E" w:rsidP="008A638E">
      <w:pPr>
        <w:pStyle w:val="ListParagraph"/>
        <w:numPr>
          <w:ilvl w:val="0"/>
          <w:numId w:val="15"/>
        </w:numPr>
        <w:spacing w:line="280" w:lineRule="atLeast"/>
        <w:contextualSpacing w:val="0"/>
        <w:rPr>
          <w:sz w:val="22"/>
        </w:rPr>
      </w:pPr>
      <w:r w:rsidRPr="0029055C">
        <w:rPr>
          <w:sz w:val="22"/>
        </w:rPr>
        <w:t xml:space="preserve">Ενέργειες Πληροφόρησης και Επικοινωνίας </w:t>
      </w:r>
    </w:p>
    <w:p w14:paraId="2FDF575D" w14:textId="77777777" w:rsidR="001E14FB" w:rsidRPr="0029055C" w:rsidRDefault="001E14FB" w:rsidP="001E14FB">
      <w:pPr>
        <w:spacing w:line="280" w:lineRule="atLeast"/>
        <w:rPr>
          <w:sz w:val="22"/>
        </w:rPr>
      </w:pPr>
      <w:r w:rsidRPr="0029055C">
        <w:rPr>
          <w:sz w:val="22"/>
        </w:rPr>
        <w:t xml:space="preserve">Η συγχρηματοδοτούμενη δημόσια δαπάνη του Θεματικού Άξονα </w:t>
      </w:r>
      <w:r w:rsidR="001B3747" w:rsidRPr="0029055C">
        <w:rPr>
          <w:sz w:val="22"/>
        </w:rPr>
        <w:t>IV</w:t>
      </w:r>
      <w:r w:rsidRPr="0029055C">
        <w:rPr>
          <w:sz w:val="22"/>
        </w:rPr>
        <w:t xml:space="preserve"> ανέρχεται σε </w:t>
      </w:r>
      <w:r w:rsidRPr="0029055C">
        <w:rPr>
          <w:b/>
          <w:sz w:val="22"/>
        </w:rPr>
        <w:t>7.</w:t>
      </w:r>
      <w:r w:rsidR="008A638E" w:rsidRPr="0029055C">
        <w:rPr>
          <w:b/>
          <w:sz w:val="22"/>
        </w:rPr>
        <w:t>393</w:t>
      </w:r>
      <w:r w:rsidRPr="0029055C">
        <w:rPr>
          <w:b/>
          <w:sz w:val="22"/>
        </w:rPr>
        <w:t>.</w:t>
      </w:r>
      <w:r w:rsidR="008A638E" w:rsidRPr="0029055C">
        <w:rPr>
          <w:b/>
          <w:sz w:val="22"/>
        </w:rPr>
        <w:t>572</w:t>
      </w:r>
      <w:r w:rsidRPr="0029055C">
        <w:rPr>
          <w:b/>
          <w:sz w:val="22"/>
        </w:rPr>
        <w:t xml:space="preserve"> €</w:t>
      </w:r>
      <w:r w:rsidRPr="0029055C">
        <w:rPr>
          <w:sz w:val="22"/>
        </w:rPr>
        <w:t xml:space="preserve"> και αντιπροσωπεύει το </w:t>
      </w:r>
      <w:r w:rsidR="008A638E" w:rsidRPr="0029055C">
        <w:rPr>
          <w:b/>
          <w:sz w:val="22"/>
        </w:rPr>
        <w:t>1</w:t>
      </w:r>
      <w:r w:rsidRPr="0029055C">
        <w:rPr>
          <w:b/>
          <w:sz w:val="22"/>
        </w:rPr>
        <w:t>,</w:t>
      </w:r>
      <w:r w:rsidR="008A638E" w:rsidRPr="0029055C">
        <w:rPr>
          <w:b/>
          <w:sz w:val="22"/>
        </w:rPr>
        <w:t>43</w:t>
      </w:r>
      <w:r w:rsidRPr="0029055C">
        <w:rPr>
          <w:b/>
          <w:sz w:val="22"/>
        </w:rPr>
        <w:t>%</w:t>
      </w:r>
      <w:r w:rsidRPr="0029055C">
        <w:rPr>
          <w:sz w:val="22"/>
        </w:rPr>
        <w:t xml:space="preserve"> του συνολικού προϋπολογισμού του Προγράμματος. Η συνολική </w:t>
      </w:r>
      <w:r w:rsidRPr="0029055C">
        <w:rPr>
          <w:b/>
          <w:sz w:val="22"/>
        </w:rPr>
        <w:t>εξειδίκευση</w:t>
      </w:r>
      <w:r w:rsidRPr="0029055C">
        <w:rPr>
          <w:sz w:val="22"/>
        </w:rPr>
        <w:t xml:space="preserve"> του Θεματικού Άξονα </w:t>
      </w:r>
      <w:r w:rsidR="001B3747" w:rsidRPr="0029055C">
        <w:rPr>
          <w:sz w:val="22"/>
        </w:rPr>
        <w:t>IV</w:t>
      </w:r>
      <w:r w:rsidRPr="0029055C">
        <w:rPr>
          <w:sz w:val="22"/>
        </w:rPr>
        <w:t xml:space="preserve"> ανέρχεται στο </w:t>
      </w:r>
      <w:r w:rsidR="008A638E" w:rsidRPr="0029055C">
        <w:rPr>
          <w:b/>
          <w:sz w:val="22"/>
        </w:rPr>
        <w:t>53,71</w:t>
      </w:r>
      <w:r w:rsidRPr="0029055C">
        <w:rPr>
          <w:b/>
          <w:sz w:val="22"/>
        </w:rPr>
        <w:t>%</w:t>
      </w:r>
      <w:r w:rsidRPr="0029055C">
        <w:rPr>
          <w:sz w:val="22"/>
        </w:rPr>
        <w:t>,</w:t>
      </w:r>
      <w:r w:rsidRPr="0029055C">
        <w:rPr>
          <w:b/>
          <w:sz w:val="22"/>
        </w:rPr>
        <w:t xml:space="preserve"> </w:t>
      </w:r>
      <w:r w:rsidRPr="0029055C">
        <w:rPr>
          <w:sz w:val="22"/>
        </w:rPr>
        <w:t>έχουν εκδοθεί</w:t>
      </w:r>
      <w:r w:rsidR="008A638E" w:rsidRPr="0029055C">
        <w:rPr>
          <w:b/>
          <w:sz w:val="22"/>
        </w:rPr>
        <w:t xml:space="preserve"> </w:t>
      </w:r>
      <w:r w:rsidRPr="0029055C">
        <w:rPr>
          <w:b/>
          <w:sz w:val="22"/>
        </w:rPr>
        <w:t>3 Προσκλήσεις</w:t>
      </w:r>
      <w:r w:rsidRPr="0029055C">
        <w:rPr>
          <w:sz w:val="22"/>
        </w:rPr>
        <w:t xml:space="preserve"> συνολικού προϋπολογισμού </w:t>
      </w:r>
      <w:r w:rsidR="008A638E" w:rsidRPr="0029055C">
        <w:rPr>
          <w:sz w:val="22"/>
        </w:rPr>
        <w:t>2.556.258,99</w:t>
      </w:r>
      <w:r w:rsidRPr="0029055C">
        <w:rPr>
          <w:sz w:val="22"/>
        </w:rPr>
        <w:t xml:space="preserve"> € (</w:t>
      </w:r>
      <w:r w:rsidR="00402E9A" w:rsidRPr="0029055C">
        <w:rPr>
          <w:b/>
          <w:sz w:val="22"/>
        </w:rPr>
        <w:t>34,57</w:t>
      </w:r>
      <w:r w:rsidRPr="0029055C">
        <w:rPr>
          <w:b/>
          <w:sz w:val="22"/>
        </w:rPr>
        <w:t>%</w:t>
      </w:r>
      <w:r w:rsidRPr="0029055C">
        <w:rPr>
          <w:sz w:val="22"/>
        </w:rPr>
        <w:t xml:space="preserve"> του εγκεκριμένου π/υ του ΘΑ) και η πρόοδος υλοποίησης του οικονομικού αντικειμένου του ανά </w:t>
      </w:r>
      <w:r w:rsidR="00402E9A" w:rsidRPr="0029055C">
        <w:rPr>
          <w:sz w:val="22"/>
        </w:rPr>
        <w:t xml:space="preserve">Κατηγορία Δράσης </w:t>
      </w:r>
      <w:r w:rsidRPr="0029055C">
        <w:rPr>
          <w:sz w:val="22"/>
        </w:rPr>
        <w:t xml:space="preserve">παρουσιάζεται στο </w:t>
      </w:r>
      <w:r w:rsidR="00D12AE1" w:rsidRPr="0029055C">
        <w:rPr>
          <w:sz w:val="22"/>
        </w:rPr>
        <w:t>Διάγραμμα</w:t>
      </w:r>
      <w:r w:rsidR="00402E9A" w:rsidRPr="0029055C">
        <w:rPr>
          <w:sz w:val="22"/>
        </w:rPr>
        <w:t xml:space="preserve"> και τον Πίνακα που ακολουθούν.</w:t>
      </w:r>
    </w:p>
    <w:p w14:paraId="262766A6" w14:textId="77777777" w:rsidR="001E14FB" w:rsidRPr="0029055C" w:rsidRDefault="00D12AE1" w:rsidP="00D12AE1">
      <w:pPr>
        <w:pStyle w:val="Caption"/>
        <w:rPr>
          <w:rFonts w:cstheme="minorHAnsi"/>
          <w:b w:val="0"/>
          <w:sz w:val="22"/>
          <w:szCs w:val="22"/>
        </w:rPr>
      </w:pPr>
      <w:r w:rsidRPr="0029055C">
        <w:rPr>
          <w:sz w:val="22"/>
          <w:szCs w:val="22"/>
        </w:rPr>
        <w:t xml:space="preserve">Διάγραμμα </w:t>
      </w:r>
      <w:r w:rsidRPr="0029055C">
        <w:rPr>
          <w:sz w:val="22"/>
          <w:szCs w:val="22"/>
        </w:rPr>
        <w:fldChar w:fldCharType="begin"/>
      </w:r>
      <w:r w:rsidRPr="0029055C">
        <w:rPr>
          <w:sz w:val="22"/>
          <w:szCs w:val="22"/>
        </w:rPr>
        <w:instrText xml:space="preserve"> SEQ Διάγραμμα \* ARABIC </w:instrText>
      </w:r>
      <w:r w:rsidRPr="0029055C">
        <w:rPr>
          <w:sz w:val="22"/>
          <w:szCs w:val="22"/>
        </w:rPr>
        <w:fldChar w:fldCharType="separate"/>
      </w:r>
      <w:r w:rsidR="00292BCA">
        <w:rPr>
          <w:noProof/>
          <w:sz w:val="22"/>
          <w:szCs w:val="22"/>
        </w:rPr>
        <w:t>4</w:t>
      </w:r>
      <w:r w:rsidRPr="0029055C">
        <w:rPr>
          <w:sz w:val="22"/>
          <w:szCs w:val="22"/>
        </w:rPr>
        <w:fldChar w:fldCharType="end"/>
      </w:r>
      <w:r w:rsidRPr="0029055C">
        <w:rPr>
          <w:sz w:val="22"/>
          <w:szCs w:val="22"/>
        </w:rPr>
        <w:t>.</w:t>
      </w:r>
      <w:r w:rsidR="001E14FB" w:rsidRPr="0029055C">
        <w:rPr>
          <w:sz w:val="22"/>
          <w:szCs w:val="22"/>
        </w:rPr>
        <w:t xml:space="preserve"> </w:t>
      </w:r>
      <w:r w:rsidR="001E14FB" w:rsidRPr="0029055C">
        <w:rPr>
          <w:rFonts w:cstheme="minorHAnsi"/>
          <w:b w:val="0"/>
          <w:sz w:val="22"/>
          <w:szCs w:val="22"/>
        </w:rPr>
        <w:t xml:space="preserve">Πρόοδος οικονομικού αντικειμένου του ΘΑ </w:t>
      </w:r>
      <w:r w:rsidR="001B3747" w:rsidRPr="0029055C">
        <w:rPr>
          <w:rFonts w:cstheme="minorHAnsi"/>
          <w:b w:val="0"/>
          <w:sz w:val="22"/>
          <w:szCs w:val="22"/>
        </w:rPr>
        <w:t>IV</w:t>
      </w:r>
      <w:r w:rsidR="001E14FB" w:rsidRPr="0029055C">
        <w:rPr>
          <w:rFonts w:cstheme="minorHAnsi"/>
          <w:b w:val="0"/>
          <w:sz w:val="22"/>
          <w:szCs w:val="22"/>
        </w:rPr>
        <w:t xml:space="preserve"> ανά </w:t>
      </w:r>
      <w:r w:rsidR="00402E9A" w:rsidRPr="0029055C">
        <w:rPr>
          <w:rFonts w:cstheme="minorHAnsi"/>
          <w:b w:val="0"/>
          <w:sz w:val="22"/>
          <w:szCs w:val="22"/>
        </w:rPr>
        <w:t>Κατηγορία Δράσης</w:t>
      </w:r>
      <w:r w:rsidR="001E14FB" w:rsidRPr="0029055C">
        <w:rPr>
          <w:rFonts w:cstheme="minorHAnsi"/>
          <w:b w:val="0"/>
          <w:sz w:val="22"/>
          <w:szCs w:val="22"/>
        </w:rPr>
        <w:t xml:space="preserve"> (</w:t>
      </w:r>
      <w:r w:rsidRPr="0029055C">
        <w:rPr>
          <w:rFonts w:cstheme="minorHAnsi"/>
          <w:b w:val="0"/>
          <w:sz w:val="22"/>
          <w:szCs w:val="22"/>
        </w:rPr>
        <w:t xml:space="preserve">ΔΔ, </w:t>
      </w:r>
      <w:r w:rsidR="001E14FB" w:rsidRPr="0029055C">
        <w:rPr>
          <w:rFonts w:cstheme="minorHAnsi"/>
          <w:b w:val="0"/>
          <w:sz w:val="22"/>
          <w:szCs w:val="22"/>
        </w:rPr>
        <w:t xml:space="preserve"> εκ. €) </w:t>
      </w:r>
    </w:p>
    <w:p w14:paraId="5099BC4E" w14:textId="77777777" w:rsidR="00402E9A" w:rsidRPr="0029055C" w:rsidRDefault="00402E9A" w:rsidP="001E14FB">
      <w:pPr>
        <w:tabs>
          <w:tab w:val="left" w:pos="851"/>
        </w:tabs>
        <w:spacing w:line="300" w:lineRule="atLeast"/>
        <w:ind w:left="851" w:hanging="851"/>
        <w:rPr>
          <w:rFonts w:cstheme="minorHAnsi"/>
          <w:sz w:val="22"/>
        </w:rPr>
      </w:pPr>
      <w:r w:rsidRPr="0029055C">
        <w:rPr>
          <w:noProof/>
        </w:rPr>
        <w:drawing>
          <wp:inline distT="0" distB="0" distL="0" distR="0" wp14:anchorId="39B60F90" wp14:editId="187FDBFC">
            <wp:extent cx="5759450" cy="3059430"/>
            <wp:effectExtent l="0" t="0" r="1270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4D9D98C" w14:textId="77777777" w:rsidR="001E14FB" w:rsidRPr="0029055C" w:rsidRDefault="001E14FB" w:rsidP="001E14FB">
      <w:pPr>
        <w:sectPr w:rsidR="001E14FB" w:rsidRPr="0029055C" w:rsidSect="00037A41">
          <w:headerReference w:type="default" r:id="rId36"/>
          <w:footerReference w:type="default" r:id="rId37"/>
          <w:pgSz w:w="11906" w:h="16838" w:code="9"/>
          <w:pgMar w:top="1814" w:right="1418" w:bottom="1134" w:left="1418" w:header="567" w:footer="284" w:gutter="0"/>
          <w:cols w:space="708"/>
          <w:docGrid w:linePitch="360"/>
        </w:sectPr>
      </w:pPr>
    </w:p>
    <w:p w14:paraId="247BA834" w14:textId="77777777" w:rsidR="001E14FB" w:rsidRPr="0029055C" w:rsidRDefault="001E14FB" w:rsidP="001E14FB">
      <w:pPr>
        <w:pStyle w:val="Caption"/>
        <w:spacing w:before="240" w:after="120" w:line="280" w:lineRule="atLeast"/>
        <w:rPr>
          <w:b w:val="0"/>
          <w:sz w:val="22"/>
          <w:szCs w:val="22"/>
        </w:rPr>
      </w:pPr>
      <w:r w:rsidRPr="0029055C">
        <w:rPr>
          <w:sz w:val="22"/>
          <w:szCs w:val="22"/>
        </w:rPr>
        <w:lastRenderedPageBreak/>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23</w:t>
      </w:r>
      <w:r w:rsidRPr="0029055C">
        <w:rPr>
          <w:sz w:val="22"/>
          <w:szCs w:val="22"/>
        </w:rPr>
        <w:fldChar w:fldCharType="end"/>
      </w:r>
      <w:r w:rsidRPr="0029055C">
        <w:rPr>
          <w:b w:val="0"/>
          <w:sz w:val="22"/>
          <w:szCs w:val="22"/>
        </w:rPr>
        <w:t xml:space="preserve">. Πρόοδος οικονομικού αντικειμένου του ΘΑ </w:t>
      </w:r>
      <w:r w:rsidR="001B3747" w:rsidRPr="0029055C">
        <w:rPr>
          <w:b w:val="0"/>
          <w:sz w:val="22"/>
          <w:szCs w:val="22"/>
        </w:rPr>
        <w:t>IV</w:t>
      </w:r>
      <w:r w:rsidRPr="0029055C">
        <w:rPr>
          <w:b w:val="0"/>
          <w:sz w:val="22"/>
          <w:szCs w:val="22"/>
        </w:rPr>
        <w:t xml:space="preserve"> ανά Ειδικό Στόχο και Κατηγορία Δράσης (ποσά σε Δημόσια Δαπάνη)</w:t>
      </w:r>
    </w:p>
    <w:tbl>
      <w:tblPr>
        <w:tblW w:w="5000" w:type="pct"/>
        <w:jc w:val="center"/>
        <w:tblLayout w:type="fixed"/>
        <w:tblCellMar>
          <w:left w:w="28" w:type="dxa"/>
          <w:right w:w="28" w:type="dxa"/>
        </w:tblCellMar>
        <w:tblLook w:val="04A0" w:firstRow="1" w:lastRow="0" w:firstColumn="1" w:lastColumn="0" w:noHBand="0" w:noVBand="1"/>
      </w:tblPr>
      <w:tblGrid>
        <w:gridCol w:w="1700"/>
        <w:gridCol w:w="1627"/>
        <w:gridCol w:w="1627"/>
        <w:gridCol w:w="1452"/>
        <w:gridCol w:w="1570"/>
        <w:gridCol w:w="1357"/>
        <w:gridCol w:w="1553"/>
        <w:gridCol w:w="1553"/>
        <w:gridCol w:w="1553"/>
      </w:tblGrid>
      <w:tr w:rsidR="001E14FB" w:rsidRPr="0029055C" w14:paraId="69F788DE" w14:textId="77777777" w:rsidTr="001E14FB">
        <w:trPr>
          <w:jc w:val="center"/>
        </w:trPr>
        <w:tc>
          <w:tcPr>
            <w:tcW w:w="607" w:type="pct"/>
            <w:tcBorders>
              <w:top w:val="single" w:sz="4" w:space="0" w:color="92CDDC"/>
              <w:left w:val="single" w:sz="4" w:space="0" w:color="92CDDC"/>
              <w:bottom w:val="single" w:sz="12" w:space="0" w:color="92CDDC"/>
              <w:right w:val="single" w:sz="4" w:space="0" w:color="92CDDC"/>
            </w:tcBorders>
            <w:shd w:val="clear" w:color="auto" w:fill="auto"/>
            <w:vAlign w:val="center"/>
            <w:hideMark/>
          </w:tcPr>
          <w:p w14:paraId="36F08C49"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Ειδικός Στόχος / Κατηγορία Δράσης</w:t>
            </w:r>
          </w:p>
        </w:tc>
        <w:tc>
          <w:tcPr>
            <w:tcW w:w="581" w:type="pct"/>
            <w:tcBorders>
              <w:top w:val="single" w:sz="4" w:space="0" w:color="92CDDC"/>
              <w:left w:val="nil"/>
              <w:bottom w:val="single" w:sz="12" w:space="0" w:color="92CDDC"/>
              <w:right w:val="single" w:sz="4" w:space="0" w:color="92CDDC"/>
            </w:tcBorders>
            <w:shd w:val="clear" w:color="auto" w:fill="auto"/>
            <w:vAlign w:val="center"/>
            <w:hideMark/>
          </w:tcPr>
          <w:p w14:paraId="4542AB9B"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Προϋπολογισμός</w:t>
            </w:r>
            <w:r w:rsidRPr="0029055C">
              <w:rPr>
                <w:rFonts w:asciiTheme="minorHAnsi" w:hAnsiTheme="minorHAnsi" w:cstheme="minorHAnsi"/>
                <w:color w:val="31849B"/>
                <w:szCs w:val="20"/>
              </w:rPr>
              <w:t xml:space="preserve"> </w:t>
            </w:r>
            <w:r w:rsidRPr="0029055C">
              <w:rPr>
                <w:rFonts w:asciiTheme="minorHAnsi" w:hAnsiTheme="minorHAnsi" w:cstheme="minorHAnsi"/>
                <w:color w:val="31849B"/>
                <w:szCs w:val="20"/>
              </w:rPr>
              <w:br/>
              <w:t>(με βάση την 1η Αναθεώρηση)</w:t>
            </w:r>
          </w:p>
        </w:tc>
        <w:tc>
          <w:tcPr>
            <w:tcW w:w="581" w:type="pct"/>
            <w:tcBorders>
              <w:top w:val="single" w:sz="4" w:space="0" w:color="92CDDC"/>
              <w:left w:val="nil"/>
              <w:bottom w:val="single" w:sz="12" w:space="0" w:color="92CDDC"/>
              <w:right w:val="single" w:sz="4" w:space="0" w:color="92CDDC"/>
            </w:tcBorders>
            <w:shd w:val="clear" w:color="auto" w:fill="auto"/>
            <w:noWrap/>
            <w:vAlign w:val="center"/>
            <w:hideMark/>
          </w:tcPr>
          <w:p w14:paraId="29BE200B"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Εξειδίκευση</w:t>
            </w:r>
          </w:p>
        </w:tc>
        <w:tc>
          <w:tcPr>
            <w:tcW w:w="519" w:type="pct"/>
            <w:tcBorders>
              <w:top w:val="single" w:sz="4" w:space="0" w:color="92CDDC"/>
              <w:left w:val="nil"/>
              <w:bottom w:val="single" w:sz="12" w:space="0" w:color="92CDDC"/>
              <w:right w:val="single" w:sz="4" w:space="0" w:color="92CDDC"/>
            </w:tcBorders>
            <w:shd w:val="clear" w:color="auto" w:fill="auto"/>
            <w:vAlign w:val="center"/>
            <w:hideMark/>
          </w:tcPr>
          <w:p w14:paraId="7DE00B73"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Αριθμός Προσκλήσεων*</w:t>
            </w:r>
          </w:p>
        </w:tc>
        <w:tc>
          <w:tcPr>
            <w:tcW w:w="561" w:type="pct"/>
            <w:tcBorders>
              <w:top w:val="single" w:sz="4" w:space="0" w:color="92CDDC"/>
              <w:left w:val="nil"/>
              <w:bottom w:val="single" w:sz="12" w:space="0" w:color="92CDDC"/>
              <w:right w:val="single" w:sz="4" w:space="0" w:color="92CDDC"/>
            </w:tcBorders>
            <w:shd w:val="clear" w:color="auto" w:fill="auto"/>
            <w:vAlign w:val="center"/>
            <w:hideMark/>
          </w:tcPr>
          <w:p w14:paraId="17244998"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Π/Υ Προσκλήσεων</w:t>
            </w:r>
          </w:p>
        </w:tc>
        <w:tc>
          <w:tcPr>
            <w:tcW w:w="485" w:type="pct"/>
            <w:tcBorders>
              <w:top w:val="single" w:sz="4" w:space="0" w:color="92CDDC"/>
              <w:left w:val="nil"/>
              <w:bottom w:val="single" w:sz="12" w:space="0" w:color="92CDDC"/>
              <w:right w:val="single" w:sz="4" w:space="0" w:color="92CDDC"/>
            </w:tcBorders>
            <w:shd w:val="clear" w:color="auto" w:fill="auto"/>
            <w:vAlign w:val="center"/>
            <w:hideMark/>
          </w:tcPr>
          <w:p w14:paraId="662807C9"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Αριθμός Ενταγμένων Έργων**</w:t>
            </w:r>
          </w:p>
        </w:tc>
        <w:tc>
          <w:tcPr>
            <w:tcW w:w="555" w:type="pct"/>
            <w:tcBorders>
              <w:top w:val="single" w:sz="4" w:space="0" w:color="92CDDC"/>
              <w:left w:val="nil"/>
              <w:bottom w:val="single" w:sz="12" w:space="0" w:color="92CDDC"/>
              <w:right w:val="single" w:sz="4" w:space="0" w:color="92CDDC"/>
            </w:tcBorders>
            <w:shd w:val="clear" w:color="auto" w:fill="auto"/>
            <w:noWrap/>
            <w:vAlign w:val="center"/>
            <w:hideMark/>
          </w:tcPr>
          <w:p w14:paraId="28BF935F"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Π/Υ Εντάξεων</w:t>
            </w:r>
          </w:p>
        </w:tc>
        <w:tc>
          <w:tcPr>
            <w:tcW w:w="555" w:type="pct"/>
            <w:tcBorders>
              <w:top w:val="single" w:sz="4" w:space="0" w:color="92CDDC"/>
              <w:left w:val="nil"/>
              <w:bottom w:val="single" w:sz="12" w:space="0" w:color="92CDDC"/>
              <w:right w:val="single" w:sz="4" w:space="0" w:color="92CDDC"/>
            </w:tcBorders>
            <w:shd w:val="clear" w:color="auto" w:fill="auto"/>
            <w:vAlign w:val="center"/>
            <w:hideMark/>
          </w:tcPr>
          <w:p w14:paraId="588565D2"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Νομικές Δεσμεύσεις</w:t>
            </w:r>
          </w:p>
        </w:tc>
        <w:tc>
          <w:tcPr>
            <w:tcW w:w="555" w:type="pct"/>
            <w:tcBorders>
              <w:top w:val="single" w:sz="4" w:space="0" w:color="92CDDC"/>
              <w:left w:val="nil"/>
              <w:bottom w:val="single" w:sz="12" w:space="0" w:color="92CDDC"/>
              <w:right w:val="single" w:sz="4" w:space="0" w:color="92CDDC"/>
            </w:tcBorders>
            <w:shd w:val="clear" w:color="auto" w:fill="auto"/>
            <w:vAlign w:val="center"/>
            <w:hideMark/>
          </w:tcPr>
          <w:p w14:paraId="10A01FFB" w14:textId="77777777" w:rsidR="001E14FB" w:rsidRPr="0029055C" w:rsidRDefault="001E14FB" w:rsidP="001E14FB">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Πιστοποιημένες Δαπάνες</w:t>
            </w:r>
          </w:p>
        </w:tc>
      </w:tr>
      <w:tr w:rsidR="00516EF3" w:rsidRPr="0029055C" w14:paraId="42CE3545" w14:textId="77777777" w:rsidTr="001C6579">
        <w:trPr>
          <w:jc w:val="center"/>
        </w:trPr>
        <w:tc>
          <w:tcPr>
            <w:tcW w:w="607" w:type="pct"/>
            <w:tcBorders>
              <w:top w:val="nil"/>
              <w:left w:val="single" w:sz="4" w:space="0" w:color="92CDDC"/>
              <w:bottom w:val="single" w:sz="4" w:space="0" w:color="92CDDC"/>
              <w:right w:val="single" w:sz="4" w:space="0" w:color="92CDDC"/>
            </w:tcBorders>
            <w:shd w:val="clear" w:color="000000" w:fill="DAEEF3"/>
            <w:noWrap/>
            <w:vAlign w:val="center"/>
            <w:hideMark/>
          </w:tcPr>
          <w:p w14:paraId="584A9EB0" w14:textId="77777777" w:rsidR="00516EF3" w:rsidRPr="0029055C" w:rsidRDefault="00516EF3" w:rsidP="00516EF3">
            <w:pPr>
              <w:spacing w:before="80" w:after="80" w:line="240" w:lineRule="auto"/>
              <w:jc w:val="left"/>
              <w:rPr>
                <w:rFonts w:asciiTheme="minorHAnsi" w:hAnsiTheme="minorHAnsi" w:cstheme="minorHAnsi"/>
                <w:b/>
                <w:bCs/>
                <w:color w:val="31869B"/>
                <w:szCs w:val="20"/>
              </w:rPr>
            </w:pPr>
            <w:r w:rsidRPr="0029055C">
              <w:rPr>
                <w:rFonts w:asciiTheme="minorHAnsi" w:hAnsiTheme="minorHAnsi" w:cstheme="minorHAnsi"/>
                <w:b/>
                <w:bCs/>
                <w:color w:val="31869B"/>
                <w:szCs w:val="20"/>
              </w:rPr>
              <w:t>Δ.1</w:t>
            </w:r>
          </w:p>
        </w:tc>
        <w:tc>
          <w:tcPr>
            <w:tcW w:w="581" w:type="pct"/>
            <w:tcBorders>
              <w:top w:val="nil"/>
              <w:left w:val="nil"/>
              <w:bottom w:val="single" w:sz="4" w:space="0" w:color="92CDDC"/>
              <w:right w:val="single" w:sz="4" w:space="0" w:color="92CDDC"/>
            </w:tcBorders>
            <w:shd w:val="clear" w:color="000000" w:fill="DAEEF3"/>
            <w:noWrap/>
            <w:vAlign w:val="bottom"/>
            <w:hideMark/>
          </w:tcPr>
          <w:p w14:paraId="41B6B14F" w14:textId="77777777" w:rsidR="00516EF3" w:rsidRPr="0029055C" w:rsidRDefault="00516EF3" w:rsidP="00516E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7.393.572,00</w:t>
            </w:r>
          </w:p>
        </w:tc>
        <w:tc>
          <w:tcPr>
            <w:tcW w:w="581" w:type="pct"/>
            <w:tcBorders>
              <w:top w:val="nil"/>
              <w:left w:val="nil"/>
              <w:bottom w:val="single" w:sz="4" w:space="0" w:color="92CDDC"/>
              <w:right w:val="single" w:sz="4" w:space="0" w:color="92CDDC"/>
            </w:tcBorders>
            <w:shd w:val="clear" w:color="000000" w:fill="DAEEF3"/>
            <w:noWrap/>
            <w:vAlign w:val="bottom"/>
            <w:hideMark/>
          </w:tcPr>
          <w:p w14:paraId="18BD08B5" w14:textId="77777777" w:rsidR="00516EF3" w:rsidRPr="0029055C" w:rsidRDefault="00516EF3" w:rsidP="00516E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3.970.929,16</w:t>
            </w:r>
          </w:p>
        </w:tc>
        <w:tc>
          <w:tcPr>
            <w:tcW w:w="519" w:type="pct"/>
            <w:tcBorders>
              <w:top w:val="nil"/>
              <w:left w:val="nil"/>
              <w:bottom w:val="single" w:sz="4" w:space="0" w:color="92CDDC"/>
              <w:right w:val="single" w:sz="4" w:space="0" w:color="92CDDC"/>
            </w:tcBorders>
            <w:shd w:val="clear" w:color="000000" w:fill="DAEEF3"/>
            <w:noWrap/>
            <w:vAlign w:val="bottom"/>
            <w:hideMark/>
          </w:tcPr>
          <w:p w14:paraId="2703B589" w14:textId="77777777" w:rsidR="00516EF3" w:rsidRPr="0029055C" w:rsidRDefault="00516EF3" w:rsidP="00516EF3">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8</w:t>
            </w:r>
          </w:p>
        </w:tc>
        <w:tc>
          <w:tcPr>
            <w:tcW w:w="561" w:type="pct"/>
            <w:tcBorders>
              <w:top w:val="nil"/>
              <w:left w:val="nil"/>
              <w:bottom w:val="single" w:sz="4" w:space="0" w:color="92CDDC"/>
              <w:right w:val="single" w:sz="4" w:space="0" w:color="92CDDC"/>
            </w:tcBorders>
            <w:shd w:val="clear" w:color="000000" w:fill="DAEEF3"/>
            <w:noWrap/>
            <w:vAlign w:val="bottom"/>
            <w:hideMark/>
          </w:tcPr>
          <w:p w14:paraId="545821EF" w14:textId="77777777" w:rsidR="00516EF3" w:rsidRPr="0029055C" w:rsidRDefault="00516EF3" w:rsidP="00516E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2.556.258,99</w:t>
            </w:r>
          </w:p>
        </w:tc>
        <w:tc>
          <w:tcPr>
            <w:tcW w:w="485" w:type="pct"/>
            <w:tcBorders>
              <w:top w:val="nil"/>
              <w:left w:val="nil"/>
              <w:bottom w:val="single" w:sz="4" w:space="0" w:color="92CDDC"/>
              <w:right w:val="single" w:sz="4" w:space="0" w:color="92CDDC"/>
            </w:tcBorders>
            <w:shd w:val="clear" w:color="000000" w:fill="DAEEF3"/>
            <w:noWrap/>
            <w:vAlign w:val="bottom"/>
            <w:hideMark/>
          </w:tcPr>
          <w:p w14:paraId="541AAD82" w14:textId="77777777" w:rsidR="00516EF3" w:rsidRPr="0029055C" w:rsidRDefault="00516EF3" w:rsidP="00516EF3">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29</w:t>
            </w:r>
          </w:p>
        </w:tc>
        <w:tc>
          <w:tcPr>
            <w:tcW w:w="555" w:type="pct"/>
            <w:tcBorders>
              <w:top w:val="nil"/>
              <w:left w:val="nil"/>
              <w:bottom w:val="single" w:sz="4" w:space="0" w:color="92CDDC"/>
              <w:right w:val="single" w:sz="4" w:space="0" w:color="92CDDC"/>
            </w:tcBorders>
            <w:shd w:val="clear" w:color="000000" w:fill="DAEEF3"/>
            <w:noWrap/>
            <w:vAlign w:val="bottom"/>
            <w:hideMark/>
          </w:tcPr>
          <w:p w14:paraId="1E7F2C58" w14:textId="77777777" w:rsidR="00516EF3" w:rsidRPr="0029055C" w:rsidRDefault="00516EF3" w:rsidP="00516E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1.572.070,14</w:t>
            </w:r>
          </w:p>
        </w:tc>
        <w:tc>
          <w:tcPr>
            <w:tcW w:w="555" w:type="pct"/>
            <w:tcBorders>
              <w:top w:val="nil"/>
              <w:left w:val="nil"/>
              <w:bottom w:val="single" w:sz="4" w:space="0" w:color="92CDDC"/>
              <w:right w:val="single" w:sz="4" w:space="0" w:color="92CDDC"/>
            </w:tcBorders>
            <w:shd w:val="clear" w:color="000000" w:fill="DAEEF3"/>
            <w:noWrap/>
            <w:vAlign w:val="bottom"/>
            <w:hideMark/>
          </w:tcPr>
          <w:p w14:paraId="0FD4F6D3" w14:textId="77777777" w:rsidR="00516EF3" w:rsidRPr="0029055C" w:rsidRDefault="00516EF3" w:rsidP="00516E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1.017.332,97</w:t>
            </w:r>
          </w:p>
        </w:tc>
        <w:tc>
          <w:tcPr>
            <w:tcW w:w="555" w:type="pct"/>
            <w:tcBorders>
              <w:top w:val="nil"/>
              <w:left w:val="nil"/>
              <w:bottom w:val="single" w:sz="4" w:space="0" w:color="92CDDC"/>
              <w:right w:val="single" w:sz="4" w:space="0" w:color="92CDDC"/>
            </w:tcBorders>
            <w:shd w:val="clear" w:color="000000" w:fill="DAEEF3"/>
            <w:noWrap/>
            <w:vAlign w:val="bottom"/>
            <w:hideMark/>
          </w:tcPr>
          <w:p w14:paraId="780DC1BC" w14:textId="77777777" w:rsidR="00516EF3" w:rsidRPr="0029055C" w:rsidRDefault="00516EF3" w:rsidP="00516E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473.224,35</w:t>
            </w:r>
          </w:p>
        </w:tc>
      </w:tr>
      <w:tr w:rsidR="00516EF3" w:rsidRPr="0029055C" w14:paraId="70FE470B" w14:textId="77777777" w:rsidTr="00516EF3">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center"/>
            <w:hideMark/>
          </w:tcPr>
          <w:p w14:paraId="7BDE6829"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Δ.1.1</w:t>
            </w:r>
          </w:p>
        </w:tc>
        <w:tc>
          <w:tcPr>
            <w:tcW w:w="581" w:type="pct"/>
            <w:tcBorders>
              <w:top w:val="nil"/>
              <w:left w:val="nil"/>
              <w:bottom w:val="single" w:sz="4" w:space="0" w:color="92CDDC"/>
              <w:right w:val="single" w:sz="4" w:space="0" w:color="92CDDC"/>
            </w:tcBorders>
            <w:shd w:val="clear" w:color="auto" w:fill="auto"/>
            <w:noWrap/>
            <w:vAlign w:val="center"/>
            <w:hideMark/>
          </w:tcPr>
          <w:p w14:paraId="1E4EF3C5"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2.377.331,00</w:t>
            </w:r>
          </w:p>
        </w:tc>
        <w:tc>
          <w:tcPr>
            <w:tcW w:w="581" w:type="pct"/>
            <w:tcBorders>
              <w:top w:val="nil"/>
              <w:left w:val="nil"/>
              <w:bottom w:val="single" w:sz="4" w:space="0" w:color="92CDDC"/>
              <w:right w:val="single" w:sz="4" w:space="0" w:color="92CDDC"/>
            </w:tcBorders>
            <w:shd w:val="clear" w:color="auto" w:fill="auto"/>
            <w:noWrap/>
            <w:vAlign w:val="center"/>
            <w:hideMark/>
          </w:tcPr>
          <w:p w14:paraId="55EA7E3E"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1.919.160,00</w:t>
            </w:r>
          </w:p>
        </w:tc>
        <w:tc>
          <w:tcPr>
            <w:tcW w:w="519" w:type="pct"/>
            <w:tcBorders>
              <w:top w:val="nil"/>
              <w:left w:val="nil"/>
              <w:bottom w:val="single" w:sz="4" w:space="0" w:color="92CDDC"/>
              <w:right w:val="single" w:sz="4" w:space="0" w:color="92CDDC"/>
            </w:tcBorders>
            <w:shd w:val="clear" w:color="auto" w:fill="auto"/>
            <w:noWrap/>
            <w:vAlign w:val="center"/>
            <w:hideMark/>
          </w:tcPr>
          <w:p w14:paraId="1FF9FAC6" w14:textId="77777777" w:rsidR="00516EF3" w:rsidRPr="0029055C" w:rsidRDefault="00516EF3" w:rsidP="00516EF3">
            <w:pPr>
              <w:spacing w:before="80" w:after="80" w:line="240" w:lineRule="auto"/>
              <w:jc w:val="center"/>
              <w:rPr>
                <w:rFonts w:asciiTheme="minorHAnsi" w:hAnsiTheme="minorHAnsi" w:cstheme="minorHAnsi"/>
                <w:color w:val="000000"/>
                <w:szCs w:val="20"/>
              </w:rPr>
            </w:pPr>
            <w:r w:rsidRPr="0029055C">
              <w:rPr>
                <w:rFonts w:cs="Calibri"/>
                <w:color w:val="000000"/>
                <w:szCs w:val="18"/>
              </w:rPr>
              <w:t>2</w:t>
            </w:r>
          </w:p>
        </w:tc>
        <w:tc>
          <w:tcPr>
            <w:tcW w:w="561" w:type="pct"/>
            <w:tcBorders>
              <w:top w:val="nil"/>
              <w:left w:val="nil"/>
              <w:bottom w:val="single" w:sz="4" w:space="0" w:color="92CDDC"/>
              <w:right w:val="single" w:sz="4" w:space="0" w:color="92CDDC"/>
            </w:tcBorders>
            <w:shd w:val="clear" w:color="auto" w:fill="auto"/>
            <w:noWrap/>
            <w:vAlign w:val="center"/>
            <w:hideMark/>
          </w:tcPr>
          <w:p w14:paraId="54164722"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1.383.722,99</w:t>
            </w:r>
          </w:p>
        </w:tc>
        <w:tc>
          <w:tcPr>
            <w:tcW w:w="485" w:type="pct"/>
            <w:tcBorders>
              <w:top w:val="nil"/>
              <w:left w:val="nil"/>
              <w:bottom w:val="single" w:sz="4" w:space="0" w:color="92CDDC"/>
              <w:right w:val="single" w:sz="4" w:space="0" w:color="92CDDC"/>
            </w:tcBorders>
            <w:shd w:val="clear" w:color="auto" w:fill="auto"/>
            <w:noWrap/>
            <w:vAlign w:val="center"/>
            <w:hideMark/>
          </w:tcPr>
          <w:p w14:paraId="75B3CEF2" w14:textId="77777777" w:rsidR="00516EF3" w:rsidRPr="0029055C" w:rsidRDefault="00516EF3" w:rsidP="00516EF3">
            <w:pPr>
              <w:spacing w:before="80" w:after="80" w:line="240" w:lineRule="auto"/>
              <w:jc w:val="center"/>
              <w:rPr>
                <w:rFonts w:asciiTheme="minorHAnsi" w:hAnsiTheme="minorHAnsi" w:cstheme="minorHAnsi"/>
                <w:color w:val="000000"/>
                <w:szCs w:val="20"/>
              </w:rPr>
            </w:pPr>
            <w:r w:rsidRPr="0029055C">
              <w:rPr>
                <w:rFonts w:cs="Calibri"/>
                <w:color w:val="000000"/>
                <w:szCs w:val="18"/>
              </w:rPr>
              <w:t>17</w:t>
            </w:r>
          </w:p>
        </w:tc>
        <w:tc>
          <w:tcPr>
            <w:tcW w:w="555" w:type="pct"/>
            <w:tcBorders>
              <w:top w:val="nil"/>
              <w:left w:val="nil"/>
              <w:bottom w:val="single" w:sz="4" w:space="0" w:color="92CDDC"/>
              <w:right w:val="single" w:sz="4" w:space="0" w:color="92CDDC"/>
            </w:tcBorders>
            <w:shd w:val="clear" w:color="auto" w:fill="auto"/>
            <w:noWrap/>
            <w:vAlign w:val="center"/>
            <w:hideMark/>
          </w:tcPr>
          <w:p w14:paraId="0E1713D3"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838.280,71</w:t>
            </w:r>
          </w:p>
        </w:tc>
        <w:tc>
          <w:tcPr>
            <w:tcW w:w="555" w:type="pct"/>
            <w:tcBorders>
              <w:top w:val="nil"/>
              <w:left w:val="nil"/>
              <w:bottom w:val="single" w:sz="4" w:space="0" w:color="92CDDC"/>
              <w:right w:val="single" w:sz="4" w:space="0" w:color="92CDDC"/>
            </w:tcBorders>
            <w:shd w:val="clear" w:color="auto" w:fill="auto"/>
            <w:noWrap/>
            <w:vAlign w:val="center"/>
            <w:hideMark/>
          </w:tcPr>
          <w:p w14:paraId="26604D83"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643.433,97</w:t>
            </w:r>
          </w:p>
        </w:tc>
        <w:tc>
          <w:tcPr>
            <w:tcW w:w="555" w:type="pct"/>
            <w:tcBorders>
              <w:top w:val="nil"/>
              <w:left w:val="nil"/>
              <w:bottom w:val="single" w:sz="4" w:space="0" w:color="92CDDC"/>
              <w:right w:val="single" w:sz="4" w:space="0" w:color="92CDDC"/>
            </w:tcBorders>
            <w:shd w:val="clear" w:color="auto" w:fill="auto"/>
            <w:noWrap/>
            <w:vAlign w:val="center"/>
            <w:hideMark/>
          </w:tcPr>
          <w:p w14:paraId="578A557B"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166.842,59</w:t>
            </w:r>
          </w:p>
        </w:tc>
      </w:tr>
      <w:tr w:rsidR="00516EF3" w:rsidRPr="0029055C" w14:paraId="19705500" w14:textId="77777777" w:rsidTr="00516EF3">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center"/>
            <w:hideMark/>
          </w:tcPr>
          <w:p w14:paraId="65F85865"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Δ.1.2</w:t>
            </w:r>
          </w:p>
        </w:tc>
        <w:tc>
          <w:tcPr>
            <w:tcW w:w="581" w:type="pct"/>
            <w:tcBorders>
              <w:top w:val="nil"/>
              <w:left w:val="nil"/>
              <w:bottom w:val="single" w:sz="4" w:space="0" w:color="92CDDC"/>
              <w:right w:val="single" w:sz="4" w:space="0" w:color="92CDDC"/>
            </w:tcBorders>
            <w:shd w:val="clear" w:color="auto" w:fill="auto"/>
            <w:noWrap/>
            <w:vAlign w:val="center"/>
            <w:hideMark/>
          </w:tcPr>
          <w:p w14:paraId="03640E03"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1.592.595,00</w:t>
            </w:r>
          </w:p>
        </w:tc>
        <w:tc>
          <w:tcPr>
            <w:tcW w:w="581" w:type="pct"/>
            <w:tcBorders>
              <w:top w:val="nil"/>
              <w:left w:val="nil"/>
              <w:bottom w:val="single" w:sz="4" w:space="0" w:color="92CDDC"/>
              <w:right w:val="single" w:sz="4" w:space="0" w:color="92CDDC"/>
            </w:tcBorders>
            <w:shd w:val="clear" w:color="auto" w:fill="auto"/>
            <w:noWrap/>
            <w:vAlign w:val="center"/>
            <w:hideMark/>
          </w:tcPr>
          <w:p w14:paraId="307A2B1C"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799.650,00</w:t>
            </w:r>
          </w:p>
        </w:tc>
        <w:tc>
          <w:tcPr>
            <w:tcW w:w="519" w:type="pct"/>
            <w:tcBorders>
              <w:top w:val="nil"/>
              <w:left w:val="nil"/>
              <w:bottom w:val="single" w:sz="4" w:space="0" w:color="92CDDC"/>
              <w:right w:val="single" w:sz="4" w:space="0" w:color="92CDDC"/>
            </w:tcBorders>
            <w:shd w:val="clear" w:color="auto" w:fill="auto"/>
            <w:noWrap/>
            <w:vAlign w:val="center"/>
            <w:hideMark/>
          </w:tcPr>
          <w:p w14:paraId="59D4967B" w14:textId="77777777" w:rsidR="00516EF3" w:rsidRPr="0029055C" w:rsidRDefault="00516EF3" w:rsidP="00516EF3">
            <w:pPr>
              <w:spacing w:before="80" w:after="80" w:line="240" w:lineRule="auto"/>
              <w:jc w:val="center"/>
              <w:rPr>
                <w:rFonts w:asciiTheme="minorHAnsi" w:hAnsiTheme="minorHAnsi" w:cstheme="minorHAnsi"/>
                <w:color w:val="000000"/>
                <w:szCs w:val="20"/>
              </w:rPr>
            </w:pPr>
            <w:r w:rsidRPr="0029055C">
              <w:rPr>
                <w:rFonts w:cs="Calibri"/>
                <w:color w:val="000000"/>
                <w:szCs w:val="18"/>
              </w:rPr>
              <w:t>3</w:t>
            </w:r>
          </w:p>
        </w:tc>
        <w:tc>
          <w:tcPr>
            <w:tcW w:w="561" w:type="pct"/>
            <w:tcBorders>
              <w:top w:val="nil"/>
              <w:left w:val="nil"/>
              <w:bottom w:val="single" w:sz="4" w:space="0" w:color="92CDDC"/>
              <w:right w:val="single" w:sz="4" w:space="0" w:color="92CDDC"/>
            </w:tcBorders>
            <w:shd w:val="clear" w:color="auto" w:fill="auto"/>
            <w:noWrap/>
            <w:vAlign w:val="center"/>
            <w:hideMark/>
          </w:tcPr>
          <w:p w14:paraId="4B9DC732"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277.612,00</w:t>
            </w:r>
          </w:p>
        </w:tc>
        <w:tc>
          <w:tcPr>
            <w:tcW w:w="485" w:type="pct"/>
            <w:tcBorders>
              <w:top w:val="nil"/>
              <w:left w:val="nil"/>
              <w:bottom w:val="single" w:sz="4" w:space="0" w:color="92CDDC"/>
              <w:right w:val="single" w:sz="4" w:space="0" w:color="92CDDC"/>
            </w:tcBorders>
            <w:shd w:val="clear" w:color="auto" w:fill="auto"/>
            <w:noWrap/>
            <w:vAlign w:val="center"/>
            <w:hideMark/>
          </w:tcPr>
          <w:p w14:paraId="7EEFB32F" w14:textId="77777777" w:rsidR="00516EF3" w:rsidRPr="0029055C" w:rsidRDefault="00516EF3" w:rsidP="00516EF3">
            <w:pPr>
              <w:spacing w:before="80" w:after="80" w:line="240" w:lineRule="auto"/>
              <w:jc w:val="center"/>
              <w:rPr>
                <w:rFonts w:asciiTheme="minorHAnsi" w:hAnsiTheme="minorHAnsi" w:cstheme="minorHAnsi"/>
                <w:color w:val="000000"/>
                <w:szCs w:val="20"/>
              </w:rPr>
            </w:pPr>
            <w:r w:rsidRPr="0029055C">
              <w:rPr>
                <w:rFonts w:cs="Calibri"/>
                <w:color w:val="000000"/>
                <w:szCs w:val="18"/>
              </w:rPr>
              <w:t>5</w:t>
            </w:r>
          </w:p>
        </w:tc>
        <w:tc>
          <w:tcPr>
            <w:tcW w:w="555" w:type="pct"/>
            <w:tcBorders>
              <w:top w:val="nil"/>
              <w:left w:val="nil"/>
              <w:bottom w:val="single" w:sz="4" w:space="0" w:color="92CDDC"/>
              <w:right w:val="single" w:sz="4" w:space="0" w:color="92CDDC"/>
            </w:tcBorders>
            <w:shd w:val="clear" w:color="auto" w:fill="auto"/>
            <w:noWrap/>
            <w:vAlign w:val="center"/>
            <w:hideMark/>
          </w:tcPr>
          <w:p w14:paraId="4CBA131A"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193.723,00</w:t>
            </w:r>
          </w:p>
        </w:tc>
        <w:tc>
          <w:tcPr>
            <w:tcW w:w="555" w:type="pct"/>
            <w:tcBorders>
              <w:top w:val="nil"/>
              <w:left w:val="nil"/>
              <w:bottom w:val="single" w:sz="4" w:space="0" w:color="92CDDC"/>
              <w:right w:val="single" w:sz="4" w:space="0" w:color="92CDDC"/>
            </w:tcBorders>
            <w:shd w:val="clear" w:color="auto" w:fill="auto"/>
            <w:noWrap/>
            <w:vAlign w:val="center"/>
            <w:hideMark/>
          </w:tcPr>
          <w:p w14:paraId="197B9E32"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113.699,00</w:t>
            </w:r>
          </w:p>
        </w:tc>
        <w:tc>
          <w:tcPr>
            <w:tcW w:w="555" w:type="pct"/>
            <w:tcBorders>
              <w:top w:val="nil"/>
              <w:left w:val="nil"/>
              <w:bottom w:val="single" w:sz="4" w:space="0" w:color="92CDDC"/>
              <w:right w:val="single" w:sz="4" w:space="0" w:color="92CDDC"/>
            </w:tcBorders>
            <w:shd w:val="clear" w:color="auto" w:fill="auto"/>
            <w:noWrap/>
            <w:vAlign w:val="center"/>
            <w:hideMark/>
          </w:tcPr>
          <w:p w14:paraId="36709E29"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75.741,76</w:t>
            </w:r>
          </w:p>
        </w:tc>
      </w:tr>
      <w:tr w:rsidR="00516EF3" w:rsidRPr="0029055C" w14:paraId="06DC0CA9" w14:textId="77777777" w:rsidTr="00516EF3">
        <w:trPr>
          <w:jc w:val="center"/>
        </w:trPr>
        <w:tc>
          <w:tcPr>
            <w:tcW w:w="607" w:type="pct"/>
            <w:tcBorders>
              <w:top w:val="nil"/>
              <w:left w:val="single" w:sz="4" w:space="0" w:color="92CDDC"/>
              <w:bottom w:val="single" w:sz="12" w:space="0" w:color="92CDDC"/>
              <w:right w:val="single" w:sz="4" w:space="0" w:color="92CDDC"/>
            </w:tcBorders>
            <w:shd w:val="clear" w:color="auto" w:fill="auto"/>
            <w:noWrap/>
            <w:vAlign w:val="center"/>
            <w:hideMark/>
          </w:tcPr>
          <w:p w14:paraId="0579AD22"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Δ.1.3</w:t>
            </w:r>
          </w:p>
        </w:tc>
        <w:tc>
          <w:tcPr>
            <w:tcW w:w="581" w:type="pct"/>
            <w:tcBorders>
              <w:top w:val="nil"/>
              <w:left w:val="nil"/>
              <w:bottom w:val="single" w:sz="12" w:space="0" w:color="92CDDC"/>
              <w:right w:val="single" w:sz="4" w:space="0" w:color="92CDDC"/>
            </w:tcBorders>
            <w:shd w:val="clear" w:color="auto" w:fill="auto"/>
            <w:noWrap/>
            <w:vAlign w:val="center"/>
            <w:hideMark/>
          </w:tcPr>
          <w:p w14:paraId="27F39372"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3.423.646,00</w:t>
            </w:r>
          </w:p>
        </w:tc>
        <w:tc>
          <w:tcPr>
            <w:tcW w:w="581" w:type="pct"/>
            <w:tcBorders>
              <w:top w:val="nil"/>
              <w:left w:val="nil"/>
              <w:bottom w:val="single" w:sz="12" w:space="0" w:color="92CDDC"/>
              <w:right w:val="single" w:sz="4" w:space="0" w:color="92CDDC"/>
            </w:tcBorders>
            <w:shd w:val="clear" w:color="auto" w:fill="auto"/>
            <w:noWrap/>
            <w:vAlign w:val="center"/>
            <w:hideMark/>
          </w:tcPr>
          <w:p w14:paraId="466C48B1"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1.252.119,16</w:t>
            </w:r>
          </w:p>
        </w:tc>
        <w:tc>
          <w:tcPr>
            <w:tcW w:w="519" w:type="pct"/>
            <w:tcBorders>
              <w:top w:val="nil"/>
              <w:left w:val="nil"/>
              <w:bottom w:val="single" w:sz="12" w:space="0" w:color="92CDDC"/>
              <w:right w:val="single" w:sz="4" w:space="0" w:color="92CDDC"/>
            </w:tcBorders>
            <w:shd w:val="clear" w:color="auto" w:fill="auto"/>
            <w:noWrap/>
            <w:vAlign w:val="center"/>
            <w:hideMark/>
          </w:tcPr>
          <w:p w14:paraId="432D84B1" w14:textId="77777777" w:rsidR="00516EF3" w:rsidRPr="0029055C" w:rsidRDefault="00516EF3" w:rsidP="00516EF3">
            <w:pPr>
              <w:spacing w:before="80" w:after="80" w:line="240" w:lineRule="auto"/>
              <w:jc w:val="center"/>
              <w:rPr>
                <w:rFonts w:asciiTheme="minorHAnsi" w:hAnsiTheme="minorHAnsi" w:cstheme="minorHAnsi"/>
                <w:color w:val="000000"/>
                <w:szCs w:val="20"/>
              </w:rPr>
            </w:pPr>
            <w:r w:rsidRPr="0029055C">
              <w:rPr>
                <w:rFonts w:cs="Calibri"/>
                <w:color w:val="000000"/>
                <w:szCs w:val="18"/>
              </w:rPr>
              <w:t>3</w:t>
            </w:r>
          </w:p>
        </w:tc>
        <w:tc>
          <w:tcPr>
            <w:tcW w:w="561" w:type="pct"/>
            <w:tcBorders>
              <w:top w:val="nil"/>
              <w:left w:val="nil"/>
              <w:bottom w:val="single" w:sz="12" w:space="0" w:color="92CDDC"/>
              <w:right w:val="single" w:sz="4" w:space="0" w:color="92CDDC"/>
            </w:tcBorders>
            <w:shd w:val="clear" w:color="auto" w:fill="auto"/>
            <w:noWrap/>
            <w:vAlign w:val="center"/>
            <w:hideMark/>
          </w:tcPr>
          <w:p w14:paraId="444864B3"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894.924,00</w:t>
            </w:r>
          </w:p>
        </w:tc>
        <w:tc>
          <w:tcPr>
            <w:tcW w:w="485" w:type="pct"/>
            <w:tcBorders>
              <w:top w:val="nil"/>
              <w:left w:val="nil"/>
              <w:bottom w:val="single" w:sz="12" w:space="0" w:color="92CDDC"/>
              <w:right w:val="single" w:sz="4" w:space="0" w:color="92CDDC"/>
            </w:tcBorders>
            <w:shd w:val="clear" w:color="auto" w:fill="auto"/>
            <w:noWrap/>
            <w:vAlign w:val="center"/>
            <w:hideMark/>
          </w:tcPr>
          <w:p w14:paraId="284BFE2C" w14:textId="77777777" w:rsidR="00516EF3" w:rsidRPr="0029055C" w:rsidRDefault="00516EF3" w:rsidP="00516EF3">
            <w:pPr>
              <w:spacing w:before="80" w:after="80" w:line="240" w:lineRule="auto"/>
              <w:jc w:val="center"/>
              <w:rPr>
                <w:rFonts w:asciiTheme="minorHAnsi" w:hAnsiTheme="minorHAnsi" w:cstheme="minorHAnsi"/>
                <w:color w:val="000000"/>
                <w:szCs w:val="20"/>
              </w:rPr>
            </w:pPr>
            <w:r w:rsidRPr="0029055C">
              <w:rPr>
                <w:rFonts w:cs="Calibri"/>
                <w:color w:val="000000"/>
                <w:szCs w:val="18"/>
              </w:rPr>
              <w:t>7</w:t>
            </w:r>
          </w:p>
        </w:tc>
        <w:tc>
          <w:tcPr>
            <w:tcW w:w="555" w:type="pct"/>
            <w:tcBorders>
              <w:top w:val="nil"/>
              <w:left w:val="nil"/>
              <w:bottom w:val="single" w:sz="12" w:space="0" w:color="92CDDC"/>
              <w:right w:val="single" w:sz="4" w:space="0" w:color="92CDDC"/>
            </w:tcBorders>
            <w:shd w:val="clear" w:color="auto" w:fill="auto"/>
            <w:noWrap/>
            <w:vAlign w:val="center"/>
            <w:hideMark/>
          </w:tcPr>
          <w:p w14:paraId="06629AFB"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540.066,43</w:t>
            </w:r>
          </w:p>
        </w:tc>
        <w:tc>
          <w:tcPr>
            <w:tcW w:w="555" w:type="pct"/>
            <w:tcBorders>
              <w:top w:val="nil"/>
              <w:left w:val="nil"/>
              <w:bottom w:val="single" w:sz="12" w:space="0" w:color="92CDDC"/>
              <w:right w:val="single" w:sz="4" w:space="0" w:color="92CDDC"/>
            </w:tcBorders>
            <w:shd w:val="clear" w:color="auto" w:fill="auto"/>
            <w:noWrap/>
            <w:vAlign w:val="center"/>
            <w:hideMark/>
          </w:tcPr>
          <w:p w14:paraId="0FE03D1E"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260.200,00</w:t>
            </w:r>
          </w:p>
        </w:tc>
        <w:tc>
          <w:tcPr>
            <w:tcW w:w="555" w:type="pct"/>
            <w:tcBorders>
              <w:top w:val="nil"/>
              <w:left w:val="nil"/>
              <w:bottom w:val="single" w:sz="12" w:space="0" w:color="92CDDC"/>
              <w:right w:val="single" w:sz="4" w:space="0" w:color="92CDDC"/>
            </w:tcBorders>
            <w:shd w:val="clear" w:color="auto" w:fill="auto"/>
            <w:noWrap/>
            <w:vAlign w:val="center"/>
            <w:hideMark/>
          </w:tcPr>
          <w:p w14:paraId="289568A3" w14:textId="77777777" w:rsidR="00516EF3" w:rsidRPr="0029055C" w:rsidRDefault="00516EF3" w:rsidP="00516EF3">
            <w:pPr>
              <w:spacing w:before="80" w:after="80" w:line="240" w:lineRule="auto"/>
              <w:jc w:val="right"/>
              <w:rPr>
                <w:rFonts w:asciiTheme="minorHAnsi" w:hAnsiTheme="minorHAnsi" w:cstheme="minorHAnsi"/>
                <w:color w:val="000000"/>
                <w:szCs w:val="20"/>
              </w:rPr>
            </w:pPr>
            <w:r w:rsidRPr="0029055C">
              <w:rPr>
                <w:rFonts w:cs="Calibri"/>
                <w:color w:val="000000"/>
                <w:szCs w:val="18"/>
              </w:rPr>
              <w:t>230.640,00</w:t>
            </w:r>
          </w:p>
        </w:tc>
      </w:tr>
      <w:tr w:rsidR="00516EF3" w:rsidRPr="0029055C" w14:paraId="1B14A163" w14:textId="77777777" w:rsidTr="00516EF3">
        <w:trPr>
          <w:jc w:val="center"/>
        </w:trPr>
        <w:tc>
          <w:tcPr>
            <w:tcW w:w="607" w:type="pct"/>
            <w:tcBorders>
              <w:top w:val="single" w:sz="12" w:space="0" w:color="92CDDC"/>
              <w:left w:val="single" w:sz="4" w:space="0" w:color="92CDDC"/>
              <w:bottom w:val="single" w:sz="12" w:space="0" w:color="92CDDC"/>
              <w:right w:val="single" w:sz="4" w:space="0" w:color="92CDDC"/>
            </w:tcBorders>
            <w:shd w:val="clear" w:color="auto" w:fill="auto"/>
            <w:noWrap/>
            <w:vAlign w:val="bottom"/>
            <w:hideMark/>
          </w:tcPr>
          <w:p w14:paraId="42DE61E5" w14:textId="77777777" w:rsidR="00516EF3" w:rsidRPr="0029055C" w:rsidRDefault="00516EF3" w:rsidP="00AC462E">
            <w:pPr>
              <w:spacing w:before="80" w:after="80" w:line="240" w:lineRule="auto"/>
              <w:jc w:val="left"/>
              <w:rPr>
                <w:rFonts w:asciiTheme="minorHAnsi" w:hAnsiTheme="minorHAnsi" w:cstheme="minorHAnsi"/>
                <w:b/>
                <w:bCs/>
                <w:color w:val="31869B"/>
                <w:szCs w:val="20"/>
              </w:rPr>
            </w:pPr>
            <w:r w:rsidRPr="0029055C">
              <w:rPr>
                <w:rFonts w:asciiTheme="minorHAnsi" w:hAnsiTheme="minorHAnsi" w:cstheme="minorHAnsi"/>
                <w:b/>
                <w:bCs/>
                <w:color w:val="31869B"/>
                <w:szCs w:val="20"/>
              </w:rPr>
              <w:t xml:space="preserve">Σύνολο Θεματικού Άξονα </w:t>
            </w:r>
            <w:r w:rsidR="00AC462E" w:rsidRPr="0029055C">
              <w:rPr>
                <w:rFonts w:asciiTheme="minorHAnsi" w:hAnsiTheme="minorHAnsi" w:cstheme="minorHAnsi"/>
                <w:b/>
                <w:bCs/>
                <w:color w:val="31869B"/>
                <w:szCs w:val="20"/>
              </w:rPr>
              <w:t>IV</w:t>
            </w:r>
          </w:p>
        </w:tc>
        <w:tc>
          <w:tcPr>
            <w:tcW w:w="581" w:type="pct"/>
            <w:tcBorders>
              <w:top w:val="single" w:sz="12" w:space="0" w:color="92CDDC"/>
              <w:left w:val="nil"/>
              <w:bottom w:val="single" w:sz="12" w:space="0" w:color="92CDDC"/>
              <w:right w:val="single" w:sz="4" w:space="0" w:color="92CDDC"/>
            </w:tcBorders>
            <w:shd w:val="clear" w:color="auto" w:fill="auto"/>
            <w:noWrap/>
            <w:vAlign w:val="center"/>
            <w:hideMark/>
          </w:tcPr>
          <w:p w14:paraId="685E785D" w14:textId="77777777" w:rsidR="00516EF3" w:rsidRPr="0029055C" w:rsidRDefault="00516EF3" w:rsidP="00516E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7.393.572,00</w:t>
            </w:r>
          </w:p>
        </w:tc>
        <w:tc>
          <w:tcPr>
            <w:tcW w:w="581" w:type="pct"/>
            <w:tcBorders>
              <w:top w:val="single" w:sz="12" w:space="0" w:color="92CDDC"/>
              <w:left w:val="nil"/>
              <w:bottom w:val="single" w:sz="12" w:space="0" w:color="92CDDC"/>
              <w:right w:val="single" w:sz="4" w:space="0" w:color="92CDDC"/>
            </w:tcBorders>
            <w:shd w:val="clear" w:color="auto" w:fill="auto"/>
            <w:noWrap/>
            <w:vAlign w:val="center"/>
            <w:hideMark/>
          </w:tcPr>
          <w:p w14:paraId="0B3C7063" w14:textId="77777777" w:rsidR="00516EF3" w:rsidRPr="0029055C" w:rsidRDefault="00516EF3" w:rsidP="00516E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3.970.929,16</w:t>
            </w:r>
          </w:p>
        </w:tc>
        <w:tc>
          <w:tcPr>
            <w:tcW w:w="519" w:type="pct"/>
            <w:tcBorders>
              <w:top w:val="single" w:sz="12" w:space="0" w:color="92CDDC"/>
              <w:left w:val="nil"/>
              <w:bottom w:val="single" w:sz="12" w:space="0" w:color="92CDDC"/>
              <w:right w:val="single" w:sz="4" w:space="0" w:color="92CDDC"/>
            </w:tcBorders>
            <w:shd w:val="clear" w:color="auto" w:fill="auto"/>
            <w:noWrap/>
            <w:vAlign w:val="center"/>
            <w:hideMark/>
          </w:tcPr>
          <w:p w14:paraId="28B04F52" w14:textId="77777777" w:rsidR="00516EF3" w:rsidRPr="0029055C" w:rsidRDefault="00516EF3" w:rsidP="00516EF3">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3</w:t>
            </w:r>
          </w:p>
        </w:tc>
        <w:tc>
          <w:tcPr>
            <w:tcW w:w="561" w:type="pct"/>
            <w:tcBorders>
              <w:top w:val="single" w:sz="12" w:space="0" w:color="92CDDC"/>
              <w:left w:val="nil"/>
              <w:bottom w:val="single" w:sz="12" w:space="0" w:color="92CDDC"/>
              <w:right w:val="single" w:sz="4" w:space="0" w:color="92CDDC"/>
            </w:tcBorders>
            <w:shd w:val="clear" w:color="auto" w:fill="auto"/>
            <w:noWrap/>
            <w:vAlign w:val="center"/>
            <w:hideMark/>
          </w:tcPr>
          <w:p w14:paraId="0EDFCFF6" w14:textId="77777777" w:rsidR="00516EF3" w:rsidRPr="0029055C" w:rsidRDefault="00516EF3" w:rsidP="00516E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2.556.258,99</w:t>
            </w:r>
          </w:p>
        </w:tc>
        <w:tc>
          <w:tcPr>
            <w:tcW w:w="485" w:type="pct"/>
            <w:tcBorders>
              <w:top w:val="single" w:sz="12" w:space="0" w:color="92CDDC"/>
              <w:left w:val="nil"/>
              <w:bottom w:val="single" w:sz="12" w:space="0" w:color="92CDDC"/>
              <w:right w:val="single" w:sz="4" w:space="0" w:color="92CDDC"/>
            </w:tcBorders>
            <w:shd w:val="clear" w:color="auto" w:fill="auto"/>
            <w:noWrap/>
            <w:vAlign w:val="center"/>
            <w:hideMark/>
          </w:tcPr>
          <w:p w14:paraId="3B39DBAC" w14:textId="77777777" w:rsidR="00516EF3" w:rsidRPr="0029055C" w:rsidRDefault="00516EF3" w:rsidP="00516EF3">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28</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35AD1E04" w14:textId="77777777" w:rsidR="00516EF3" w:rsidRPr="0029055C" w:rsidRDefault="00516EF3" w:rsidP="00516E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1.572.070,14</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4D6552B3" w14:textId="77777777" w:rsidR="00516EF3" w:rsidRPr="0029055C" w:rsidRDefault="00516EF3" w:rsidP="00516E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1.017.332,97</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43226F4C" w14:textId="77777777" w:rsidR="00516EF3" w:rsidRPr="0029055C" w:rsidRDefault="00516EF3" w:rsidP="00516EF3">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473.224,35</w:t>
            </w:r>
          </w:p>
        </w:tc>
      </w:tr>
    </w:tbl>
    <w:p w14:paraId="0180003A" w14:textId="77777777" w:rsidR="001E14FB" w:rsidRPr="0029055C" w:rsidRDefault="001E14FB" w:rsidP="001E14FB">
      <w:pPr>
        <w:spacing w:before="60" w:line="240" w:lineRule="auto"/>
        <w:rPr>
          <w:i/>
          <w:color w:val="215868" w:themeColor="accent5" w:themeShade="80"/>
        </w:rPr>
      </w:pPr>
      <w:r w:rsidRPr="0029055C">
        <w:rPr>
          <w:i/>
          <w:color w:val="215868" w:themeColor="accent5" w:themeShade="80"/>
        </w:rPr>
        <w:t>Πηγή: ΟΠΣ 01.06.2018</w:t>
      </w:r>
    </w:p>
    <w:p w14:paraId="26955975" w14:textId="77777777" w:rsidR="001E14FB" w:rsidRPr="0029055C" w:rsidRDefault="001E14FB" w:rsidP="001E14FB">
      <w:pPr>
        <w:tabs>
          <w:tab w:val="left" w:pos="252"/>
        </w:tabs>
        <w:ind w:left="266" w:hanging="266"/>
        <w:rPr>
          <w:i/>
        </w:rPr>
      </w:pPr>
      <w:r w:rsidRPr="0029055C">
        <w:rPr>
          <w:i/>
        </w:rPr>
        <w:t xml:space="preserve">* </w:t>
      </w:r>
      <w:r w:rsidRPr="0029055C">
        <w:rPr>
          <w:i/>
        </w:rPr>
        <w:tab/>
        <w:t>Ο αριθμός των προσκλήσεων ανά Ειδικό Στόχο και Κατηγορία Δράσης δεν αντιστοιχεί σε μοναδικό αριθμό δεδομένου ότι μία πρόσκληση μπορεί να αφορά σε περισσότερ</w:t>
      </w:r>
      <w:r w:rsidR="00516EF3" w:rsidRPr="0029055C">
        <w:rPr>
          <w:i/>
        </w:rPr>
        <w:t>ες</w:t>
      </w:r>
      <w:r w:rsidRPr="0029055C">
        <w:rPr>
          <w:i/>
        </w:rPr>
        <w:t xml:space="preserve"> από μία Κατηγορίες Δράσης. Το σύνολο των προ</w:t>
      </w:r>
      <w:r w:rsidR="00516EF3" w:rsidRPr="0029055C">
        <w:rPr>
          <w:i/>
        </w:rPr>
        <w:t xml:space="preserve">σκλήσεων για το Θεματικό Άξονα </w:t>
      </w:r>
      <w:r w:rsidR="001B3747" w:rsidRPr="0029055C">
        <w:rPr>
          <w:i/>
        </w:rPr>
        <w:t>IV</w:t>
      </w:r>
      <w:r w:rsidRPr="0029055C">
        <w:rPr>
          <w:i/>
        </w:rPr>
        <w:t xml:space="preserve"> αντιστοιχεί σε μοναδικό αριθμό και δεν προκύπτει από τα επιμέρους αθροίσματα.</w:t>
      </w:r>
    </w:p>
    <w:p w14:paraId="4A95B3AC" w14:textId="77777777" w:rsidR="001E14FB" w:rsidRPr="0029055C" w:rsidRDefault="001E14FB" w:rsidP="001E14FB">
      <w:pPr>
        <w:tabs>
          <w:tab w:val="left" w:pos="252"/>
        </w:tabs>
        <w:ind w:left="266" w:hanging="266"/>
        <w:rPr>
          <w:i/>
        </w:rPr>
      </w:pPr>
      <w:r w:rsidRPr="0029055C">
        <w:rPr>
          <w:i/>
        </w:rPr>
        <w:t xml:space="preserve">** Ο αριθμός των ενταγμένων έργων ανά Ειδικό Στόχο και Κατηγορία Δράσης δεν αντιστοιχεί σε μοναδικό αριθμό, δεδομένου ότι ένα έργο μπορεί να εντάσσεται σε περισσότερες από μία Κατηγορίες Δράσης. Το σύνολο των ενταγμένων έργων για το Θεματικό Άξονα </w:t>
      </w:r>
      <w:r w:rsidR="001B3747" w:rsidRPr="0029055C">
        <w:rPr>
          <w:i/>
        </w:rPr>
        <w:t>IV</w:t>
      </w:r>
      <w:r w:rsidRPr="0029055C">
        <w:rPr>
          <w:i/>
        </w:rPr>
        <w:t xml:space="preserve"> αντιστοιχεί σε μοναδικό αριθμό και δεν προκύπτει από τα επιμέρους αθροίσματα.</w:t>
      </w:r>
    </w:p>
    <w:p w14:paraId="6C1AAE7A" w14:textId="77777777" w:rsidR="001E14FB" w:rsidRPr="0029055C" w:rsidRDefault="001E14FB" w:rsidP="001E14FB"/>
    <w:p w14:paraId="56A47083" w14:textId="77777777" w:rsidR="001E14FB" w:rsidRPr="0029055C" w:rsidRDefault="001E14FB" w:rsidP="001E14FB">
      <w:pPr>
        <w:sectPr w:rsidR="001E14FB" w:rsidRPr="0029055C" w:rsidSect="00037A41">
          <w:headerReference w:type="default" r:id="rId38"/>
          <w:footerReference w:type="default" r:id="rId39"/>
          <w:pgSz w:w="16838" w:h="11906" w:orient="landscape" w:code="9"/>
          <w:pgMar w:top="1814" w:right="1418" w:bottom="1134" w:left="1418" w:header="567" w:footer="284" w:gutter="0"/>
          <w:cols w:space="708"/>
          <w:docGrid w:linePitch="360"/>
        </w:sectPr>
      </w:pPr>
    </w:p>
    <w:p w14:paraId="7D7D2488" w14:textId="77777777" w:rsidR="001E14FB" w:rsidRPr="0029055C" w:rsidRDefault="00516EF3" w:rsidP="001E14FB">
      <w:pPr>
        <w:spacing w:line="300" w:lineRule="atLeast"/>
        <w:rPr>
          <w:sz w:val="22"/>
        </w:rPr>
      </w:pPr>
      <w:r w:rsidRPr="0029055C">
        <w:rPr>
          <w:sz w:val="22"/>
        </w:rPr>
        <w:lastRenderedPageBreak/>
        <w:t xml:space="preserve">Στο Θεματικό Άξονα </w:t>
      </w:r>
      <w:r w:rsidR="001B3747" w:rsidRPr="0029055C">
        <w:rPr>
          <w:sz w:val="22"/>
        </w:rPr>
        <w:t>IV</w:t>
      </w:r>
      <w:r w:rsidR="001E14FB" w:rsidRPr="0029055C">
        <w:rPr>
          <w:sz w:val="22"/>
        </w:rPr>
        <w:t xml:space="preserve"> του ΕΠ ΜΔΤ (Άξονες Προτεραιότητας 1</w:t>
      </w:r>
      <w:r w:rsidRPr="0029055C">
        <w:rPr>
          <w:sz w:val="22"/>
        </w:rPr>
        <w:t>0</w:t>
      </w:r>
      <w:r w:rsidR="001E14FB" w:rsidRPr="0029055C">
        <w:rPr>
          <w:sz w:val="22"/>
        </w:rPr>
        <w:t>,</w:t>
      </w:r>
      <w:r w:rsidRPr="0029055C">
        <w:rPr>
          <w:sz w:val="22"/>
        </w:rPr>
        <w:t>11</w:t>
      </w:r>
      <w:r w:rsidR="001E14FB" w:rsidRPr="0029055C">
        <w:rPr>
          <w:sz w:val="22"/>
        </w:rPr>
        <w:t>,</w:t>
      </w:r>
      <w:r w:rsidRPr="0029055C">
        <w:rPr>
          <w:sz w:val="22"/>
        </w:rPr>
        <w:t>12</w:t>
      </w:r>
      <w:r w:rsidR="001E14FB" w:rsidRPr="0029055C">
        <w:rPr>
          <w:sz w:val="22"/>
        </w:rPr>
        <w:t xml:space="preserve">) έχουν </w:t>
      </w:r>
      <w:r w:rsidR="001E14FB" w:rsidRPr="0029055C">
        <w:rPr>
          <w:b/>
          <w:sz w:val="22"/>
        </w:rPr>
        <w:t>ενταχθεί</w:t>
      </w:r>
      <w:r w:rsidR="001E14FB" w:rsidRPr="0029055C">
        <w:rPr>
          <w:sz w:val="22"/>
        </w:rPr>
        <w:t xml:space="preserve"> </w:t>
      </w:r>
      <w:r w:rsidRPr="0029055C">
        <w:rPr>
          <w:b/>
          <w:sz w:val="22"/>
        </w:rPr>
        <w:t>28</w:t>
      </w:r>
      <w:r w:rsidR="001E14FB" w:rsidRPr="0029055C">
        <w:rPr>
          <w:b/>
          <w:sz w:val="22"/>
        </w:rPr>
        <w:t xml:space="preserve"> έργα</w:t>
      </w:r>
      <w:r w:rsidRPr="0029055C">
        <w:rPr>
          <w:sz w:val="22"/>
        </w:rPr>
        <w:t xml:space="preserve"> συνολικού προϋπολογισμού 1,57</w:t>
      </w:r>
      <w:r w:rsidR="001E14FB" w:rsidRPr="0029055C">
        <w:rPr>
          <w:sz w:val="22"/>
        </w:rPr>
        <w:t xml:space="preserve"> εκ. € (</w:t>
      </w:r>
      <w:r w:rsidRPr="0029055C">
        <w:rPr>
          <w:b/>
          <w:sz w:val="22"/>
        </w:rPr>
        <w:t>21,26</w:t>
      </w:r>
      <w:r w:rsidR="001E14FB" w:rsidRPr="0029055C">
        <w:rPr>
          <w:b/>
          <w:sz w:val="22"/>
        </w:rPr>
        <w:t>%</w:t>
      </w:r>
      <w:r w:rsidR="001E14FB" w:rsidRPr="0029055C">
        <w:rPr>
          <w:sz w:val="22"/>
        </w:rPr>
        <w:t xml:space="preserve"> του διαθέσιμου π/υ του Θεματικού Άξονα). Έχουν αναληφθεί </w:t>
      </w:r>
      <w:r w:rsidR="001E14FB" w:rsidRPr="0029055C">
        <w:rPr>
          <w:b/>
          <w:sz w:val="22"/>
        </w:rPr>
        <w:t>νομικές δεσμεύσεις</w:t>
      </w:r>
      <w:r w:rsidRPr="0029055C">
        <w:rPr>
          <w:sz w:val="22"/>
        </w:rPr>
        <w:t xml:space="preserve"> ύψους 1,02 εκ. €, ήτοι το 13,76</w:t>
      </w:r>
      <w:r w:rsidR="001E14FB" w:rsidRPr="0029055C">
        <w:rPr>
          <w:sz w:val="22"/>
        </w:rPr>
        <w:t>% του</w:t>
      </w:r>
      <w:r w:rsidRPr="0029055C">
        <w:rPr>
          <w:sz w:val="22"/>
        </w:rPr>
        <w:t xml:space="preserve"> διαθέσιμου π/υ του ΘΑ και το 64,71</w:t>
      </w:r>
      <w:r w:rsidR="001E14FB" w:rsidRPr="0029055C">
        <w:rPr>
          <w:sz w:val="22"/>
        </w:rPr>
        <w:t xml:space="preserve">% του προϋπολογισμού των ενταγμένων έργων. Οι </w:t>
      </w:r>
      <w:r w:rsidR="001E14FB" w:rsidRPr="0029055C">
        <w:rPr>
          <w:b/>
          <w:sz w:val="22"/>
        </w:rPr>
        <w:t>πιστοποιημένες δαπάνες</w:t>
      </w:r>
      <w:r w:rsidR="001E14FB" w:rsidRPr="0029055C">
        <w:rPr>
          <w:sz w:val="22"/>
        </w:rPr>
        <w:t xml:space="preserve"> ανέρχονται σε </w:t>
      </w:r>
      <w:r w:rsidRPr="0029055C">
        <w:rPr>
          <w:sz w:val="22"/>
        </w:rPr>
        <w:t>0,47</w:t>
      </w:r>
      <w:r w:rsidR="001E14FB" w:rsidRPr="0029055C">
        <w:rPr>
          <w:sz w:val="22"/>
        </w:rPr>
        <w:t xml:space="preserve"> εκ. €, αντιπροσωπεύοντας μόλις το </w:t>
      </w:r>
      <w:r w:rsidRPr="0029055C">
        <w:rPr>
          <w:sz w:val="22"/>
        </w:rPr>
        <w:t>6,4</w:t>
      </w:r>
      <w:r w:rsidR="001E14FB" w:rsidRPr="0029055C">
        <w:rPr>
          <w:sz w:val="22"/>
        </w:rPr>
        <w:t xml:space="preserve">% του προϋπολογισμού του Θεματικού Άξονα, το </w:t>
      </w:r>
      <w:r w:rsidRPr="0029055C">
        <w:rPr>
          <w:sz w:val="22"/>
        </w:rPr>
        <w:t>30</w:t>
      </w:r>
      <w:r w:rsidR="001E14FB" w:rsidRPr="0029055C">
        <w:rPr>
          <w:sz w:val="22"/>
        </w:rPr>
        <w:t xml:space="preserve">,1% του προϋπολογισμού των ενταγμένων έργων και το </w:t>
      </w:r>
      <w:r w:rsidRPr="0029055C">
        <w:rPr>
          <w:sz w:val="22"/>
        </w:rPr>
        <w:t>46</w:t>
      </w:r>
      <w:r w:rsidR="001E14FB" w:rsidRPr="0029055C">
        <w:rPr>
          <w:sz w:val="22"/>
        </w:rPr>
        <w:t>,</w:t>
      </w:r>
      <w:r w:rsidRPr="0029055C">
        <w:rPr>
          <w:sz w:val="22"/>
        </w:rPr>
        <w:t>5</w:t>
      </w:r>
      <w:r w:rsidR="001E14FB" w:rsidRPr="0029055C">
        <w:rPr>
          <w:sz w:val="22"/>
        </w:rPr>
        <w:t>2% των νομικών δεσμεύσεων.</w:t>
      </w:r>
    </w:p>
    <w:p w14:paraId="31EFCE73" w14:textId="77777777" w:rsidR="001E14FB" w:rsidRPr="0029055C" w:rsidRDefault="00516EF3" w:rsidP="001E14FB">
      <w:pPr>
        <w:spacing w:line="300" w:lineRule="atLeast"/>
        <w:rPr>
          <w:sz w:val="22"/>
        </w:rPr>
      </w:pPr>
      <w:r w:rsidRPr="0029055C">
        <w:rPr>
          <w:sz w:val="22"/>
        </w:rPr>
        <w:t xml:space="preserve">Η πρόοδος του φυσικού αντικειμένου του Θεματικού Άξονα </w:t>
      </w:r>
      <w:r w:rsidR="001B3747" w:rsidRPr="0029055C">
        <w:rPr>
          <w:sz w:val="22"/>
        </w:rPr>
        <w:t>IV</w:t>
      </w:r>
      <w:r w:rsidRPr="0029055C">
        <w:rPr>
          <w:sz w:val="22"/>
        </w:rPr>
        <w:t xml:space="preserve">, όπως αυτή αποτυπώνεται μέσω της προόδου των δεικτών εκροής του, παρατίθεται στον Πίνακα που ακολουθεί. </w:t>
      </w:r>
    </w:p>
    <w:p w14:paraId="57CFF1D6" w14:textId="77777777" w:rsidR="00516EF3" w:rsidRPr="0029055C" w:rsidRDefault="001E14FB" w:rsidP="001E14FB">
      <w:pPr>
        <w:pStyle w:val="Caption"/>
        <w:spacing w:before="240" w:after="120" w:line="280" w:lineRule="atLeast"/>
        <w:rPr>
          <w:b w:val="0"/>
          <w:sz w:val="22"/>
          <w:szCs w:val="22"/>
        </w:rPr>
      </w:pPr>
      <w:r w:rsidRPr="0029055C">
        <w:rPr>
          <w:sz w:val="22"/>
          <w:szCs w:val="22"/>
        </w:rPr>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24</w:t>
      </w:r>
      <w:r w:rsidRPr="0029055C">
        <w:rPr>
          <w:sz w:val="22"/>
          <w:szCs w:val="22"/>
        </w:rPr>
        <w:fldChar w:fldCharType="end"/>
      </w:r>
      <w:r w:rsidRPr="0029055C">
        <w:rPr>
          <w:b w:val="0"/>
          <w:sz w:val="22"/>
          <w:szCs w:val="22"/>
        </w:rPr>
        <w:t xml:space="preserve">. Πρόοδος φυσικού αντικειμένου του Θεματικού Άξονα </w:t>
      </w:r>
      <w:r w:rsidR="001B3747" w:rsidRPr="0029055C">
        <w:rPr>
          <w:b w:val="0"/>
          <w:sz w:val="22"/>
          <w:szCs w:val="22"/>
        </w:rPr>
        <w:t>IV</w:t>
      </w:r>
      <w:r w:rsidR="00516EF3" w:rsidRPr="0029055C">
        <w:rPr>
          <w:b w:val="0"/>
          <w:sz w:val="22"/>
          <w:szCs w:val="22"/>
        </w:rPr>
        <w:t xml:space="preserve"> – Δείκτες Εκροής</w:t>
      </w:r>
    </w:p>
    <w:tbl>
      <w:tblPr>
        <w:tblStyle w:val="GridTable6Colorful-Accent5"/>
        <w:tblW w:w="5000" w:type="pct"/>
        <w:tblLayout w:type="fixed"/>
        <w:tblCellMar>
          <w:left w:w="28" w:type="dxa"/>
          <w:right w:w="28" w:type="dxa"/>
        </w:tblCellMar>
        <w:tblLook w:val="06A0" w:firstRow="1" w:lastRow="0" w:firstColumn="1" w:lastColumn="0" w:noHBand="1" w:noVBand="1"/>
      </w:tblPr>
      <w:tblGrid>
        <w:gridCol w:w="5240"/>
        <w:gridCol w:w="1274"/>
        <w:gridCol w:w="1274"/>
        <w:gridCol w:w="1272"/>
      </w:tblGrid>
      <w:tr w:rsidR="00104A78" w:rsidRPr="0029055C" w14:paraId="166CCF84" w14:textId="77777777" w:rsidTr="00136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pct"/>
            <w:noWrap/>
            <w:vAlign w:val="center"/>
            <w:hideMark/>
          </w:tcPr>
          <w:p w14:paraId="5F7D7356" w14:textId="77777777" w:rsidR="00104A78" w:rsidRPr="0029055C" w:rsidRDefault="00104A78" w:rsidP="001C6579">
            <w:pPr>
              <w:spacing w:before="40" w:after="40" w:line="240" w:lineRule="auto"/>
              <w:jc w:val="center"/>
              <w:rPr>
                <w:rFonts w:asciiTheme="minorHAnsi" w:hAnsiTheme="minorHAnsi" w:cstheme="minorHAnsi"/>
                <w:sz w:val="18"/>
                <w:szCs w:val="20"/>
              </w:rPr>
            </w:pPr>
            <w:r w:rsidRPr="0029055C">
              <w:rPr>
                <w:rFonts w:asciiTheme="minorHAnsi" w:hAnsiTheme="minorHAnsi" w:cstheme="minorHAnsi"/>
                <w:sz w:val="18"/>
                <w:szCs w:val="20"/>
              </w:rPr>
              <w:t>Δείκτης</w:t>
            </w:r>
          </w:p>
        </w:tc>
        <w:tc>
          <w:tcPr>
            <w:tcW w:w="703" w:type="pct"/>
            <w:noWrap/>
            <w:vAlign w:val="center"/>
            <w:hideMark/>
          </w:tcPr>
          <w:p w14:paraId="6ABE86DA" w14:textId="77777777" w:rsidR="00104A78" w:rsidRPr="0029055C" w:rsidRDefault="00104A78" w:rsidP="001C6579">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2023</w:t>
            </w:r>
          </w:p>
        </w:tc>
        <w:tc>
          <w:tcPr>
            <w:tcW w:w="703" w:type="pct"/>
            <w:noWrap/>
            <w:vAlign w:val="center"/>
            <w:hideMark/>
          </w:tcPr>
          <w:p w14:paraId="2A484684" w14:textId="77777777" w:rsidR="00104A78" w:rsidRPr="0029055C" w:rsidRDefault="00104A78" w:rsidP="001C6579">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Ενταγμένων Πράξεων</w:t>
            </w:r>
          </w:p>
        </w:tc>
        <w:tc>
          <w:tcPr>
            <w:tcW w:w="702" w:type="pct"/>
            <w:vAlign w:val="center"/>
          </w:tcPr>
          <w:p w14:paraId="31C61051" w14:textId="77777777" w:rsidR="00104A78" w:rsidRPr="0029055C" w:rsidRDefault="00104A78" w:rsidP="001C6579">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Επίτευξη 31.12.17</w:t>
            </w:r>
          </w:p>
        </w:tc>
      </w:tr>
      <w:tr w:rsidR="00104A78" w:rsidRPr="0029055C" w14:paraId="4B07C427" w14:textId="77777777" w:rsidTr="00136BEA">
        <w:tc>
          <w:tcPr>
            <w:cnfStyle w:val="001000000000" w:firstRow="0" w:lastRow="0" w:firstColumn="1" w:lastColumn="0" w:oddVBand="0" w:evenVBand="0" w:oddHBand="0" w:evenHBand="0" w:firstRowFirstColumn="0" w:firstRowLastColumn="0" w:lastRowFirstColumn="0" w:lastRowLastColumn="0"/>
            <w:tcW w:w="2892" w:type="pct"/>
            <w:noWrap/>
          </w:tcPr>
          <w:p w14:paraId="6761B77E" w14:textId="77777777" w:rsidR="00104A78" w:rsidRPr="0029055C" w:rsidRDefault="00104A78" w:rsidP="004D65A7">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T4641. </w:t>
            </w:r>
            <w:r w:rsidRPr="0029055C">
              <w:rPr>
                <w:rFonts w:asciiTheme="minorHAnsi" w:hAnsiTheme="minorHAnsi" w:cstheme="minorHAnsi"/>
                <w:b w:val="0"/>
                <w:sz w:val="18"/>
                <w:szCs w:val="20"/>
              </w:rPr>
              <w:t>Αριθμός έργων για την βελτίωση των συστημάτων και των διαδικασιών διοίκησης και εφαρμογής του ΕΠ</w:t>
            </w:r>
          </w:p>
        </w:tc>
        <w:tc>
          <w:tcPr>
            <w:tcW w:w="703" w:type="pct"/>
            <w:noWrap/>
            <w:vAlign w:val="center"/>
          </w:tcPr>
          <w:p w14:paraId="2AC953FC" w14:textId="77777777" w:rsidR="00104A78" w:rsidRPr="0029055C" w:rsidRDefault="00104A7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10</w:t>
            </w:r>
          </w:p>
        </w:tc>
        <w:tc>
          <w:tcPr>
            <w:tcW w:w="703" w:type="pct"/>
            <w:noWrap/>
            <w:vAlign w:val="center"/>
          </w:tcPr>
          <w:p w14:paraId="08A7C404" w14:textId="77777777" w:rsidR="00104A78" w:rsidRPr="0029055C" w:rsidRDefault="00104A7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32</w:t>
            </w:r>
          </w:p>
        </w:tc>
        <w:tc>
          <w:tcPr>
            <w:tcW w:w="702" w:type="pct"/>
            <w:vAlign w:val="center"/>
          </w:tcPr>
          <w:p w14:paraId="27177C49" w14:textId="77777777" w:rsidR="00104A78" w:rsidRPr="0029055C" w:rsidRDefault="00104A7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2,37</w:t>
            </w:r>
          </w:p>
        </w:tc>
      </w:tr>
      <w:tr w:rsidR="00104A78" w:rsidRPr="0029055C" w14:paraId="6A7F75E9" w14:textId="77777777" w:rsidTr="00136BEA">
        <w:tc>
          <w:tcPr>
            <w:cnfStyle w:val="001000000000" w:firstRow="0" w:lastRow="0" w:firstColumn="1" w:lastColumn="0" w:oddVBand="0" w:evenVBand="0" w:oddHBand="0" w:evenHBand="0" w:firstRowFirstColumn="0" w:firstRowLastColumn="0" w:lastRowFirstColumn="0" w:lastRowLastColumn="0"/>
            <w:tcW w:w="2892" w:type="pct"/>
            <w:noWrap/>
          </w:tcPr>
          <w:p w14:paraId="03FCD886" w14:textId="77777777" w:rsidR="00104A78" w:rsidRPr="0029055C" w:rsidRDefault="00104A78" w:rsidP="004D65A7">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T4642. </w:t>
            </w:r>
            <w:r w:rsidRPr="0029055C">
              <w:rPr>
                <w:rFonts w:asciiTheme="minorHAnsi" w:hAnsiTheme="minorHAnsi" w:cstheme="minorHAnsi"/>
                <w:b w:val="0"/>
                <w:sz w:val="18"/>
                <w:szCs w:val="20"/>
              </w:rPr>
              <w:t>Αριθμός ελέγχων και επιθεωρήσεων σε πράξεις του ΕΠ</w:t>
            </w:r>
          </w:p>
        </w:tc>
        <w:tc>
          <w:tcPr>
            <w:tcW w:w="703" w:type="pct"/>
            <w:noWrap/>
            <w:vAlign w:val="center"/>
          </w:tcPr>
          <w:p w14:paraId="160B43AE" w14:textId="77777777" w:rsidR="00104A78" w:rsidRPr="0029055C" w:rsidRDefault="00104A7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80</w:t>
            </w:r>
          </w:p>
        </w:tc>
        <w:tc>
          <w:tcPr>
            <w:tcW w:w="703" w:type="pct"/>
            <w:noWrap/>
            <w:vAlign w:val="center"/>
          </w:tcPr>
          <w:p w14:paraId="49302A20" w14:textId="77777777" w:rsidR="00104A78" w:rsidRPr="0029055C" w:rsidRDefault="00104A7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702" w:type="pct"/>
            <w:vAlign w:val="center"/>
          </w:tcPr>
          <w:p w14:paraId="57CCE524" w14:textId="77777777" w:rsidR="00104A78" w:rsidRPr="0029055C" w:rsidRDefault="00104A7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r>
      <w:tr w:rsidR="00104A78" w:rsidRPr="0029055C" w14:paraId="68360E14" w14:textId="77777777" w:rsidTr="00136BEA">
        <w:tc>
          <w:tcPr>
            <w:cnfStyle w:val="001000000000" w:firstRow="0" w:lastRow="0" w:firstColumn="1" w:lastColumn="0" w:oddVBand="0" w:evenVBand="0" w:oddHBand="0" w:evenHBand="0" w:firstRowFirstColumn="0" w:firstRowLastColumn="0" w:lastRowFirstColumn="0" w:lastRowLastColumn="0"/>
            <w:tcW w:w="2892" w:type="pct"/>
            <w:noWrap/>
          </w:tcPr>
          <w:p w14:paraId="36DB51B3" w14:textId="77777777" w:rsidR="00104A78" w:rsidRPr="0029055C" w:rsidRDefault="00104A78" w:rsidP="004D65A7">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T4643. </w:t>
            </w:r>
            <w:r w:rsidRPr="0029055C">
              <w:rPr>
                <w:rFonts w:asciiTheme="minorHAnsi" w:hAnsiTheme="minorHAnsi" w:cstheme="minorHAnsi"/>
                <w:b w:val="0"/>
                <w:sz w:val="18"/>
                <w:szCs w:val="20"/>
              </w:rPr>
              <w:t>Αριθμός Επικοινωνιακών Σχεδίων Δράσης</w:t>
            </w:r>
          </w:p>
        </w:tc>
        <w:tc>
          <w:tcPr>
            <w:tcW w:w="703" w:type="pct"/>
            <w:noWrap/>
            <w:vAlign w:val="center"/>
          </w:tcPr>
          <w:p w14:paraId="16DA02A4" w14:textId="77777777" w:rsidR="00104A78" w:rsidRPr="0029055C" w:rsidRDefault="00104A78" w:rsidP="00281C61">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w:t>
            </w:r>
          </w:p>
        </w:tc>
        <w:tc>
          <w:tcPr>
            <w:tcW w:w="703" w:type="pct"/>
            <w:noWrap/>
            <w:vAlign w:val="center"/>
          </w:tcPr>
          <w:p w14:paraId="44A41369" w14:textId="77777777" w:rsidR="00104A78" w:rsidRPr="0029055C" w:rsidRDefault="00104A7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702" w:type="pct"/>
            <w:vAlign w:val="center"/>
          </w:tcPr>
          <w:p w14:paraId="65898812" w14:textId="77777777" w:rsidR="00104A78" w:rsidRPr="0029055C" w:rsidRDefault="00104A7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r>
      <w:tr w:rsidR="00104A78" w:rsidRPr="0029055C" w14:paraId="32BAF396" w14:textId="77777777" w:rsidTr="00136BEA">
        <w:tc>
          <w:tcPr>
            <w:cnfStyle w:val="001000000000" w:firstRow="0" w:lastRow="0" w:firstColumn="1" w:lastColumn="0" w:oddVBand="0" w:evenVBand="0" w:oddHBand="0" w:evenHBand="0" w:firstRowFirstColumn="0" w:firstRowLastColumn="0" w:lastRowFirstColumn="0" w:lastRowLastColumn="0"/>
            <w:tcW w:w="2892" w:type="pct"/>
            <w:noWrap/>
          </w:tcPr>
          <w:p w14:paraId="7CC6F28C" w14:textId="77777777" w:rsidR="00104A78" w:rsidRPr="0029055C" w:rsidRDefault="00104A78" w:rsidP="004D65A7">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T4644. </w:t>
            </w:r>
            <w:r w:rsidRPr="0029055C">
              <w:rPr>
                <w:rFonts w:asciiTheme="minorHAnsi" w:hAnsiTheme="minorHAnsi" w:cstheme="minorHAnsi"/>
                <w:b w:val="0"/>
                <w:sz w:val="18"/>
                <w:szCs w:val="20"/>
              </w:rPr>
              <w:t>Δράσεις ενημέρωσης των δυνητικών δικαιούχων σχετικά με τους στόχους και τις δυνατότητες χρηματοδότησης από το ΕΠ</w:t>
            </w:r>
          </w:p>
        </w:tc>
        <w:tc>
          <w:tcPr>
            <w:tcW w:w="703" w:type="pct"/>
            <w:noWrap/>
            <w:vAlign w:val="center"/>
          </w:tcPr>
          <w:p w14:paraId="7753EA87" w14:textId="77777777" w:rsidR="00104A78" w:rsidRPr="0029055C" w:rsidRDefault="00A93D66"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15</w:t>
            </w:r>
          </w:p>
        </w:tc>
        <w:tc>
          <w:tcPr>
            <w:tcW w:w="703" w:type="pct"/>
            <w:noWrap/>
            <w:vAlign w:val="center"/>
          </w:tcPr>
          <w:p w14:paraId="69593F0B" w14:textId="77777777" w:rsidR="00104A78" w:rsidRPr="0029055C" w:rsidRDefault="00104A7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15</w:t>
            </w:r>
          </w:p>
        </w:tc>
        <w:tc>
          <w:tcPr>
            <w:tcW w:w="702" w:type="pct"/>
            <w:vAlign w:val="center"/>
          </w:tcPr>
          <w:p w14:paraId="1FD46888" w14:textId="77777777" w:rsidR="00104A78" w:rsidRPr="0029055C" w:rsidRDefault="00104A7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0,21</w:t>
            </w:r>
          </w:p>
        </w:tc>
      </w:tr>
      <w:tr w:rsidR="00104A78" w:rsidRPr="0029055C" w14:paraId="43359AE2" w14:textId="77777777" w:rsidTr="00136BEA">
        <w:tc>
          <w:tcPr>
            <w:cnfStyle w:val="001000000000" w:firstRow="0" w:lastRow="0" w:firstColumn="1" w:lastColumn="0" w:oddVBand="0" w:evenVBand="0" w:oddHBand="0" w:evenHBand="0" w:firstRowFirstColumn="0" w:firstRowLastColumn="0" w:lastRowFirstColumn="0" w:lastRowLastColumn="0"/>
            <w:tcW w:w="2892" w:type="pct"/>
            <w:noWrap/>
          </w:tcPr>
          <w:p w14:paraId="491F9496" w14:textId="77777777" w:rsidR="00104A78" w:rsidRPr="0029055C" w:rsidRDefault="00104A78" w:rsidP="004D65A7">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 xml:space="preserve">T4645. </w:t>
            </w:r>
            <w:r w:rsidRPr="0029055C">
              <w:rPr>
                <w:rFonts w:asciiTheme="minorHAnsi" w:hAnsiTheme="minorHAnsi" w:cstheme="minorHAnsi"/>
                <w:b w:val="0"/>
                <w:sz w:val="18"/>
                <w:szCs w:val="20"/>
              </w:rPr>
              <w:t>Αριθμός μελετών,  εμπειρογνωμοσυνών, ερευνών, αξιολογήσεων, έργων τεχνικής υποστήριξης</w:t>
            </w:r>
          </w:p>
        </w:tc>
        <w:tc>
          <w:tcPr>
            <w:tcW w:w="703" w:type="pct"/>
            <w:noWrap/>
            <w:vAlign w:val="center"/>
          </w:tcPr>
          <w:p w14:paraId="5B942930" w14:textId="77777777" w:rsidR="00104A78" w:rsidRPr="0029055C" w:rsidRDefault="00104A7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15</w:t>
            </w:r>
          </w:p>
        </w:tc>
        <w:tc>
          <w:tcPr>
            <w:tcW w:w="703" w:type="pct"/>
            <w:noWrap/>
            <w:vAlign w:val="center"/>
          </w:tcPr>
          <w:p w14:paraId="5DFD0973" w14:textId="77777777" w:rsidR="00104A78" w:rsidRPr="0029055C" w:rsidRDefault="00104A7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7</w:t>
            </w:r>
          </w:p>
        </w:tc>
        <w:tc>
          <w:tcPr>
            <w:tcW w:w="702" w:type="pct"/>
            <w:vAlign w:val="center"/>
          </w:tcPr>
          <w:p w14:paraId="4F607A03" w14:textId="77777777" w:rsidR="00104A78" w:rsidRPr="0029055C" w:rsidRDefault="00104A7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r>
    </w:tbl>
    <w:p w14:paraId="7A83A91D" w14:textId="77777777" w:rsidR="00104A78" w:rsidRPr="0029055C" w:rsidRDefault="00104A78" w:rsidP="00104A78">
      <w:pPr>
        <w:rPr>
          <w:rFonts w:cstheme="minorHAnsi"/>
          <w:sz w:val="22"/>
          <w:szCs w:val="22"/>
        </w:rPr>
      </w:pPr>
      <w:r w:rsidRPr="0029055C">
        <w:rPr>
          <w:rFonts w:cstheme="minorHAnsi"/>
          <w:sz w:val="22"/>
          <w:szCs w:val="22"/>
        </w:rPr>
        <w:t>Με βάση τα στοιχεία του ανωτέρω Πίνακα, η υλοποίηση του φυσικού αντικειμένου ανά δείκτη έχει ως εξής:</w:t>
      </w:r>
    </w:p>
    <w:p w14:paraId="27FBB5A6" w14:textId="77777777" w:rsidR="00104A78" w:rsidRPr="0029055C" w:rsidRDefault="00104A78" w:rsidP="00025B72">
      <w:pPr>
        <w:pStyle w:val="ListParagraph"/>
        <w:numPr>
          <w:ilvl w:val="0"/>
          <w:numId w:val="17"/>
        </w:numPr>
        <w:spacing w:line="280" w:lineRule="atLeast"/>
        <w:ind w:left="714" w:hanging="357"/>
        <w:contextualSpacing w:val="0"/>
        <w:rPr>
          <w:rFonts w:cstheme="minorHAnsi"/>
          <w:sz w:val="22"/>
          <w:szCs w:val="22"/>
        </w:rPr>
      </w:pPr>
      <w:r w:rsidRPr="0029055C">
        <w:rPr>
          <w:rFonts w:cstheme="minorHAnsi"/>
          <w:b/>
          <w:color w:val="31849B" w:themeColor="accent5" w:themeShade="BF"/>
          <w:sz w:val="22"/>
          <w:szCs w:val="22"/>
        </w:rPr>
        <w:t>T4641:</w:t>
      </w:r>
      <w:r w:rsidRPr="0029055C">
        <w:rPr>
          <w:rFonts w:cstheme="minorHAnsi"/>
          <w:color w:val="31849B" w:themeColor="accent5" w:themeShade="BF"/>
          <w:sz w:val="22"/>
          <w:szCs w:val="22"/>
        </w:rPr>
        <w:t xml:space="preserve"> Αριθμός έργων για την βελτίωση των συστημάτων και των διαδικασιών διοίκησης και εφαρμογής του ΕΠ.</w:t>
      </w:r>
      <w:r w:rsidRPr="0029055C">
        <w:rPr>
          <w:rFonts w:cstheme="minorHAnsi"/>
          <w:color w:val="215868" w:themeColor="accent5" w:themeShade="80"/>
          <w:sz w:val="22"/>
          <w:szCs w:val="22"/>
        </w:rPr>
        <w:t xml:space="preserve"> </w:t>
      </w:r>
      <w:r w:rsidRPr="0029055C">
        <w:rPr>
          <w:rFonts w:cstheme="minorHAnsi"/>
          <w:sz w:val="22"/>
          <w:szCs w:val="22"/>
        </w:rPr>
        <w:t>Η τιμή στόχος του δείκτη για το έτος 2023 είναι 10 και αφορά στ</w:t>
      </w:r>
      <w:r w:rsidR="00FB65E2" w:rsidRPr="0029055C">
        <w:rPr>
          <w:rFonts w:cstheme="minorHAnsi"/>
          <w:sz w:val="22"/>
          <w:szCs w:val="22"/>
        </w:rPr>
        <w:t>ον αριθμό των έργων  για την βελτίωση των συστημάτων και των διαδικασιών διοίκησης και εφαρμογής τ</w:t>
      </w:r>
      <w:r w:rsidR="00C33BF8" w:rsidRPr="0029055C">
        <w:rPr>
          <w:rFonts w:cstheme="minorHAnsi"/>
          <w:sz w:val="22"/>
          <w:szCs w:val="22"/>
        </w:rPr>
        <w:t>ων δράσεων ΕΚΤ τ</w:t>
      </w:r>
      <w:r w:rsidR="00FB65E2" w:rsidRPr="0029055C">
        <w:rPr>
          <w:rFonts w:cstheme="minorHAnsi"/>
          <w:sz w:val="22"/>
          <w:szCs w:val="22"/>
        </w:rPr>
        <w:t>ου ΕΠ.</w:t>
      </w:r>
      <w:r w:rsidRPr="0029055C">
        <w:rPr>
          <w:rFonts w:cstheme="minorHAnsi"/>
          <w:sz w:val="22"/>
          <w:szCs w:val="22"/>
        </w:rPr>
        <w:t xml:space="preserve"> Ο </w:t>
      </w:r>
      <w:r w:rsidR="00FB65E2" w:rsidRPr="0029055C">
        <w:rPr>
          <w:rFonts w:cstheme="minorHAnsi"/>
          <w:sz w:val="22"/>
          <w:szCs w:val="22"/>
        </w:rPr>
        <w:t xml:space="preserve">στόχος των ενταγμένων έργων που τροφοδοτούν τον δείκτη υπερκαλύπτει το στόχο για το έτος 2023 </w:t>
      </w:r>
      <w:r w:rsidR="00025B72" w:rsidRPr="0029055C">
        <w:rPr>
          <w:rFonts w:cstheme="minorHAnsi"/>
          <w:sz w:val="22"/>
          <w:szCs w:val="22"/>
        </w:rPr>
        <w:t>κατά</w:t>
      </w:r>
      <w:r w:rsidR="00FB65E2" w:rsidRPr="0029055C">
        <w:rPr>
          <w:rFonts w:cstheme="minorHAnsi"/>
          <w:sz w:val="22"/>
          <w:szCs w:val="22"/>
        </w:rPr>
        <w:t xml:space="preserve"> 320%</w:t>
      </w:r>
      <w:r w:rsidR="00025B72" w:rsidRPr="0029055C">
        <w:rPr>
          <w:rFonts w:cstheme="minorHAnsi"/>
          <w:sz w:val="22"/>
          <w:szCs w:val="22"/>
        </w:rPr>
        <w:t>.</w:t>
      </w:r>
      <w:r w:rsidR="00FB65E2" w:rsidRPr="0029055C">
        <w:rPr>
          <w:rFonts w:cstheme="minorHAnsi"/>
          <w:sz w:val="22"/>
          <w:szCs w:val="22"/>
        </w:rPr>
        <w:t xml:space="preserve"> Με βάση τα στοιχεία υλοποίησης των σχετικών δράσεων έως το τέλος του 2017, ο δείκτης έχει επιτευχθεί σε ποσοστό </w:t>
      </w:r>
      <w:r w:rsidR="00025B72" w:rsidRPr="0029055C">
        <w:rPr>
          <w:rFonts w:cstheme="minorHAnsi"/>
          <w:sz w:val="22"/>
          <w:szCs w:val="22"/>
        </w:rPr>
        <w:t>23</w:t>
      </w:r>
      <w:r w:rsidR="00FB65E2" w:rsidRPr="0029055C">
        <w:rPr>
          <w:rFonts w:cstheme="minorHAnsi"/>
          <w:sz w:val="22"/>
          <w:szCs w:val="22"/>
        </w:rPr>
        <w:t>,</w:t>
      </w:r>
      <w:r w:rsidR="00025B72" w:rsidRPr="0029055C">
        <w:rPr>
          <w:rFonts w:cstheme="minorHAnsi"/>
          <w:sz w:val="22"/>
          <w:szCs w:val="22"/>
        </w:rPr>
        <w:t>7</w:t>
      </w:r>
      <w:r w:rsidR="00FB65E2" w:rsidRPr="0029055C">
        <w:rPr>
          <w:rFonts w:cstheme="minorHAnsi"/>
          <w:sz w:val="22"/>
          <w:szCs w:val="22"/>
        </w:rPr>
        <w:t>% και εκτιμάται  ότι θα επιτευχθεί πλήρως έως το τέλος της ΠΠ</w:t>
      </w:r>
      <w:r w:rsidRPr="0029055C">
        <w:rPr>
          <w:rFonts w:cstheme="minorHAnsi"/>
          <w:sz w:val="22"/>
          <w:szCs w:val="22"/>
        </w:rPr>
        <w:t>.</w:t>
      </w:r>
    </w:p>
    <w:p w14:paraId="7E745B5F" w14:textId="77777777" w:rsidR="00025B72" w:rsidRPr="0029055C" w:rsidRDefault="00025B72" w:rsidP="001119DF">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T4642:</w:t>
      </w:r>
      <w:r w:rsidRPr="0029055C">
        <w:rPr>
          <w:rFonts w:cstheme="minorHAnsi"/>
          <w:color w:val="31849B" w:themeColor="accent5" w:themeShade="BF"/>
          <w:sz w:val="22"/>
          <w:szCs w:val="22"/>
        </w:rPr>
        <w:t xml:space="preserve"> Αριθμός ελέγχων και επιθεωρήσεων σε πράξεις του ΕΠ.</w:t>
      </w:r>
      <w:r w:rsidRPr="0029055C">
        <w:rPr>
          <w:rFonts w:cstheme="minorHAnsi"/>
          <w:color w:val="215868" w:themeColor="accent5" w:themeShade="80"/>
          <w:sz w:val="22"/>
          <w:szCs w:val="22"/>
        </w:rPr>
        <w:t xml:space="preserve"> </w:t>
      </w:r>
      <w:r w:rsidRPr="0029055C">
        <w:rPr>
          <w:rFonts w:cstheme="minorHAnsi"/>
          <w:sz w:val="22"/>
          <w:szCs w:val="22"/>
        </w:rPr>
        <w:t xml:space="preserve">Η τιμή στόχος του δείκτη για το έτος 2023 είναι 80 και αφορά στον αριθμό των ελέγχων και επιθεωρήσεων σε πράξεις </w:t>
      </w:r>
      <w:r w:rsidR="00C33BF8" w:rsidRPr="0029055C">
        <w:rPr>
          <w:rFonts w:cstheme="minorHAnsi"/>
          <w:sz w:val="22"/>
          <w:szCs w:val="22"/>
        </w:rPr>
        <w:t xml:space="preserve">ΕΚΤ </w:t>
      </w:r>
      <w:r w:rsidRPr="0029055C">
        <w:rPr>
          <w:rFonts w:cstheme="minorHAnsi"/>
          <w:sz w:val="22"/>
          <w:szCs w:val="22"/>
        </w:rPr>
        <w:t xml:space="preserve">του Προγράμματος. </w:t>
      </w:r>
      <w:r w:rsidR="001119DF" w:rsidRPr="0029055C">
        <w:rPr>
          <w:rFonts w:cstheme="minorHAnsi"/>
          <w:sz w:val="22"/>
          <w:szCs w:val="22"/>
        </w:rPr>
        <w:t>Μέχρι την ημερομηνία αναφοράς των στοιχείων του Προγράμματος που αντλήθηκαν για την εκπόνηση του παρόντος παραδοτέου (01.06.2018) δεν είχαν ενταχθεί έργα τα οποία να συμπεριλαμβάνουν το συγκεκριμένο δείκτη.</w:t>
      </w:r>
    </w:p>
    <w:p w14:paraId="50E242F2" w14:textId="77777777" w:rsidR="001119DF" w:rsidRPr="0029055C" w:rsidRDefault="001119DF" w:rsidP="001119DF">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T4643:</w:t>
      </w:r>
      <w:r w:rsidRPr="0029055C">
        <w:rPr>
          <w:rFonts w:cstheme="minorHAnsi"/>
          <w:color w:val="31849B" w:themeColor="accent5" w:themeShade="BF"/>
          <w:sz w:val="22"/>
          <w:szCs w:val="22"/>
        </w:rPr>
        <w:t xml:space="preserve"> Αριθμός Επικοινωνιακών Σχεδίων Δράσης.</w:t>
      </w:r>
      <w:r w:rsidRPr="0029055C">
        <w:rPr>
          <w:rFonts w:cstheme="minorHAnsi"/>
          <w:color w:val="215868" w:themeColor="accent5" w:themeShade="80"/>
          <w:sz w:val="22"/>
          <w:szCs w:val="22"/>
        </w:rPr>
        <w:t xml:space="preserve"> </w:t>
      </w:r>
      <w:r w:rsidRPr="0029055C">
        <w:rPr>
          <w:rFonts w:cstheme="minorHAnsi"/>
          <w:sz w:val="22"/>
          <w:szCs w:val="22"/>
        </w:rPr>
        <w:t>Η τιμή στόχος του δείκτη για το έτος 2023 είναι 1 και αφορά στην εκπόνηση, εξειδίκευση και εφαρμογή του Επικοινωνιακού Σχεδίου Δράσης, με σκοπό τη δημοσιοποίηση στους πολίτες της χώρας και της ΕΕ του ρόλου και των επιτευγμάτων του Επιχειρησιακού Προγράμματος και του αντίκτυπού του στην ελληνική οικονομία και κοινωνία. Λαμβάνοντας υπόψη ότι το επικοινωνιακό σχέδιο του ΕΠ ΜΔΤ εκπονήθηκε από την ΕΥΔ με ίδιους πόρους προτείνεται η αφαίρεση του δείκτη Τ4643 από το σύστημα δεικτών του ΕΠ ΜΔΤ.</w:t>
      </w:r>
    </w:p>
    <w:p w14:paraId="132F2C70" w14:textId="77777777" w:rsidR="001119DF" w:rsidRPr="0029055C" w:rsidRDefault="001119DF" w:rsidP="001119DF">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T4644:</w:t>
      </w:r>
      <w:r w:rsidRPr="0029055C">
        <w:rPr>
          <w:rFonts w:cstheme="minorHAnsi"/>
          <w:color w:val="31849B" w:themeColor="accent5" w:themeShade="BF"/>
          <w:sz w:val="22"/>
          <w:szCs w:val="22"/>
        </w:rPr>
        <w:t xml:space="preserve"> Δράσεις ενημέρωσης των δυνητικών δικαιούχων σχετικά με τους στόχους και τις δυνατότητες χρηματοδότησης από το ΕΠ.</w:t>
      </w:r>
      <w:r w:rsidRPr="0029055C">
        <w:rPr>
          <w:rFonts w:cstheme="minorHAnsi"/>
          <w:color w:val="215868" w:themeColor="accent5" w:themeShade="80"/>
          <w:sz w:val="22"/>
          <w:szCs w:val="22"/>
        </w:rPr>
        <w:t xml:space="preserve"> </w:t>
      </w:r>
      <w:r w:rsidRPr="0029055C">
        <w:rPr>
          <w:rFonts w:cstheme="minorHAnsi"/>
          <w:sz w:val="22"/>
          <w:szCs w:val="22"/>
        </w:rPr>
        <w:t xml:space="preserve">Ο συγκεκριμένος δείκτης </w:t>
      </w:r>
      <w:r w:rsidRPr="0029055C">
        <w:rPr>
          <w:rFonts w:cstheme="minorHAnsi"/>
          <w:color w:val="215868" w:themeColor="accent5" w:themeShade="80"/>
          <w:sz w:val="22"/>
          <w:szCs w:val="22"/>
        </w:rPr>
        <w:t>α</w:t>
      </w:r>
      <w:r w:rsidRPr="0029055C">
        <w:rPr>
          <w:rFonts w:cstheme="minorHAnsi"/>
          <w:sz w:val="22"/>
          <w:szCs w:val="22"/>
        </w:rPr>
        <w:t xml:space="preserve">φορά στον αριθμό των έργων προβολής, πληροφόρησης, δημοσιότητας και ενημέρωσης των δυνητικών Δικαιούχων σχετικά με τους ειδικούς στόχους των παρεμβάσεων του Επιχειρησιακού Προγράμματος και </w:t>
      </w:r>
      <w:r w:rsidRPr="0029055C">
        <w:rPr>
          <w:rFonts w:cstheme="minorHAnsi"/>
          <w:sz w:val="22"/>
          <w:szCs w:val="22"/>
        </w:rPr>
        <w:lastRenderedPageBreak/>
        <w:t xml:space="preserve">τις δυνατότητες χρηματοδότησης που προσφέρονται. Επίσης αφορά στην πραγματοποίηση συνεδρίων, ημερίδων, συναντήσεων εργασίας, εκδηλώσεων, δημιουργία δικτύων και πολλαπλασιαστών πληροφόρησης κλπ. για τη δημοσιοποίηση των αποτελεσμάτων του Επιχειρησιακού Προγράμματος και τη δημοσιοποίηση και διάχυση των αποτελεσμάτων αξιολογήσεων, μελετών, εμπειρογνωμοσυνών κλπ. Η τιμή στόχος του δείκτη για το έτος 2023 προσδιορίσθηκε </w:t>
      </w:r>
      <w:r w:rsidR="00A93D66" w:rsidRPr="0029055C">
        <w:rPr>
          <w:rFonts w:cstheme="minorHAnsi"/>
          <w:sz w:val="22"/>
          <w:szCs w:val="22"/>
        </w:rPr>
        <w:t xml:space="preserve">σε 15, στο πλαίσιο της 2ης Αναθεώρησης του Προγράμματος, με βάση </w:t>
      </w:r>
      <w:r w:rsidRPr="0029055C">
        <w:rPr>
          <w:rFonts w:cstheme="minorHAnsi"/>
          <w:sz w:val="22"/>
          <w:szCs w:val="22"/>
        </w:rPr>
        <w:t xml:space="preserve">το επικοινωνιακό σχέδιο δράσης του ΕΠ ΜΔΤ, που </w:t>
      </w:r>
      <w:r w:rsidR="00A93D66" w:rsidRPr="0029055C">
        <w:rPr>
          <w:rFonts w:cstheme="minorHAnsi"/>
          <w:sz w:val="22"/>
          <w:szCs w:val="22"/>
        </w:rPr>
        <w:t xml:space="preserve">υλοποιήθηκε από την ΕΥΔ με ίδιους πόρους. </w:t>
      </w:r>
      <w:r w:rsidRPr="0029055C">
        <w:rPr>
          <w:rFonts w:cstheme="minorHAnsi"/>
          <w:sz w:val="22"/>
          <w:szCs w:val="22"/>
        </w:rPr>
        <w:t xml:space="preserve">Ο στόχος των ενταγμένων έργων </w:t>
      </w:r>
      <w:r w:rsidR="00541874" w:rsidRPr="0029055C">
        <w:rPr>
          <w:rFonts w:cstheme="minorHAnsi"/>
          <w:sz w:val="22"/>
          <w:szCs w:val="22"/>
        </w:rPr>
        <w:t xml:space="preserve">που τροφοδοτούν τον δείκτη </w:t>
      </w:r>
      <w:r w:rsidRPr="0029055C">
        <w:rPr>
          <w:rFonts w:cstheme="minorHAnsi"/>
          <w:sz w:val="22"/>
          <w:szCs w:val="22"/>
        </w:rPr>
        <w:t>ανέρχεται σε 15, ενώ</w:t>
      </w:r>
      <w:r w:rsidR="00541874" w:rsidRPr="0029055C">
        <w:rPr>
          <w:rFonts w:cstheme="minorHAnsi"/>
          <w:sz w:val="22"/>
          <w:szCs w:val="22"/>
        </w:rPr>
        <w:t xml:space="preserve"> η μέχρι 31.12.2017 τιμή υλοποίησης του δείκτη είναι 0,21.</w:t>
      </w:r>
      <w:r w:rsidRPr="0029055C">
        <w:rPr>
          <w:rFonts w:cstheme="minorHAnsi"/>
          <w:sz w:val="22"/>
          <w:szCs w:val="22"/>
        </w:rPr>
        <w:t xml:space="preserve"> </w:t>
      </w:r>
    </w:p>
    <w:p w14:paraId="13C87518" w14:textId="77777777" w:rsidR="001E14FB" w:rsidRPr="0029055C" w:rsidRDefault="00541874" w:rsidP="001E14FB">
      <w:pPr>
        <w:pStyle w:val="ListParagraph"/>
        <w:numPr>
          <w:ilvl w:val="0"/>
          <w:numId w:val="17"/>
        </w:numPr>
        <w:spacing w:line="280" w:lineRule="atLeast"/>
        <w:ind w:left="714" w:hanging="357"/>
        <w:contextualSpacing w:val="0"/>
        <w:rPr>
          <w:rFonts w:cstheme="minorHAnsi"/>
          <w:sz w:val="22"/>
          <w:szCs w:val="22"/>
        </w:rPr>
      </w:pPr>
      <w:r w:rsidRPr="0029055C">
        <w:rPr>
          <w:rFonts w:cstheme="minorHAnsi"/>
          <w:b/>
          <w:color w:val="31849B" w:themeColor="accent5" w:themeShade="BF"/>
          <w:sz w:val="22"/>
          <w:szCs w:val="22"/>
        </w:rPr>
        <w:t>T464</w:t>
      </w:r>
      <w:r w:rsidR="00C02C0A" w:rsidRPr="0029055C">
        <w:rPr>
          <w:rFonts w:cstheme="minorHAnsi"/>
          <w:b/>
          <w:color w:val="31849B" w:themeColor="accent5" w:themeShade="BF"/>
          <w:sz w:val="22"/>
          <w:szCs w:val="22"/>
        </w:rPr>
        <w:t>5</w:t>
      </w:r>
      <w:r w:rsidRPr="0029055C">
        <w:rPr>
          <w:rFonts w:cstheme="minorHAnsi"/>
          <w:b/>
          <w:color w:val="31849B" w:themeColor="accent5" w:themeShade="BF"/>
          <w:sz w:val="22"/>
          <w:szCs w:val="22"/>
        </w:rPr>
        <w:t>:</w:t>
      </w:r>
      <w:r w:rsidRPr="0029055C">
        <w:rPr>
          <w:rFonts w:cstheme="minorHAnsi"/>
          <w:color w:val="31849B" w:themeColor="accent5" w:themeShade="BF"/>
          <w:sz w:val="22"/>
          <w:szCs w:val="22"/>
        </w:rPr>
        <w:t xml:space="preserve"> Αριθμός μελετών,  εμπειρογνωμοσυνών, ερευνών, αξιολογήσεων, έργων τεχνικής υποστήριξης.</w:t>
      </w:r>
      <w:r w:rsidRPr="0029055C">
        <w:rPr>
          <w:rFonts w:cstheme="minorHAnsi"/>
          <w:color w:val="215868" w:themeColor="accent5" w:themeShade="80"/>
          <w:sz w:val="22"/>
          <w:szCs w:val="22"/>
        </w:rPr>
        <w:t xml:space="preserve"> </w:t>
      </w:r>
      <w:r w:rsidRPr="0029055C">
        <w:rPr>
          <w:rFonts w:cstheme="minorHAnsi"/>
          <w:sz w:val="22"/>
          <w:szCs w:val="22"/>
        </w:rPr>
        <w:t xml:space="preserve">Η τιμή στόχος του δείκτη για το έτος 2023 είναι </w:t>
      </w:r>
      <w:r w:rsidR="00C02C0A" w:rsidRPr="0029055C">
        <w:rPr>
          <w:rFonts w:cstheme="minorHAnsi"/>
          <w:sz w:val="22"/>
          <w:szCs w:val="22"/>
        </w:rPr>
        <w:t>15</w:t>
      </w:r>
      <w:r w:rsidRPr="0029055C">
        <w:rPr>
          <w:rFonts w:cstheme="minorHAnsi"/>
          <w:sz w:val="22"/>
          <w:szCs w:val="22"/>
        </w:rPr>
        <w:t xml:space="preserve"> και αφορά στον αριθμό των </w:t>
      </w:r>
      <w:r w:rsidR="00C02C0A" w:rsidRPr="0029055C">
        <w:rPr>
          <w:rFonts w:cstheme="minorHAnsi"/>
          <w:sz w:val="22"/>
          <w:szCs w:val="22"/>
        </w:rPr>
        <w:t>έργων εκπόνησης εξειδικευμένων μελετών, υπηρεσιών τεχνικών συμβούλων για την υλοποίηση έργων τεχνικής υποστήριξης, μελετών και εμπειρογνωμοσυνών, συμβουλευτικών υπηρεσιών υποστήριξης των φορέων υλοποίησης από εξωτερικούς εμπειρογνώμονες, καθώς και στην εκπόνηση αξιολογήσεων, όπως προβλέπονται από τον Κανονισμό (ΕΕ) 1303/2013. Ο στόχος των ενταγμένων έργων που τροφοδοτούν τον δείκτη ανέρχεται σε 7 και καλύπτει το στόχο για το έτος 2023 κατά 46,7%. Η υλοποίηση του δείκτη είναι μηδενική, αλλά εκτιμάται  ότι ο στόχο θα επιτευχθεί πλήρως έως το τέλος της ΠΠ.</w:t>
      </w:r>
    </w:p>
    <w:p w14:paraId="0C40DA3C" w14:textId="77777777" w:rsidR="00E662B2" w:rsidRPr="0029055C" w:rsidRDefault="00E662B2" w:rsidP="001C6579">
      <w:pPr>
        <w:pStyle w:val="Heading3"/>
        <w:pageBreakBefore/>
      </w:pPr>
      <w:bookmarkStart w:id="18" w:name="_Toc519758766"/>
      <w:r w:rsidRPr="0029055C">
        <w:lastRenderedPageBreak/>
        <w:t xml:space="preserve">Θεματικός Άξονας </w:t>
      </w:r>
      <w:r w:rsidR="001B3747" w:rsidRPr="0029055C">
        <w:t>V</w:t>
      </w:r>
      <w:r w:rsidRPr="0029055C">
        <w:t xml:space="preserve"> «Τεχνική Υποστήριξη για την Εφαρμογή / Υλοποίηση των Δράσεων ΕΤΠΑ του Επιχειρησιακού Προγράμματος» (Άξονες Προτεραιότητας 13,14 &amp; 15)</w:t>
      </w:r>
      <w:bookmarkEnd w:id="18"/>
    </w:p>
    <w:p w14:paraId="2F00F256" w14:textId="77777777" w:rsidR="00E662B2" w:rsidRPr="0029055C" w:rsidRDefault="00E662B2" w:rsidP="00E662B2">
      <w:pPr>
        <w:spacing w:line="280" w:lineRule="atLeast"/>
        <w:rPr>
          <w:sz w:val="22"/>
        </w:rPr>
      </w:pPr>
      <w:r w:rsidRPr="0029055C">
        <w:rPr>
          <w:sz w:val="22"/>
          <w:lang w:eastAsia="en-US"/>
        </w:rPr>
        <w:t xml:space="preserve">Ο Θεματικός Άξονας </w:t>
      </w:r>
      <w:r w:rsidR="001B3747" w:rsidRPr="0029055C">
        <w:rPr>
          <w:sz w:val="22"/>
          <w:lang w:eastAsia="en-US"/>
        </w:rPr>
        <w:t>V</w:t>
      </w:r>
      <w:r w:rsidRPr="0029055C">
        <w:rPr>
          <w:sz w:val="22"/>
          <w:lang w:eastAsia="en-US"/>
        </w:rPr>
        <w:t xml:space="preserve"> του ΕΠ ΜΔΤ αφορά στην Τεχνική Βοήθεια του Προγράμματος για την εφαρμογή των δράσεων Ε</w:t>
      </w:r>
      <w:r w:rsidR="00A93D66" w:rsidRPr="0029055C">
        <w:rPr>
          <w:sz w:val="22"/>
          <w:lang w:eastAsia="en-US"/>
        </w:rPr>
        <w:t>ΤΠΑ</w:t>
      </w:r>
      <w:r w:rsidRPr="0029055C">
        <w:rPr>
          <w:sz w:val="22"/>
          <w:lang w:eastAsia="en-US"/>
        </w:rPr>
        <w:t xml:space="preserve"> που υλοποιούνται στο πλαίσιο τ</w:t>
      </w:r>
      <w:r w:rsidR="00A93D66" w:rsidRPr="0029055C">
        <w:rPr>
          <w:sz w:val="22"/>
          <w:lang w:eastAsia="en-US"/>
        </w:rPr>
        <w:t xml:space="preserve">ου </w:t>
      </w:r>
      <w:r w:rsidRPr="0029055C">
        <w:rPr>
          <w:sz w:val="22"/>
          <w:lang w:eastAsia="en-US"/>
        </w:rPr>
        <w:t>Θεματικ</w:t>
      </w:r>
      <w:r w:rsidR="00A93D66" w:rsidRPr="0029055C">
        <w:rPr>
          <w:sz w:val="22"/>
          <w:lang w:eastAsia="en-US"/>
        </w:rPr>
        <w:t>ού</w:t>
      </w:r>
      <w:r w:rsidRPr="0029055C">
        <w:rPr>
          <w:sz w:val="22"/>
          <w:lang w:eastAsia="en-US"/>
        </w:rPr>
        <w:t xml:space="preserve"> </w:t>
      </w:r>
      <w:r w:rsidR="00A93D66" w:rsidRPr="0029055C">
        <w:rPr>
          <w:sz w:val="22"/>
          <w:lang w:eastAsia="en-US"/>
        </w:rPr>
        <w:t xml:space="preserve">Άξονα </w:t>
      </w:r>
      <w:r w:rsidR="001B3747" w:rsidRPr="0029055C">
        <w:rPr>
          <w:sz w:val="22"/>
          <w:lang w:eastAsia="en-US"/>
        </w:rPr>
        <w:t>II</w:t>
      </w:r>
      <w:r w:rsidRPr="0029055C">
        <w:rPr>
          <w:sz w:val="22"/>
          <w:lang w:eastAsia="en-US"/>
        </w:rPr>
        <w:t xml:space="preserve"> και περιλαμβάνει δράσεις για </w:t>
      </w:r>
      <w:r w:rsidRPr="0029055C">
        <w:rPr>
          <w:sz w:val="22"/>
        </w:rPr>
        <w:t>την ενίσχυση των συστημάτων και των διαδικασιών της Διαχειριστικής Αρχής, των υποστηρικτικών δομών του συστήματος διοίκησης, καθώς και των Δικαιούχων και λοιπών εμπλεκομένων με στόχο την αποτελεσματική εφαρμογή των δράσεων Ε</w:t>
      </w:r>
      <w:r w:rsidR="00A93D66" w:rsidRPr="0029055C">
        <w:rPr>
          <w:sz w:val="22"/>
        </w:rPr>
        <w:t>ΤΠΑ</w:t>
      </w:r>
      <w:r w:rsidRPr="0029055C">
        <w:rPr>
          <w:sz w:val="22"/>
        </w:rPr>
        <w:t xml:space="preserve"> του Επιχειρησιακού Προγράμματος. Ειδικότερα, περιλαμβάνει: </w:t>
      </w:r>
    </w:p>
    <w:p w14:paraId="525D8C1B" w14:textId="77777777" w:rsidR="00E662B2" w:rsidRPr="0029055C" w:rsidRDefault="00E662B2" w:rsidP="00E662B2">
      <w:pPr>
        <w:pStyle w:val="ListParagraph"/>
        <w:numPr>
          <w:ilvl w:val="0"/>
          <w:numId w:val="15"/>
        </w:numPr>
        <w:spacing w:line="280" w:lineRule="atLeast"/>
        <w:contextualSpacing w:val="0"/>
        <w:rPr>
          <w:sz w:val="22"/>
        </w:rPr>
      </w:pPr>
      <w:r w:rsidRPr="0029055C">
        <w:rPr>
          <w:sz w:val="22"/>
        </w:rPr>
        <w:t xml:space="preserve">Δράσεις για την προετοιμασία, εφαρμογή, παρακολούθηση και επιθεώρηση του Επιχειρησιακού Προγράμματος </w:t>
      </w:r>
    </w:p>
    <w:p w14:paraId="69D4D0DB" w14:textId="77777777" w:rsidR="00E662B2" w:rsidRPr="0029055C" w:rsidRDefault="00E662B2" w:rsidP="00E662B2">
      <w:pPr>
        <w:pStyle w:val="ListParagraph"/>
        <w:numPr>
          <w:ilvl w:val="0"/>
          <w:numId w:val="15"/>
        </w:numPr>
        <w:spacing w:line="280" w:lineRule="atLeast"/>
        <w:contextualSpacing w:val="0"/>
        <w:rPr>
          <w:sz w:val="22"/>
        </w:rPr>
      </w:pPr>
      <w:r w:rsidRPr="0029055C">
        <w:rPr>
          <w:sz w:val="22"/>
        </w:rPr>
        <w:t xml:space="preserve">Εκπόνηση Αξιολογήσεων, Μελετών – Εμπειρογνωμοσυνών και Υπηρεσίες Τεχνικών Συμβούλων </w:t>
      </w:r>
    </w:p>
    <w:p w14:paraId="245D54BA" w14:textId="77777777" w:rsidR="00E662B2" w:rsidRPr="0029055C" w:rsidRDefault="00E662B2" w:rsidP="00E662B2">
      <w:pPr>
        <w:pStyle w:val="ListParagraph"/>
        <w:numPr>
          <w:ilvl w:val="0"/>
          <w:numId w:val="15"/>
        </w:numPr>
        <w:spacing w:line="280" w:lineRule="atLeast"/>
        <w:contextualSpacing w:val="0"/>
        <w:rPr>
          <w:sz w:val="22"/>
        </w:rPr>
      </w:pPr>
      <w:r w:rsidRPr="0029055C">
        <w:rPr>
          <w:sz w:val="22"/>
        </w:rPr>
        <w:t xml:space="preserve">Ενέργειες Πληροφόρησης και Επικοινωνίας </w:t>
      </w:r>
    </w:p>
    <w:p w14:paraId="2B881E04" w14:textId="77777777" w:rsidR="00E662B2" w:rsidRPr="0029055C" w:rsidRDefault="00E662B2" w:rsidP="00E662B2">
      <w:pPr>
        <w:spacing w:line="280" w:lineRule="atLeast"/>
        <w:rPr>
          <w:sz w:val="22"/>
        </w:rPr>
      </w:pPr>
      <w:r w:rsidRPr="0029055C">
        <w:rPr>
          <w:sz w:val="22"/>
        </w:rPr>
        <w:t xml:space="preserve">Η συγχρηματοδοτούμενη δημόσια δαπάνη του Θεματικού Άξονα </w:t>
      </w:r>
      <w:r w:rsidR="001B3747" w:rsidRPr="0029055C">
        <w:rPr>
          <w:sz w:val="22"/>
        </w:rPr>
        <w:t>V</w:t>
      </w:r>
      <w:r w:rsidRPr="0029055C">
        <w:rPr>
          <w:sz w:val="22"/>
        </w:rPr>
        <w:t xml:space="preserve"> ανέρχεται σε </w:t>
      </w:r>
      <w:r w:rsidR="00A93D66" w:rsidRPr="0029055C">
        <w:rPr>
          <w:b/>
          <w:sz w:val="22"/>
        </w:rPr>
        <w:t>4</w:t>
      </w:r>
      <w:r w:rsidRPr="0029055C">
        <w:rPr>
          <w:b/>
          <w:sz w:val="22"/>
        </w:rPr>
        <w:t>.</w:t>
      </w:r>
      <w:r w:rsidR="00A93D66" w:rsidRPr="0029055C">
        <w:rPr>
          <w:b/>
          <w:sz w:val="22"/>
        </w:rPr>
        <w:t>183</w:t>
      </w:r>
      <w:r w:rsidRPr="0029055C">
        <w:rPr>
          <w:b/>
          <w:sz w:val="22"/>
        </w:rPr>
        <w:t>.</w:t>
      </w:r>
      <w:r w:rsidR="00A93D66" w:rsidRPr="0029055C">
        <w:rPr>
          <w:b/>
          <w:sz w:val="22"/>
        </w:rPr>
        <w:t>826</w:t>
      </w:r>
      <w:r w:rsidRPr="0029055C">
        <w:rPr>
          <w:b/>
          <w:sz w:val="22"/>
        </w:rPr>
        <w:t xml:space="preserve"> €</w:t>
      </w:r>
      <w:r w:rsidRPr="0029055C">
        <w:rPr>
          <w:sz w:val="22"/>
        </w:rPr>
        <w:t xml:space="preserve"> και αντιπροσωπεύει το </w:t>
      </w:r>
      <w:r w:rsidR="00A93D66" w:rsidRPr="0029055C">
        <w:rPr>
          <w:b/>
          <w:sz w:val="22"/>
        </w:rPr>
        <w:t>0</w:t>
      </w:r>
      <w:r w:rsidRPr="0029055C">
        <w:rPr>
          <w:b/>
          <w:sz w:val="22"/>
        </w:rPr>
        <w:t>,</w:t>
      </w:r>
      <w:r w:rsidR="00A93D66" w:rsidRPr="0029055C">
        <w:rPr>
          <w:b/>
          <w:sz w:val="22"/>
        </w:rPr>
        <w:t>81</w:t>
      </w:r>
      <w:r w:rsidRPr="0029055C">
        <w:rPr>
          <w:b/>
          <w:sz w:val="22"/>
        </w:rPr>
        <w:t>%</w:t>
      </w:r>
      <w:r w:rsidRPr="0029055C">
        <w:rPr>
          <w:sz w:val="22"/>
        </w:rPr>
        <w:t xml:space="preserve"> του συνολικού προϋπολογισμού του Προγράμματος. Η συνολική </w:t>
      </w:r>
      <w:r w:rsidRPr="0029055C">
        <w:rPr>
          <w:b/>
          <w:sz w:val="22"/>
        </w:rPr>
        <w:t>εξειδίκευση</w:t>
      </w:r>
      <w:r w:rsidRPr="0029055C">
        <w:rPr>
          <w:sz w:val="22"/>
        </w:rPr>
        <w:t xml:space="preserve"> του Θεματικού Άξονα </w:t>
      </w:r>
      <w:r w:rsidR="001B3747" w:rsidRPr="0029055C">
        <w:rPr>
          <w:sz w:val="22"/>
        </w:rPr>
        <w:t>V</w:t>
      </w:r>
      <w:r w:rsidRPr="0029055C">
        <w:rPr>
          <w:sz w:val="22"/>
        </w:rPr>
        <w:t xml:space="preserve"> ανέρχεται στο </w:t>
      </w:r>
      <w:r w:rsidR="00A93D66" w:rsidRPr="0029055C">
        <w:rPr>
          <w:b/>
          <w:sz w:val="22"/>
        </w:rPr>
        <w:t>8</w:t>
      </w:r>
      <w:r w:rsidRPr="0029055C">
        <w:rPr>
          <w:b/>
          <w:sz w:val="22"/>
        </w:rPr>
        <w:t>3,</w:t>
      </w:r>
      <w:r w:rsidR="00A93D66" w:rsidRPr="0029055C">
        <w:rPr>
          <w:b/>
          <w:sz w:val="22"/>
        </w:rPr>
        <w:t>13</w:t>
      </w:r>
      <w:r w:rsidRPr="0029055C">
        <w:rPr>
          <w:b/>
          <w:sz w:val="22"/>
        </w:rPr>
        <w:t>%</w:t>
      </w:r>
      <w:r w:rsidRPr="0029055C">
        <w:rPr>
          <w:sz w:val="22"/>
        </w:rPr>
        <w:t>,</w:t>
      </w:r>
      <w:r w:rsidRPr="0029055C">
        <w:rPr>
          <w:b/>
          <w:sz w:val="22"/>
        </w:rPr>
        <w:t xml:space="preserve"> </w:t>
      </w:r>
      <w:r w:rsidRPr="0029055C">
        <w:rPr>
          <w:sz w:val="22"/>
        </w:rPr>
        <w:t>έχουν εκδοθεί</w:t>
      </w:r>
      <w:r w:rsidRPr="0029055C">
        <w:rPr>
          <w:b/>
          <w:sz w:val="22"/>
        </w:rPr>
        <w:t xml:space="preserve"> 3 Προσκλήσεις</w:t>
      </w:r>
      <w:r w:rsidRPr="0029055C">
        <w:rPr>
          <w:sz w:val="22"/>
        </w:rPr>
        <w:t xml:space="preserve"> συνολικού προϋπολογισμού 2.</w:t>
      </w:r>
      <w:r w:rsidR="00A93D66" w:rsidRPr="0029055C">
        <w:rPr>
          <w:sz w:val="22"/>
        </w:rPr>
        <w:t>237</w:t>
      </w:r>
      <w:r w:rsidRPr="0029055C">
        <w:rPr>
          <w:sz w:val="22"/>
        </w:rPr>
        <w:t>.</w:t>
      </w:r>
      <w:r w:rsidR="00A93D66" w:rsidRPr="0029055C">
        <w:rPr>
          <w:sz w:val="22"/>
        </w:rPr>
        <w:t>504</w:t>
      </w:r>
      <w:r w:rsidRPr="0029055C">
        <w:rPr>
          <w:sz w:val="22"/>
        </w:rPr>
        <w:t>,</w:t>
      </w:r>
      <w:r w:rsidR="00A93D66" w:rsidRPr="0029055C">
        <w:rPr>
          <w:sz w:val="22"/>
        </w:rPr>
        <w:t>01</w:t>
      </w:r>
      <w:r w:rsidRPr="0029055C">
        <w:rPr>
          <w:sz w:val="22"/>
        </w:rPr>
        <w:t xml:space="preserve"> € (</w:t>
      </w:r>
      <w:r w:rsidR="00A93D66" w:rsidRPr="0029055C">
        <w:rPr>
          <w:b/>
          <w:sz w:val="22"/>
        </w:rPr>
        <w:t>53</w:t>
      </w:r>
      <w:r w:rsidRPr="0029055C">
        <w:rPr>
          <w:b/>
          <w:sz w:val="22"/>
        </w:rPr>
        <w:t>,</w:t>
      </w:r>
      <w:r w:rsidR="00A93D66" w:rsidRPr="0029055C">
        <w:rPr>
          <w:b/>
          <w:sz w:val="22"/>
        </w:rPr>
        <w:t>48</w:t>
      </w:r>
      <w:r w:rsidRPr="0029055C">
        <w:rPr>
          <w:b/>
          <w:sz w:val="22"/>
        </w:rPr>
        <w:t>%</w:t>
      </w:r>
      <w:r w:rsidRPr="0029055C">
        <w:rPr>
          <w:sz w:val="22"/>
        </w:rPr>
        <w:t xml:space="preserve"> του εγκεκριμένου π/υ του ΘΑ) και η πρόοδος υλοποίησης του οικονομικού αντικειμένου του ανά Κατηγορία Δράσης παρουσιάζεται στο </w:t>
      </w:r>
      <w:r w:rsidR="00D12AE1" w:rsidRPr="0029055C">
        <w:rPr>
          <w:sz w:val="22"/>
        </w:rPr>
        <w:t>Διάγραμμα</w:t>
      </w:r>
      <w:r w:rsidRPr="0029055C">
        <w:rPr>
          <w:sz w:val="22"/>
        </w:rPr>
        <w:t xml:space="preserve"> και τον Πίνακα που ακολουθούν.</w:t>
      </w:r>
    </w:p>
    <w:p w14:paraId="1FF44D02" w14:textId="77777777" w:rsidR="00E662B2" w:rsidRPr="0029055C" w:rsidRDefault="00D12AE1" w:rsidP="00A93D66">
      <w:pPr>
        <w:keepNext/>
        <w:tabs>
          <w:tab w:val="left" w:pos="851"/>
        </w:tabs>
        <w:spacing w:line="300" w:lineRule="atLeast"/>
        <w:ind w:left="851" w:hanging="851"/>
        <w:rPr>
          <w:rFonts w:cstheme="minorHAnsi"/>
          <w:sz w:val="22"/>
        </w:rPr>
      </w:pPr>
      <w:r w:rsidRPr="0029055C">
        <w:rPr>
          <w:b/>
          <w:sz w:val="22"/>
          <w:szCs w:val="22"/>
        </w:rPr>
        <w:t xml:space="preserve">Διάγραμμα </w:t>
      </w:r>
      <w:r w:rsidRPr="0029055C">
        <w:rPr>
          <w:b/>
          <w:sz w:val="22"/>
          <w:szCs w:val="22"/>
        </w:rPr>
        <w:fldChar w:fldCharType="begin"/>
      </w:r>
      <w:r w:rsidRPr="0029055C">
        <w:rPr>
          <w:b/>
          <w:sz w:val="22"/>
          <w:szCs w:val="22"/>
        </w:rPr>
        <w:instrText xml:space="preserve"> SEQ Διάγραμμα \* ARABIC </w:instrText>
      </w:r>
      <w:r w:rsidRPr="0029055C">
        <w:rPr>
          <w:b/>
          <w:sz w:val="22"/>
          <w:szCs w:val="22"/>
        </w:rPr>
        <w:fldChar w:fldCharType="separate"/>
      </w:r>
      <w:r w:rsidR="00292BCA">
        <w:rPr>
          <w:b/>
          <w:noProof/>
          <w:sz w:val="22"/>
          <w:szCs w:val="22"/>
        </w:rPr>
        <w:t>5</w:t>
      </w:r>
      <w:r w:rsidRPr="0029055C">
        <w:rPr>
          <w:b/>
          <w:sz w:val="22"/>
          <w:szCs w:val="22"/>
        </w:rPr>
        <w:fldChar w:fldCharType="end"/>
      </w:r>
      <w:r w:rsidR="00E662B2" w:rsidRPr="0029055C">
        <w:rPr>
          <w:rFonts w:cstheme="minorHAnsi"/>
          <w:b/>
          <w:sz w:val="22"/>
        </w:rPr>
        <w:t>.</w:t>
      </w:r>
      <w:r w:rsidR="00E662B2" w:rsidRPr="0029055C">
        <w:rPr>
          <w:rFonts w:cstheme="minorHAnsi"/>
          <w:sz w:val="22"/>
        </w:rPr>
        <w:t xml:space="preserve"> </w:t>
      </w:r>
      <w:r w:rsidR="00E662B2" w:rsidRPr="0029055C">
        <w:t xml:space="preserve"> </w:t>
      </w:r>
      <w:r w:rsidR="00E662B2" w:rsidRPr="0029055C">
        <w:rPr>
          <w:rFonts w:cstheme="minorHAnsi"/>
          <w:sz w:val="22"/>
        </w:rPr>
        <w:t xml:space="preserve">Πρόοδος οικονομικού αντικειμένου του ΘΑ </w:t>
      </w:r>
      <w:r w:rsidR="001B3747" w:rsidRPr="0029055C">
        <w:rPr>
          <w:rFonts w:cstheme="minorHAnsi"/>
          <w:sz w:val="22"/>
        </w:rPr>
        <w:t>V</w:t>
      </w:r>
      <w:r w:rsidR="00E662B2" w:rsidRPr="0029055C">
        <w:rPr>
          <w:rFonts w:cstheme="minorHAnsi"/>
          <w:sz w:val="22"/>
        </w:rPr>
        <w:t xml:space="preserve"> ανά Κατηγορία Δράσης (ΔΔ, εκ. €) </w:t>
      </w:r>
    </w:p>
    <w:p w14:paraId="7A3AF920" w14:textId="77777777" w:rsidR="001C6579" w:rsidRPr="0029055C" w:rsidRDefault="001C6579" w:rsidP="00A93D66">
      <w:pPr>
        <w:keepNext/>
        <w:tabs>
          <w:tab w:val="left" w:pos="851"/>
        </w:tabs>
        <w:spacing w:line="300" w:lineRule="atLeast"/>
        <w:ind w:left="851" w:hanging="851"/>
        <w:rPr>
          <w:rFonts w:cstheme="minorHAnsi"/>
          <w:sz w:val="22"/>
        </w:rPr>
      </w:pPr>
      <w:r w:rsidRPr="0029055C">
        <w:rPr>
          <w:noProof/>
        </w:rPr>
        <w:drawing>
          <wp:inline distT="0" distB="0" distL="0" distR="0" wp14:anchorId="7C270FC3" wp14:editId="0194950B">
            <wp:extent cx="5759450" cy="3108960"/>
            <wp:effectExtent l="0" t="0" r="12700" b="152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37431B1" w14:textId="77777777" w:rsidR="00E662B2" w:rsidRPr="0029055C" w:rsidRDefault="00E662B2" w:rsidP="00E662B2">
      <w:pPr>
        <w:tabs>
          <w:tab w:val="left" w:pos="851"/>
        </w:tabs>
        <w:spacing w:line="300" w:lineRule="atLeast"/>
        <w:ind w:left="851" w:hanging="851"/>
        <w:rPr>
          <w:rFonts w:cstheme="minorHAnsi"/>
          <w:sz w:val="22"/>
        </w:rPr>
      </w:pPr>
    </w:p>
    <w:p w14:paraId="5BA330E3" w14:textId="77777777" w:rsidR="00E662B2" w:rsidRPr="0029055C" w:rsidRDefault="00E662B2" w:rsidP="00E662B2">
      <w:pPr>
        <w:sectPr w:rsidR="00E662B2" w:rsidRPr="0029055C" w:rsidSect="00037A41">
          <w:headerReference w:type="default" r:id="rId41"/>
          <w:footerReference w:type="default" r:id="rId42"/>
          <w:pgSz w:w="11906" w:h="16838" w:code="9"/>
          <w:pgMar w:top="1814" w:right="1418" w:bottom="1134" w:left="1418" w:header="567" w:footer="284" w:gutter="0"/>
          <w:cols w:space="708"/>
          <w:docGrid w:linePitch="360"/>
        </w:sectPr>
      </w:pPr>
    </w:p>
    <w:p w14:paraId="1E974949" w14:textId="77777777" w:rsidR="00E662B2" w:rsidRPr="0029055C" w:rsidRDefault="00E662B2" w:rsidP="00E662B2">
      <w:pPr>
        <w:pStyle w:val="Caption"/>
        <w:spacing w:before="240" w:after="120" w:line="280" w:lineRule="atLeast"/>
        <w:rPr>
          <w:b w:val="0"/>
          <w:sz w:val="22"/>
          <w:szCs w:val="22"/>
        </w:rPr>
      </w:pPr>
      <w:r w:rsidRPr="0029055C">
        <w:rPr>
          <w:sz w:val="22"/>
          <w:szCs w:val="22"/>
        </w:rPr>
        <w:lastRenderedPageBreak/>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25</w:t>
      </w:r>
      <w:r w:rsidRPr="0029055C">
        <w:rPr>
          <w:sz w:val="22"/>
          <w:szCs w:val="22"/>
        </w:rPr>
        <w:fldChar w:fldCharType="end"/>
      </w:r>
      <w:r w:rsidRPr="0029055C">
        <w:rPr>
          <w:b w:val="0"/>
          <w:sz w:val="22"/>
          <w:szCs w:val="22"/>
        </w:rPr>
        <w:t xml:space="preserve">. Πρόοδος οικονομικού αντικειμένου του ΘΑ </w:t>
      </w:r>
      <w:r w:rsidR="001B3747" w:rsidRPr="0029055C">
        <w:rPr>
          <w:b w:val="0"/>
          <w:sz w:val="22"/>
          <w:szCs w:val="22"/>
        </w:rPr>
        <w:t>V</w:t>
      </w:r>
      <w:r w:rsidRPr="0029055C">
        <w:rPr>
          <w:b w:val="0"/>
          <w:sz w:val="22"/>
          <w:szCs w:val="22"/>
        </w:rPr>
        <w:t xml:space="preserve"> ανά Ειδικό Στόχο και Κατηγορία Δράσης (ποσά σε Δημόσια Δαπάνη)</w:t>
      </w:r>
    </w:p>
    <w:tbl>
      <w:tblPr>
        <w:tblW w:w="5000" w:type="pct"/>
        <w:jc w:val="center"/>
        <w:tblLayout w:type="fixed"/>
        <w:tblCellMar>
          <w:left w:w="28" w:type="dxa"/>
          <w:right w:w="28" w:type="dxa"/>
        </w:tblCellMar>
        <w:tblLook w:val="04A0" w:firstRow="1" w:lastRow="0" w:firstColumn="1" w:lastColumn="0" w:noHBand="0" w:noVBand="1"/>
      </w:tblPr>
      <w:tblGrid>
        <w:gridCol w:w="1700"/>
        <w:gridCol w:w="1627"/>
        <w:gridCol w:w="1627"/>
        <w:gridCol w:w="1452"/>
        <w:gridCol w:w="1570"/>
        <w:gridCol w:w="1357"/>
        <w:gridCol w:w="1553"/>
        <w:gridCol w:w="1553"/>
        <w:gridCol w:w="1553"/>
      </w:tblGrid>
      <w:tr w:rsidR="00E662B2" w:rsidRPr="0029055C" w14:paraId="0C86FECA" w14:textId="77777777" w:rsidTr="001C6579">
        <w:trPr>
          <w:jc w:val="center"/>
        </w:trPr>
        <w:tc>
          <w:tcPr>
            <w:tcW w:w="607" w:type="pct"/>
            <w:tcBorders>
              <w:top w:val="single" w:sz="4" w:space="0" w:color="92CDDC"/>
              <w:left w:val="single" w:sz="4" w:space="0" w:color="92CDDC"/>
              <w:bottom w:val="single" w:sz="12" w:space="0" w:color="92CDDC"/>
              <w:right w:val="single" w:sz="4" w:space="0" w:color="92CDDC"/>
            </w:tcBorders>
            <w:shd w:val="clear" w:color="auto" w:fill="auto"/>
            <w:vAlign w:val="center"/>
            <w:hideMark/>
          </w:tcPr>
          <w:p w14:paraId="2CE340AD" w14:textId="77777777" w:rsidR="00E662B2" w:rsidRPr="0029055C" w:rsidRDefault="00E662B2" w:rsidP="001C6579">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Ειδικός Στόχος / Κατηγορία Δράσης</w:t>
            </w:r>
          </w:p>
        </w:tc>
        <w:tc>
          <w:tcPr>
            <w:tcW w:w="581" w:type="pct"/>
            <w:tcBorders>
              <w:top w:val="single" w:sz="4" w:space="0" w:color="92CDDC"/>
              <w:left w:val="nil"/>
              <w:bottom w:val="single" w:sz="12" w:space="0" w:color="92CDDC"/>
              <w:right w:val="single" w:sz="4" w:space="0" w:color="92CDDC"/>
            </w:tcBorders>
            <w:shd w:val="clear" w:color="auto" w:fill="auto"/>
            <w:vAlign w:val="center"/>
            <w:hideMark/>
          </w:tcPr>
          <w:p w14:paraId="2534E772" w14:textId="77777777" w:rsidR="00E662B2" w:rsidRPr="0029055C" w:rsidRDefault="00E662B2" w:rsidP="001C6579">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Προϋπολογισμός</w:t>
            </w:r>
            <w:r w:rsidRPr="0029055C">
              <w:rPr>
                <w:rFonts w:asciiTheme="minorHAnsi" w:hAnsiTheme="minorHAnsi" w:cstheme="minorHAnsi"/>
                <w:color w:val="31849B"/>
                <w:szCs w:val="20"/>
              </w:rPr>
              <w:t xml:space="preserve"> </w:t>
            </w:r>
            <w:r w:rsidRPr="0029055C">
              <w:rPr>
                <w:rFonts w:asciiTheme="minorHAnsi" w:hAnsiTheme="minorHAnsi" w:cstheme="minorHAnsi"/>
                <w:color w:val="31849B"/>
                <w:szCs w:val="20"/>
              </w:rPr>
              <w:br/>
              <w:t>(με βάση την 1η Αναθεώρηση)</w:t>
            </w:r>
          </w:p>
        </w:tc>
        <w:tc>
          <w:tcPr>
            <w:tcW w:w="581" w:type="pct"/>
            <w:tcBorders>
              <w:top w:val="single" w:sz="4" w:space="0" w:color="92CDDC"/>
              <w:left w:val="nil"/>
              <w:bottom w:val="single" w:sz="12" w:space="0" w:color="92CDDC"/>
              <w:right w:val="single" w:sz="4" w:space="0" w:color="92CDDC"/>
            </w:tcBorders>
            <w:shd w:val="clear" w:color="auto" w:fill="auto"/>
            <w:noWrap/>
            <w:vAlign w:val="center"/>
            <w:hideMark/>
          </w:tcPr>
          <w:p w14:paraId="799FB589" w14:textId="77777777" w:rsidR="00E662B2" w:rsidRPr="0029055C" w:rsidRDefault="00E662B2" w:rsidP="001C6579">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Εξειδίκευση</w:t>
            </w:r>
          </w:p>
        </w:tc>
        <w:tc>
          <w:tcPr>
            <w:tcW w:w="519" w:type="pct"/>
            <w:tcBorders>
              <w:top w:val="single" w:sz="4" w:space="0" w:color="92CDDC"/>
              <w:left w:val="nil"/>
              <w:bottom w:val="single" w:sz="12" w:space="0" w:color="92CDDC"/>
              <w:right w:val="single" w:sz="4" w:space="0" w:color="92CDDC"/>
            </w:tcBorders>
            <w:shd w:val="clear" w:color="auto" w:fill="auto"/>
            <w:vAlign w:val="center"/>
            <w:hideMark/>
          </w:tcPr>
          <w:p w14:paraId="7F0440A7" w14:textId="77777777" w:rsidR="00E662B2" w:rsidRPr="0029055C" w:rsidRDefault="00E662B2" w:rsidP="001C6579">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Αριθμός Προσκλήσεων*</w:t>
            </w:r>
          </w:p>
        </w:tc>
        <w:tc>
          <w:tcPr>
            <w:tcW w:w="561" w:type="pct"/>
            <w:tcBorders>
              <w:top w:val="single" w:sz="4" w:space="0" w:color="92CDDC"/>
              <w:left w:val="nil"/>
              <w:bottom w:val="single" w:sz="12" w:space="0" w:color="92CDDC"/>
              <w:right w:val="single" w:sz="4" w:space="0" w:color="92CDDC"/>
            </w:tcBorders>
            <w:shd w:val="clear" w:color="auto" w:fill="auto"/>
            <w:vAlign w:val="center"/>
            <w:hideMark/>
          </w:tcPr>
          <w:p w14:paraId="6131387B" w14:textId="77777777" w:rsidR="00E662B2" w:rsidRPr="0029055C" w:rsidRDefault="00E662B2" w:rsidP="001C6579">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Π/Υ Προσκλήσεων</w:t>
            </w:r>
          </w:p>
        </w:tc>
        <w:tc>
          <w:tcPr>
            <w:tcW w:w="485" w:type="pct"/>
            <w:tcBorders>
              <w:top w:val="single" w:sz="4" w:space="0" w:color="92CDDC"/>
              <w:left w:val="nil"/>
              <w:bottom w:val="single" w:sz="12" w:space="0" w:color="92CDDC"/>
              <w:right w:val="single" w:sz="4" w:space="0" w:color="92CDDC"/>
            </w:tcBorders>
            <w:shd w:val="clear" w:color="auto" w:fill="auto"/>
            <w:vAlign w:val="center"/>
            <w:hideMark/>
          </w:tcPr>
          <w:p w14:paraId="3850C397" w14:textId="77777777" w:rsidR="00E662B2" w:rsidRPr="0029055C" w:rsidRDefault="00E662B2" w:rsidP="001C6579">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Αριθμός Ενταγμένων Έργων**</w:t>
            </w:r>
          </w:p>
        </w:tc>
        <w:tc>
          <w:tcPr>
            <w:tcW w:w="555" w:type="pct"/>
            <w:tcBorders>
              <w:top w:val="single" w:sz="4" w:space="0" w:color="92CDDC"/>
              <w:left w:val="nil"/>
              <w:bottom w:val="single" w:sz="12" w:space="0" w:color="92CDDC"/>
              <w:right w:val="single" w:sz="4" w:space="0" w:color="92CDDC"/>
            </w:tcBorders>
            <w:shd w:val="clear" w:color="auto" w:fill="auto"/>
            <w:noWrap/>
            <w:vAlign w:val="center"/>
            <w:hideMark/>
          </w:tcPr>
          <w:p w14:paraId="0D6C49D5" w14:textId="77777777" w:rsidR="00E662B2" w:rsidRPr="0029055C" w:rsidRDefault="00E662B2" w:rsidP="001C6579">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Π/Υ Εντάξεων</w:t>
            </w:r>
          </w:p>
        </w:tc>
        <w:tc>
          <w:tcPr>
            <w:tcW w:w="555" w:type="pct"/>
            <w:tcBorders>
              <w:top w:val="single" w:sz="4" w:space="0" w:color="92CDDC"/>
              <w:left w:val="nil"/>
              <w:bottom w:val="single" w:sz="12" w:space="0" w:color="92CDDC"/>
              <w:right w:val="single" w:sz="4" w:space="0" w:color="92CDDC"/>
            </w:tcBorders>
            <w:shd w:val="clear" w:color="auto" w:fill="auto"/>
            <w:vAlign w:val="center"/>
            <w:hideMark/>
          </w:tcPr>
          <w:p w14:paraId="0E5918EB" w14:textId="77777777" w:rsidR="00E662B2" w:rsidRPr="0029055C" w:rsidRDefault="00E662B2" w:rsidP="001C6579">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Νομικές Δεσμεύσεις</w:t>
            </w:r>
          </w:p>
        </w:tc>
        <w:tc>
          <w:tcPr>
            <w:tcW w:w="555" w:type="pct"/>
            <w:tcBorders>
              <w:top w:val="single" w:sz="4" w:space="0" w:color="92CDDC"/>
              <w:left w:val="nil"/>
              <w:bottom w:val="single" w:sz="12" w:space="0" w:color="92CDDC"/>
              <w:right w:val="single" w:sz="4" w:space="0" w:color="92CDDC"/>
            </w:tcBorders>
            <w:shd w:val="clear" w:color="auto" w:fill="auto"/>
            <w:vAlign w:val="center"/>
            <w:hideMark/>
          </w:tcPr>
          <w:p w14:paraId="0B1DAD1E" w14:textId="77777777" w:rsidR="00E662B2" w:rsidRPr="0029055C" w:rsidRDefault="00E662B2" w:rsidP="001C6579">
            <w:pPr>
              <w:spacing w:before="80" w:after="80" w:line="240" w:lineRule="auto"/>
              <w:jc w:val="center"/>
              <w:rPr>
                <w:rFonts w:asciiTheme="minorHAnsi" w:hAnsiTheme="minorHAnsi" w:cstheme="minorHAnsi"/>
                <w:b/>
                <w:bCs/>
                <w:color w:val="31849B"/>
                <w:szCs w:val="20"/>
              </w:rPr>
            </w:pPr>
            <w:r w:rsidRPr="0029055C">
              <w:rPr>
                <w:rFonts w:asciiTheme="minorHAnsi" w:hAnsiTheme="minorHAnsi" w:cstheme="minorHAnsi"/>
                <w:b/>
                <w:bCs/>
                <w:color w:val="31849B"/>
                <w:szCs w:val="20"/>
              </w:rPr>
              <w:t>Πιστοποιημένες Δαπάνες</w:t>
            </w:r>
          </w:p>
        </w:tc>
      </w:tr>
      <w:tr w:rsidR="001C6579" w:rsidRPr="0029055C" w14:paraId="64625AEA" w14:textId="77777777" w:rsidTr="001C6579">
        <w:trPr>
          <w:jc w:val="center"/>
        </w:trPr>
        <w:tc>
          <w:tcPr>
            <w:tcW w:w="607" w:type="pct"/>
            <w:tcBorders>
              <w:top w:val="nil"/>
              <w:left w:val="single" w:sz="4" w:space="0" w:color="92CDDC"/>
              <w:bottom w:val="single" w:sz="4" w:space="0" w:color="92CDDC"/>
              <w:right w:val="single" w:sz="4" w:space="0" w:color="92CDDC"/>
            </w:tcBorders>
            <w:shd w:val="clear" w:color="000000" w:fill="DAEEF3"/>
            <w:noWrap/>
            <w:vAlign w:val="center"/>
            <w:hideMark/>
          </w:tcPr>
          <w:p w14:paraId="31E94946" w14:textId="77777777" w:rsidR="001C6579" w:rsidRPr="0029055C" w:rsidRDefault="001C6579" w:rsidP="001C6579">
            <w:pPr>
              <w:spacing w:before="80" w:after="80" w:line="240" w:lineRule="auto"/>
              <w:jc w:val="left"/>
              <w:rPr>
                <w:rFonts w:asciiTheme="minorHAnsi" w:hAnsiTheme="minorHAnsi" w:cstheme="minorHAnsi"/>
                <w:b/>
                <w:bCs/>
                <w:color w:val="31869B"/>
                <w:szCs w:val="20"/>
              </w:rPr>
            </w:pPr>
            <w:r w:rsidRPr="0029055C">
              <w:rPr>
                <w:rFonts w:asciiTheme="minorHAnsi" w:hAnsiTheme="minorHAnsi" w:cstheme="minorHAnsi"/>
                <w:b/>
                <w:bCs/>
                <w:color w:val="31869B"/>
                <w:szCs w:val="20"/>
              </w:rPr>
              <w:t>E.1</w:t>
            </w:r>
          </w:p>
        </w:tc>
        <w:tc>
          <w:tcPr>
            <w:tcW w:w="581" w:type="pct"/>
            <w:tcBorders>
              <w:top w:val="nil"/>
              <w:left w:val="nil"/>
              <w:bottom w:val="single" w:sz="4" w:space="0" w:color="92CDDC"/>
              <w:right w:val="single" w:sz="4" w:space="0" w:color="92CDDC"/>
            </w:tcBorders>
            <w:shd w:val="clear" w:color="000000" w:fill="DAEEF3"/>
            <w:noWrap/>
            <w:vAlign w:val="bottom"/>
            <w:hideMark/>
          </w:tcPr>
          <w:p w14:paraId="5DACDD9E" w14:textId="77777777" w:rsidR="001C6579" w:rsidRPr="0029055C" w:rsidRDefault="001C6579" w:rsidP="001C6579">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4.183.826,00</w:t>
            </w:r>
          </w:p>
        </w:tc>
        <w:tc>
          <w:tcPr>
            <w:tcW w:w="581" w:type="pct"/>
            <w:tcBorders>
              <w:top w:val="nil"/>
              <w:left w:val="nil"/>
              <w:bottom w:val="single" w:sz="4" w:space="0" w:color="92CDDC"/>
              <w:right w:val="single" w:sz="4" w:space="0" w:color="92CDDC"/>
            </w:tcBorders>
            <w:shd w:val="clear" w:color="000000" w:fill="DAEEF3"/>
            <w:noWrap/>
            <w:vAlign w:val="bottom"/>
            <w:hideMark/>
          </w:tcPr>
          <w:p w14:paraId="4BBED269" w14:textId="77777777" w:rsidR="001C6579" w:rsidRPr="0029055C" w:rsidRDefault="001C6579" w:rsidP="001C6579">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3.477.821,84</w:t>
            </w:r>
          </w:p>
        </w:tc>
        <w:tc>
          <w:tcPr>
            <w:tcW w:w="519" w:type="pct"/>
            <w:tcBorders>
              <w:top w:val="nil"/>
              <w:left w:val="nil"/>
              <w:bottom w:val="single" w:sz="4" w:space="0" w:color="92CDDC"/>
              <w:right w:val="single" w:sz="4" w:space="0" w:color="92CDDC"/>
            </w:tcBorders>
            <w:shd w:val="clear" w:color="000000" w:fill="DAEEF3"/>
            <w:noWrap/>
            <w:vAlign w:val="bottom"/>
            <w:hideMark/>
          </w:tcPr>
          <w:p w14:paraId="729AE214" w14:textId="77777777" w:rsidR="001C6579" w:rsidRPr="0029055C" w:rsidRDefault="001C6579" w:rsidP="001C6579">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7</w:t>
            </w:r>
          </w:p>
        </w:tc>
        <w:tc>
          <w:tcPr>
            <w:tcW w:w="561" w:type="pct"/>
            <w:tcBorders>
              <w:top w:val="nil"/>
              <w:left w:val="nil"/>
              <w:bottom w:val="single" w:sz="4" w:space="0" w:color="92CDDC"/>
              <w:right w:val="single" w:sz="4" w:space="0" w:color="92CDDC"/>
            </w:tcBorders>
            <w:shd w:val="clear" w:color="000000" w:fill="DAEEF3"/>
            <w:noWrap/>
            <w:vAlign w:val="bottom"/>
            <w:hideMark/>
          </w:tcPr>
          <w:p w14:paraId="3AE01499" w14:textId="77777777" w:rsidR="001C6579" w:rsidRPr="0029055C" w:rsidRDefault="001C6579" w:rsidP="001C6579">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2.237.504,01</w:t>
            </w:r>
          </w:p>
        </w:tc>
        <w:tc>
          <w:tcPr>
            <w:tcW w:w="485" w:type="pct"/>
            <w:tcBorders>
              <w:top w:val="nil"/>
              <w:left w:val="nil"/>
              <w:bottom w:val="single" w:sz="4" w:space="0" w:color="92CDDC"/>
              <w:right w:val="single" w:sz="4" w:space="0" w:color="92CDDC"/>
            </w:tcBorders>
            <w:shd w:val="clear" w:color="000000" w:fill="DAEEF3"/>
            <w:noWrap/>
            <w:vAlign w:val="bottom"/>
            <w:hideMark/>
          </w:tcPr>
          <w:p w14:paraId="41830AD2" w14:textId="77777777" w:rsidR="001C6579" w:rsidRPr="0029055C" w:rsidRDefault="001C6579" w:rsidP="001C6579">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13</w:t>
            </w:r>
          </w:p>
        </w:tc>
        <w:tc>
          <w:tcPr>
            <w:tcW w:w="555" w:type="pct"/>
            <w:tcBorders>
              <w:top w:val="nil"/>
              <w:left w:val="nil"/>
              <w:bottom w:val="single" w:sz="4" w:space="0" w:color="92CDDC"/>
              <w:right w:val="single" w:sz="4" w:space="0" w:color="92CDDC"/>
            </w:tcBorders>
            <w:shd w:val="clear" w:color="000000" w:fill="DAEEF3"/>
            <w:noWrap/>
            <w:vAlign w:val="bottom"/>
            <w:hideMark/>
          </w:tcPr>
          <w:p w14:paraId="5B4300F1" w14:textId="77777777" w:rsidR="001C6579" w:rsidRPr="0029055C" w:rsidRDefault="001C6579" w:rsidP="001C6579">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565.834,83</w:t>
            </w:r>
          </w:p>
        </w:tc>
        <w:tc>
          <w:tcPr>
            <w:tcW w:w="555" w:type="pct"/>
            <w:tcBorders>
              <w:top w:val="nil"/>
              <w:left w:val="nil"/>
              <w:bottom w:val="single" w:sz="4" w:space="0" w:color="92CDDC"/>
              <w:right w:val="single" w:sz="4" w:space="0" w:color="92CDDC"/>
            </w:tcBorders>
            <w:shd w:val="clear" w:color="000000" w:fill="DAEEF3"/>
            <w:noWrap/>
            <w:vAlign w:val="bottom"/>
            <w:hideMark/>
          </w:tcPr>
          <w:p w14:paraId="3487F18C" w14:textId="77777777" w:rsidR="001C6579" w:rsidRPr="0029055C" w:rsidRDefault="001C6579" w:rsidP="001C6579">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140.500,23</w:t>
            </w:r>
          </w:p>
        </w:tc>
        <w:tc>
          <w:tcPr>
            <w:tcW w:w="555" w:type="pct"/>
            <w:tcBorders>
              <w:top w:val="nil"/>
              <w:left w:val="nil"/>
              <w:bottom w:val="single" w:sz="4" w:space="0" w:color="92CDDC"/>
              <w:right w:val="single" w:sz="4" w:space="0" w:color="92CDDC"/>
            </w:tcBorders>
            <w:shd w:val="clear" w:color="000000" w:fill="DAEEF3"/>
            <w:noWrap/>
            <w:vAlign w:val="bottom"/>
            <w:hideMark/>
          </w:tcPr>
          <w:p w14:paraId="5E4A5316" w14:textId="77777777" w:rsidR="001C6579" w:rsidRPr="0029055C" w:rsidRDefault="001C6579" w:rsidP="001C6579">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0,00</w:t>
            </w:r>
          </w:p>
        </w:tc>
      </w:tr>
      <w:tr w:rsidR="001C6579" w:rsidRPr="0029055C" w14:paraId="139E594C" w14:textId="77777777" w:rsidTr="001C6579">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center"/>
            <w:hideMark/>
          </w:tcPr>
          <w:p w14:paraId="2C46C0BD"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E.1.1</w:t>
            </w:r>
          </w:p>
        </w:tc>
        <w:tc>
          <w:tcPr>
            <w:tcW w:w="581" w:type="pct"/>
            <w:tcBorders>
              <w:top w:val="nil"/>
              <w:left w:val="nil"/>
              <w:bottom w:val="single" w:sz="4" w:space="0" w:color="92CDDC"/>
              <w:right w:val="single" w:sz="4" w:space="0" w:color="92CDDC"/>
            </w:tcBorders>
            <w:shd w:val="clear" w:color="auto" w:fill="auto"/>
            <w:noWrap/>
            <w:vAlign w:val="center"/>
            <w:hideMark/>
          </w:tcPr>
          <w:p w14:paraId="315CE48F"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1.394.609,00</w:t>
            </w:r>
          </w:p>
        </w:tc>
        <w:tc>
          <w:tcPr>
            <w:tcW w:w="581" w:type="pct"/>
            <w:tcBorders>
              <w:top w:val="nil"/>
              <w:left w:val="nil"/>
              <w:bottom w:val="single" w:sz="4" w:space="0" w:color="92CDDC"/>
              <w:right w:val="single" w:sz="4" w:space="0" w:color="92CDDC"/>
            </w:tcBorders>
            <w:shd w:val="clear" w:color="auto" w:fill="auto"/>
            <w:noWrap/>
            <w:vAlign w:val="center"/>
            <w:hideMark/>
          </w:tcPr>
          <w:p w14:paraId="53B909E1"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1.680.840,00</w:t>
            </w:r>
          </w:p>
        </w:tc>
        <w:tc>
          <w:tcPr>
            <w:tcW w:w="519" w:type="pct"/>
            <w:tcBorders>
              <w:top w:val="nil"/>
              <w:left w:val="nil"/>
              <w:bottom w:val="single" w:sz="4" w:space="0" w:color="92CDDC"/>
              <w:right w:val="single" w:sz="4" w:space="0" w:color="92CDDC"/>
            </w:tcBorders>
            <w:shd w:val="clear" w:color="auto" w:fill="auto"/>
            <w:noWrap/>
            <w:vAlign w:val="center"/>
            <w:hideMark/>
          </w:tcPr>
          <w:p w14:paraId="7CBCE4F6" w14:textId="77777777" w:rsidR="001C6579" w:rsidRPr="0029055C" w:rsidRDefault="001C6579" w:rsidP="001C6579">
            <w:pPr>
              <w:spacing w:before="80" w:after="80" w:line="240" w:lineRule="auto"/>
              <w:jc w:val="center"/>
              <w:rPr>
                <w:rFonts w:asciiTheme="minorHAnsi" w:hAnsiTheme="minorHAnsi" w:cstheme="minorHAnsi"/>
                <w:color w:val="000000"/>
                <w:szCs w:val="20"/>
              </w:rPr>
            </w:pPr>
            <w:r w:rsidRPr="0029055C">
              <w:rPr>
                <w:rFonts w:cs="Calibri"/>
                <w:color w:val="000000"/>
                <w:szCs w:val="18"/>
              </w:rPr>
              <w:t>3</w:t>
            </w:r>
          </w:p>
        </w:tc>
        <w:tc>
          <w:tcPr>
            <w:tcW w:w="561" w:type="pct"/>
            <w:tcBorders>
              <w:top w:val="nil"/>
              <w:left w:val="nil"/>
              <w:bottom w:val="single" w:sz="4" w:space="0" w:color="92CDDC"/>
              <w:right w:val="single" w:sz="4" w:space="0" w:color="92CDDC"/>
            </w:tcBorders>
            <w:shd w:val="clear" w:color="auto" w:fill="auto"/>
            <w:noWrap/>
            <w:vAlign w:val="center"/>
            <w:hideMark/>
          </w:tcPr>
          <w:p w14:paraId="75A8A49B"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1.267.184,01</w:t>
            </w:r>
          </w:p>
        </w:tc>
        <w:tc>
          <w:tcPr>
            <w:tcW w:w="485" w:type="pct"/>
            <w:tcBorders>
              <w:top w:val="nil"/>
              <w:left w:val="nil"/>
              <w:bottom w:val="single" w:sz="4" w:space="0" w:color="92CDDC"/>
              <w:right w:val="single" w:sz="4" w:space="0" w:color="92CDDC"/>
            </w:tcBorders>
            <w:shd w:val="clear" w:color="auto" w:fill="auto"/>
            <w:noWrap/>
            <w:vAlign w:val="center"/>
            <w:hideMark/>
          </w:tcPr>
          <w:p w14:paraId="61BFB63B" w14:textId="77777777" w:rsidR="001C6579" w:rsidRPr="0029055C" w:rsidRDefault="001C6579" w:rsidP="001C6579">
            <w:pPr>
              <w:spacing w:before="80" w:after="80" w:line="240" w:lineRule="auto"/>
              <w:jc w:val="center"/>
              <w:rPr>
                <w:rFonts w:asciiTheme="minorHAnsi" w:hAnsiTheme="minorHAnsi" w:cstheme="minorHAnsi"/>
                <w:color w:val="000000"/>
                <w:szCs w:val="20"/>
              </w:rPr>
            </w:pPr>
            <w:r w:rsidRPr="0029055C">
              <w:rPr>
                <w:rFonts w:cs="Calibri"/>
                <w:color w:val="000000"/>
                <w:szCs w:val="18"/>
              </w:rPr>
              <w:t>9</w:t>
            </w:r>
          </w:p>
        </w:tc>
        <w:tc>
          <w:tcPr>
            <w:tcW w:w="555" w:type="pct"/>
            <w:tcBorders>
              <w:top w:val="nil"/>
              <w:left w:val="nil"/>
              <w:bottom w:val="single" w:sz="4" w:space="0" w:color="92CDDC"/>
              <w:right w:val="single" w:sz="4" w:space="0" w:color="92CDDC"/>
            </w:tcBorders>
            <w:shd w:val="clear" w:color="auto" w:fill="auto"/>
            <w:noWrap/>
            <w:vAlign w:val="center"/>
            <w:hideMark/>
          </w:tcPr>
          <w:p w14:paraId="12BEF33E"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321.948,80</w:t>
            </w:r>
          </w:p>
        </w:tc>
        <w:tc>
          <w:tcPr>
            <w:tcW w:w="555" w:type="pct"/>
            <w:tcBorders>
              <w:top w:val="nil"/>
              <w:left w:val="nil"/>
              <w:bottom w:val="single" w:sz="4" w:space="0" w:color="92CDDC"/>
              <w:right w:val="single" w:sz="4" w:space="0" w:color="92CDDC"/>
            </w:tcBorders>
            <w:shd w:val="clear" w:color="auto" w:fill="auto"/>
            <w:noWrap/>
            <w:vAlign w:val="center"/>
            <w:hideMark/>
          </w:tcPr>
          <w:p w14:paraId="42864406"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140.500,23</w:t>
            </w:r>
          </w:p>
        </w:tc>
        <w:tc>
          <w:tcPr>
            <w:tcW w:w="555" w:type="pct"/>
            <w:tcBorders>
              <w:top w:val="nil"/>
              <w:left w:val="nil"/>
              <w:bottom w:val="single" w:sz="4" w:space="0" w:color="92CDDC"/>
              <w:right w:val="single" w:sz="4" w:space="0" w:color="92CDDC"/>
            </w:tcBorders>
            <w:shd w:val="clear" w:color="auto" w:fill="auto"/>
            <w:noWrap/>
            <w:vAlign w:val="center"/>
            <w:hideMark/>
          </w:tcPr>
          <w:p w14:paraId="33EC845B"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0,00</w:t>
            </w:r>
          </w:p>
        </w:tc>
      </w:tr>
      <w:tr w:rsidR="001C6579" w:rsidRPr="0029055C" w14:paraId="0AC406A6" w14:textId="77777777" w:rsidTr="001C6579">
        <w:trPr>
          <w:jc w:val="center"/>
        </w:trPr>
        <w:tc>
          <w:tcPr>
            <w:tcW w:w="607" w:type="pct"/>
            <w:tcBorders>
              <w:top w:val="nil"/>
              <w:left w:val="single" w:sz="4" w:space="0" w:color="92CDDC"/>
              <w:bottom w:val="single" w:sz="4" w:space="0" w:color="92CDDC"/>
              <w:right w:val="single" w:sz="4" w:space="0" w:color="92CDDC"/>
            </w:tcBorders>
            <w:shd w:val="clear" w:color="auto" w:fill="auto"/>
            <w:noWrap/>
            <w:vAlign w:val="center"/>
            <w:hideMark/>
          </w:tcPr>
          <w:p w14:paraId="3CD481F7"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E.1.2</w:t>
            </w:r>
          </w:p>
        </w:tc>
        <w:tc>
          <w:tcPr>
            <w:tcW w:w="581" w:type="pct"/>
            <w:tcBorders>
              <w:top w:val="nil"/>
              <w:left w:val="nil"/>
              <w:bottom w:val="single" w:sz="4" w:space="0" w:color="92CDDC"/>
              <w:right w:val="single" w:sz="4" w:space="0" w:color="92CDDC"/>
            </w:tcBorders>
            <w:shd w:val="clear" w:color="auto" w:fill="auto"/>
            <w:noWrap/>
            <w:vAlign w:val="center"/>
            <w:hideMark/>
          </w:tcPr>
          <w:p w14:paraId="3F8AB3E7"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1.394.608,00</w:t>
            </w:r>
          </w:p>
        </w:tc>
        <w:tc>
          <w:tcPr>
            <w:tcW w:w="581" w:type="pct"/>
            <w:tcBorders>
              <w:top w:val="nil"/>
              <w:left w:val="nil"/>
              <w:bottom w:val="single" w:sz="4" w:space="0" w:color="92CDDC"/>
              <w:right w:val="single" w:sz="4" w:space="0" w:color="92CDDC"/>
            </w:tcBorders>
            <w:shd w:val="clear" w:color="auto" w:fill="auto"/>
            <w:noWrap/>
            <w:vAlign w:val="center"/>
            <w:hideMark/>
          </w:tcPr>
          <w:p w14:paraId="47247039"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700.350,00</w:t>
            </w:r>
          </w:p>
        </w:tc>
        <w:tc>
          <w:tcPr>
            <w:tcW w:w="519" w:type="pct"/>
            <w:tcBorders>
              <w:top w:val="nil"/>
              <w:left w:val="nil"/>
              <w:bottom w:val="single" w:sz="4" w:space="0" w:color="92CDDC"/>
              <w:right w:val="single" w:sz="4" w:space="0" w:color="92CDDC"/>
            </w:tcBorders>
            <w:shd w:val="clear" w:color="auto" w:fill="auto"/>
            <w:noWrap/>
            <w:vAlign w:val="center"/>
            <w:hideMark/>
          </w:tcPr>
          <w:p w14:paraId="5BF2033C" w14:textId="77777777" w:rsidR="001C6579" w:rsidRPr="0029055C" w:rsidRDefault="001C6579" w:rsidP="001C6579">
            <w:pPr>
              <w:spacing w:before="80" w:after="80" w:line="240" w:lineRule="auto"/>
              <w:jc w:val="center"/>
              <w:rPr>
                <w:rFonts w:asciiTheme="minorHAnsi" w:hAnsiTheme="minorHAnsi" w:cstheme="minorHAnsi"/>
                <w:color w:val="000000"/>
                <w:szCs w:val="20"/>
              </w:rPr>
            </w:pPr>
            <w:r w:rsidRPr="0029055C">
              <w:rPr>
                <w:rFonts w:cs="Calibri"/>
                <w:color w:val="000000"/>
                <w:szCs w:val="18"/>
              </w:rPr>
              <w:t>2</w:t>
            </w:r>
          </w:p>
        </w:tc>
        <w:tc>
          <w:tcPr>
            <w:tcW w:w="561" w:type="pct"/>
            <w:tcBorders>
              <w:top w:val="nil"/>
              <w:left w:val="nil"/>
              <w:bottom w:val="single" w:sz="4" w:space="0" w:color="92CDDC"/>
              <w:right w:val="single" w:sz="4" w:space="0" w:color="92CDDC"/>
            </w:tcBorders>
            <w:shd w:val="clear" w:color="auto" w:fill="auto"/>
            <w:noWrap/>
            <w:vAlign w:val="center"/>
            <w:hideMark/>
          </w:tcPr>
          <w:p w14:paraId="6E730E67"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220.898,00</w:t>
            </w:r>
          </w:p>
        </w:tc>
        <w:tc>
          <w:tcPr>
            <w:tcW w:w="485" w:type="pct"/>
            <w:tcBorders>
              <w:top w:val="nil"/>
              <w:left w:val="nil"/>
              <w:bottom w:val="single" w:sz="4" w:space="0" w:color="92CDDC"/>
              <w:right w:val="single" w:sz="4" w:space="0" w:color="92CDDC"/>
            </w:tcBorders>
            <w:shd w:val="clear" w:color="auto" w:fill="auto"/>
            <w:noWrap/>
            <w:vAlign w:val="center"/>
            <w:hideMark/>
          </w:tcPr>
          <w:p w14:paraId="4EFC7E0D" w14:textId="77777777" w:rsidR="001C6579" w:rsidRPr="0029055C" w:rsidRDefault="001C6579" w:rsidP="001C6579">
            <w:pPr>
              <w:spacing w:before="80" w:after="80" w:line="240" w:lineRule="auto"/>
              <w:jc w:val="center"/>
              <w:rPr>
                <w:rFonts w:asciiTheme="minorHAnsi" w:hAnsiTheme="minorHAnsi" w:cstheme="minorHAnsi"/>
                <w:color w:val="000000"/>
                <w:szCs w:val="20"/>
              </w:rPr>
            </w:pPr>
            <w:r w:rsidRPr="0029055C">
              <w:rPr>
                <w:rFonts w:cs="Calibri"/>
                <w:color w:val="000000"/>
                <w:szCs w:val="18"/>
              </w:rPr>
              <w:t>2</w:t>
            </w:r>
          </w:p>
        </w:tc>
        <w:tc>
          <w:tcPr>
            <w:tcW w:w="555" w:type="pct"/>
            <w:tcBorders>
              <w:top w:val="nil"/>
              <w:left w:val="nil"/>
              <w:bottom w:val="single" w:sz="4" w:space="0" w:color="92CDDC"/>
              <w:right w:val="single" w:sz="4" w:space="0" w:color="92CDDC"/>
            </w:tcBorders>
            <w:shd w:val="clear" w:color="auto" w:fill="auto"/>
            <w:noWrap/>
            <w:vAlign w:val="center"/>
            <w:hideMark/>
          </w:tcPr>
          <w:p w14:paraId="477CA3A5"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27.842,00</w:t>
            </w:r>
          </w:p>
        </w:tc>
        <w:tc>
          <w:tcPr>
            <w:tcW w:w="555" w:type="pct"/>
            <w:tcBorders>
              <w:top w:val="nil"/>
              <w:left w:val="nil"/>
              <w:bottom w:val="single" w:sz="4" w:space="0" w:color="92CDDC"/>
              <w:right w:val="single" w:sz="4" w:space="0" w:color="92CDDC"/>
            </w:tcBorders>
            <w:shd w:val="clear" w:color="auto" w:fill="auto"/>
            <w:noWrap/>
            <w:vAlign w:val="center"/>
            <w:hideMark/>
          </w:tcPr>
          <w:p w14:paraId="139ED280"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0,00</w:t>
            </w:r>
          </w:p>
        </w:tc>
        <w:tc>
          <w:tcPr>
            <w:tcW w:w="555" w:type="pct"/>
            <w:tcBorders>
              <w:top w:val="nil"/>
              <w:left w:val="nil"/>
              <w:bottom w:val="single" w:sz="4" w:space="0" w:color="92CDDC"/>
              <w:right w:val="single" w:sz="4" w:space="0" w:color="92CDDC"/>
            </w:tcBorders>
            <w:shd w:val="clear" w:color="auto" w:fill="auto"/>
            <w:noWrap/>
            <w:vAlign w:val="center"/>
            <w:hideMark/>
          </w:tcPr>
          <w:p w14:paraId="4EFE3F02"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0,00</w:t>
            </w:r>
          </w:p>
        </w:tc>
      </w:tr>
      <w:tr w:rsidR="001C6579" w:rsidRPr="0029055C" w14:paraId="38654B12" w14:textId="77777777" w:rsidTr="001C6579">
        <w:trPr>
          <w:jc w:val="center"/>
        </w:trPr>
        <w:tc>
          <w:tcPr>
            <w:tcW w:w="607" w:type="pct"/>
            <w:tcBorders>
              <w:top w:val="nil"/>
              <w:left w:val="single" w:sz="4" w:space="0" w:color="92CDDC"/>
              <w:bottom w:val="single" w:sz="12" w:space="0" w:color="92CDDC"/>
              <w:right w:val="single" w:sz="4" w:space="0" w:color="92CDDC"/>
            </w:tcBorders>
            <w:shd w:val="clear" w:color="auto" w:fill="auto"/>
            <w:noWrap/>
            <w:vAlign w:val="center"/>
            <w:hideMark/>
          </w:tcPr>
          <w:p w14:paraId="1D3FB665"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E.1.3</w:t>
            </w:r>
          </w:p>
        </w:tc>
        <w:tc>
          <w:tcPr>
            <w:tcW w:w="581" w:type="pct"/>
            <w:tcBorders>
              <w:top w:val="nil"/>
              <w:left w:val="nil"/>
              <w:bottom w:val="single" w:sz="12" w:space="0" w:color="92CDDC"/>
              <w:right w:val="single" w:sz="4" w:space="0" w:color="92CDDC"/>
            </w:tcBorders>
            <w:shd w:val="clear" w:color="auto" w:fill="auto"/>
            <w:noWrap/>
            <w:vAlign w:val="center"/>
            <w:hideMark/>
          </w:tcPr>
          <w:p w14:paraId="3044FAFD"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1.394.609,00</w:t>
            </w:r>
          </w:p>
        </w:tc>
        <w:tc>
          <w:tcPr>
            <w:tcW w:w="581" w:type="pct"/>
            <w:tcBorders>
              <w:top w:val="nil"/>
              <w:left w:val="nil"/>
              <w:bottom w:val="single" w:sz="12" w:space="0" w:color="92CDDC"/>
              <w:right w:val="single" w:sz="4" w:space="0" w:color="92CDDC"/>
            </w:tcBorders>
            <w:shd w:val="clear" w:color="auto" w:fill="auto"/>
            <w:noWrap/>
            <w:vAlign w:val="center"/>
            <w:hideMark/>
          </w:tcPr>
          <w:p w14:paraId="615D7B86"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1.096.631,84</w:t>
            </w:r>
          </w:p>
        </w:tc>
        <w:tc>
          <w:tcPr>
            <w:tcW w:w="519" w:type="pct"/>
            <w:tcBorders>
              <w:top w:val="nil"/>
              <w:left w:val="nil"/>
              <w:bottom w:val="single" w:sz="12" w:space="0" w:color="92CDDC"/>
              <w:right w:val="single" w:sz="4" w:space="0" w:color="92CDDC"/>
            </w:tcBorders>
            <w:shd w:val="clear" w:color="auto" w:fill="auto"/>
            <w:noWrap/>
            <w:vAlign w:val="center"/>
            <w:hideMark/>
          </w:tcPr>
          <w:p w14:paraId="5A58A5AF" w14:textId="77777777" w:rsidR="001C6579" w:rsidRPr="0029055C" w:rsidRDefault="001C6579" w:rsidP="001C6579">
            <w:pPr>
              <w:spacing w:before="80" w:after="80" w:line="240" w:lineRule="auto"/>
              <w:jc w:val="center"/>
              <w:rPr>
                <w:rFonts w:asciiTheme="minorHAnsi" w:hAnsiTheme="minorHAnsi" w:cstheme="minorHAnsi"/>
                <w:color w:val="000000"/>
                <w:szCs w:val="20"/>
              </w:rPr>
            </w:pPr>
            <w:r w:rsidRPr="0029055C">
              <w:rPr>
                <w:rFonts w:cs="Calibri"/>
                <w:color w:val="000000"/>
                <w:szCs w:val="18"/>
              </w:rPr>
              <w:t>2</w:t>
            </w:r>
          </w:p>
        </w:tc>
        <w:tc>
          <w:tcPr>
            <w:tcW w:w="561" w:type="pct"/>
            <w:tcBorders>
              <w:top w:val="nil"/>
              <w:left w:val="nil"/>
              <w:bottom w:val="single" w:sz="12" w:space="0" w:color="92CDDC"/>
              <w:right w:val="single" w:sz="4" w:space="0" w:color="92CDDC"/>
            </w:tcBorders>
            <w:shd w:val="clear" w:color="auto" w:fill="auto"/>
            <w:noWrap/>
            <w:vAlign w:val="center"/>
            <w:hideMark/>
          </w:tcPr>
          <w:p w14:paraId="15D91AE5"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749.422,00</w:t>
            </w:r>
          </w:p>
        </w:tc>
        <w:tc>
          <w:tcPr>
            <w:tcW w:w="485" w:type="pct"/>
            <w:tcBorders>
              <w:top w:val="nil"/>
              <w:left w:val="nil"/>
              <w:bottom w:val="single" w:sz="12" w:space="0" w:color="92CDDC"/>
              <w:right w:val="single" w:sz="4" w:space="0" w:color="92CDDC"/>
            </w:tcBorders>
            <w:shd w:val="clear" w:color="auto" w:fill="auto"/>
            <w:noWrap/>
            <w:vAlign w:val="center"/>
            <w:hideMark/>
          </w:tcPr>
          <w:p w14:paraId="44E98162" w14:textId="77777777" w:rsidR="001C6579" w:rsidRPr="0029055C" w:rsidRDefault="001C6579" w:rsidP="001C6579">
            <w:pPr>
              <w:spacing w:before="80" w:after="80" w:line="240" w:lineRule="auto"/>
              <w:jc w:val="center"/>
              <w:rPr>
                <w:rFonts w:asciiTheme="minorHAnsi" w:hAnsiTheme="minorHAnsi" w:cstheme="minorHAnsi"/>
                <w:color w:val="000000"/>
                <w:szCs w:val="20"/>
              </w:rPr>
            </w:pPr>
            <w:r w:rsidRPr="0029055C">
              <w:rPr>
                <w:rFonts w:cs="Calibri"/>
                <w:color w:val="000000"/>
                <w:szCs w:val="18"/>
              </w:rPr>
              <w:t>2</w:t>
            </w:r>
          </w:p>
        </w:tc>
        <w:tc>
          <w:tcPr>
            <w:tcW w:w="555" w:type="pct"/>
            <w:tcBorders>
              <w:top w:val="nil"/>
              <w:left w:val="nil"/>
              <w:bottom w:val="single" w:sz="12" w:space="0" w:color="92CDDC"/>
              <w:right w:val="single" w:sz="4" w:space="0" w:color="92CDDC"/>
            </w:tcBorders>
            <w:shd w:val="clear" w:color="auto" w:fill="auto"/>
            <w:noWrap/>
            <w:vAlign w:val="center"/>
            <w:hideMark/>
          </w:tcPr>
          <w:p w14:paraId="4D155D4D"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216.044,03</w:t>
            </w:r>
          </w:p>
        </w:tc>
        <w:tc>
          <w:tcPr>
            <w:tcW w:w="555" w:type="pct"/>
            <w:tcBorders>
              <w:top w:val="nil"/>
              <w:left w:val="nil"/>
              <w:bottom w:val="single" w:sz="12" w:space="0" w:color="92CDDC"/>
              <w:right w:val="single" w:sz="4" w:space="0" w:color="92CDDC"/>
            </w:tcBorders>
            <w:shd w:val="clear" w:color="auto" w:fill="auto"/>
            <w:noWrap/>
            <w:vAlign w:val="center"/>
            <w:hideMark/>
          </w:tcPr>
          <w:p w14:paraId="47A91E80"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0,00</w:t>
            </w:r>
          </w:p>
        </w:tc>
        <w:tc>
          <w:tcPr>
            <w:tcW w:w="555" w:type="pct"/>
            <w:tcBorders>
              <w:top w:val="nil"/>
              <w:left w:val="nil"/>
              <w:bottom w:val="single" w:sz="12" w:space="0" w:color="92CDDC"/>
              <w:right w:val="single" w:sz="4" w:space="0" w:color="92CDDC"/>
            </w:tcBorders>
            <w:shd w:val="clear" w:color="auto" w:fill="auto"/>
            <w:noWrap/>
            <w:vAlign w:val="center"/>
            <w:hideMark/>
          </w:tcPr>
          <w:p w14:paraId="3E03F1F0" w14:textId="77777777" w:rsidR="001C6579" w:rsidRPr="0029055C" w:rsidRDefault="001C6579" w:rsidP="001C6579">
            <w:pPr>
              <w:spacing w:before="80" w:after="80" w:line="240" w:lineRule="auto"/>
              <w:jc w:val="right"/>
              <w:rPr>
                <w:rFonts w:asciiTheme="minorHAnsi" w:hAnsiTheme="minorHAnsi" w:cstheme="minorHAnsi"/>
                <w:color w:val="000000"/>
                <w:szCs w:val="20"/>
              </w:rPr>
            </w:pPr>
            <w:r w:rsidRPr="0029055C">
              <w:rPr>
                <w:rFonts w:cs="Calibri"/>
                <w:color w:val="000000"/>
                <w:szCs w:val="18"/>
              </w:rPr>
              <w:t>0,00</w:t>
            </w:r>
          </w:p>
        </w:tc>
      </w:tr>
      <w:tr w:rsidR="001C6579" w:rsidRPr="0029055C" w14:paraId="4DE08A27" w14:textId="77777777" w:rsidTr="001C6579">
        <w:trPr>
          <w:jc w:val="center"/>
        </w:trPr>
        <w:tc>
          <w:tcPr>
            <w:tcW w:w="607" w:type="pct"/>
            <w:tcBorders>
              <w:top w:val="single" w:sz="12" w:space="0" w:color="92CDDC"/>
              <w:left w:val="single" w:sz="4" w:space="0" w:color="92CDDC"/>
              <w:bottom w:val="single" w:sz="12" w:space="0" w:color="92CDDC"/>
              <w:right w:val="single" w:sz="4" w:space="0" w:color="92CDDC"/>
            </w:tcBorders>
            <w:shd w:val="clear" w:color="auto" w:fill="auto"/>
            <w:noWrap/>
            <w:vAlign w:val="bottom"/>
            <w:hideMark/>
          </w:tcPr>
          <w:p w14:paraId="20FDC4F0" w14:textId="77777777" w:rsidR="001C6579" w:rsidRPr="0029055C" w:rsidRDefault="001C6579" w:rsidP="00AC462E">
            <w:pPr>
              <w:spacing w:before="80" w:after="80" w:line="240" w:lineRule="auto"/>
              <w:jc w:val="left"/>
              <w:rPr>
                <w:rFonts w:asciiTheme="minorHAnsi" w:hAnsiTheme="minorHAnsi" w:cstheme="minorHAnsi"/>
                <w:b/>
                <w:bCs/>
                <w:color w:val="31869B"/>
                <w:szCs w:val="20"/>
              </w:rPr>
            </w:pPr>
            <w:r w:rsidRPr="0029055C">
              <w:rPr>
                <w:rFonts w:asciiTheme="minorHAnsi" w:hAnsiTheme="minorHAnsi" w:cstheme="minorHAnsi"/>
                <w:b/>
                <w:bCs/>
                <w:color w:val="31869B"/>
                <w:szCs w:val="20"/>
              </w:rPr>
              <w:t xml:space="preserve">Σύνολο Θεματικού Άξονα </w:t>
            </w:r>
            <w:r w:rsidR="00AC462E" w:rsidRPr="0029055C">
              <w:rPr>
                <w:rFonts w:asciiTheme="minorHAnsi" w:hAnsiTheme="minorHAnsi" w:cstheme="minorHAnsi"/>
                <w:b/>
                <w:bCs/>
                <w:color w:val="31869B"/>
                <w:szCs w:val="20"/>
              </w:rPr>
              <w:t>V</w:t>
            </w:r>
          </w:p>
        </w:tc>
        <w:tc>
          <w:tcPr>
            <w:tcW w:w="581" w:type="pct"/>
            <w:tcBorders>
              <w:top w:val="single" w:sz="12" w:space="0" w:color="92CDDC"/>
              <w:left w:val="nil"/>
              <w:bottom w:val="single" w:sz="12" w:space="0" w:color="92CDDC"/>
              <w:right w:val="single" w:sz="4" w:space="0" w:color="92CDDC"/>
            </w:tcBorders>
            <w:shd w:val="clear" w:color="auto" w:fill="auto"/>
            <w:noWrap/>
            <w:vAlign w:val="center"/>
            <w:hideMark/>
          </w:tcPr>
          <w:p w14:paraId="4278E508" w14:textId="77777777" w:rsidR="001C6579" w:rsidRPr="0029055C" w:rsidRDefault="001C6579" w:rsidP="001C6579">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4.183.826,00</w:t>
            </w:r>
          </w:p>
        </w:tc>
        <w:tc>
          <w:tcPr>
            <w:tcW w:w="581" w:type="pct"/>
            <w:tcBorders>
              <w:top w:val="single" w:sz="12" w:space="0" w:color="92CDDC"/>
              <w:left w:val="nil"/>
              <w:bottom w:val="single" w:sz="12" w:space="0" w:color="92CDDC"/>
              <w:right w:val="single" w:sz="4" w:space="0" w:color="92CDDC"/>
            </w:tcBorders>
            <w:shd w:val="clear" w:color="auto" w:fill="auto"/>
            <w:noWrap/>
            <w:vAlign w:val="center"/>
            <w:hideMark/>
          </w:tcPr>
          <w:p w14:paraId="32F74670" w14:textId="77777777" w:rsidR="001C6579" w:rsidRPr="0029055C" w:rsidRDefault="001C6579" w:rsidP="001C6579">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3.477.821,84</w:t>
            </w:r>
          </w:p>
        </w:tc>
        <w:tc>
          <w:tcPr>
            <w:tcW w:w="519" w:type="pct"/>
            <w:tcBorders>
              <w:top w:val="single" w:sz="12" w:space="0" w:color="92CDDC"/>
              <w:left w:val="nil"/>
              <w:bottom w:val="single" w:sz="12" w:space="0" w:color="92CDDC"/>
              <w:right w:val="single" w:sz="4" w:space="0" w:color="92CDDC"/>
            </w:tcBorders>
            <w:shd w:val="clear" w:color="auto" w:fill="auto"/>
            <w:noWrap/>
            <w:vAlign w:val="center"/>
            <w:hideMark/>
          </w:tcPr>
          <w:p w14:paraId="53560B0E" w14:textId="77777777" w:rsidR="001C6579" w:rsidRPr="0029055C" w:rsidRDefault="001C6579" w:rsidP="001C6579">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3</w:t>
            </w:r>
          </w:p>
        </w:tc>
        <w:tc>
          <w:tcPr>
            <w:tcW w:w="561" w:type="pct"/>
            <w:tcBorders>
              <w:top w:val="single" w:sz="12" w:space="0" w:color="92CDDC"/>
              <w:left w:val="nil"/>
              <w:bottom w:val="single" w:sz="12" w:space="0" w:color="92CDDC"/>
              <w:right w:val="single" w:sz="4" w:space="0" w:color="92CDDC"/>
            </w:tcBorders>
            <w:shd w:val="clear" w:color="auto" w:fill="auto"/>
            <w:noWrap/>
            <w:vAlign w:val="center"/>
            <w:hideMark/>
          </w:tcPr>
          <w:p w14:paraId="26F30628" w14:textId="77777777" w:rsidR="001C6579" w:rsidRPr="0029055C" w:rsidRDefault="001C6579" w:rsidP="001C6579">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2.237.504,01</w:t>
            </w:r>
          </w:p>
        </w:tc>
        <w:tc>
          <w:tcPr>
            <w:tcW w:w="485" w:type="pct"/>
            <w:tcBorders>
              <w:top w:val="single" w:sz="12" w:space="0" w:color="92CDDC"/>
              <w:left w:val="nil"/>
              <w:bottom w:val="single" w:sz="12" w:space="0" w:color="92CDDC"/>
              <w:right w:val="single" w:sz="4" w:space="0" w:color="92CDDC"/>
            </w:tcBorders>
            <w:shd w:val="clear" w:color="auto" w:fill="auto"/>
            <w:noWrap/>
            <w:vAlign w:val="center"/>
            <w:hideMark/>
          </w:tcPr>
          <w:p w14:paraId="543FFFDA" w14:textId="77777777" w:rsidR="001C6579" w:rsidRPr="0029055C" w:rsidRDefault="001C6579" w:rsidP="001C6579">
            <w:pPr>
              <w:spacing w:before="80" w:after="80" w:line="240" w:lineRule="auto"/>
              <w:jc w:val="center"/>
              <w:rPr>
                <w:rFonts w:asciiTheme="minorHAnsi" w:hAnsiTheme="minorHAnsi" w:cstheme="minorHAnsi"/>
                <w:b/>
                <w:bCs/>
                <w:color w:val="31869B"/>
                <w:szCs w:val="20"/>
              </w:rPr>
            </w:pPr>
            <w:r w:rsidRPr="0029055C">
              <w:rPr>
                <w:rFonts w:cs="Calibri"/>
                <w:b/>
                <w:bCs/>
                <w:color w:val="31869B"/>
                <w:szCs w:val="18"/>
              </w:rPr>
              <w:t>11</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36472770" w14:textId="77777777" w:rsidR="001C6579" w:rsidRPr="0029055C" w:rsidRDefault="001C6579" w:rsidP="001C6579">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565.834,83</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62C0B3F9" w14:textId="77777777" w:rsidR="001C6579" w:rsidRPr="0029055C" w:rsidRDefault="001C6579" w:rsidP="001C6579">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140.500,23</w:t>
            </w:r>
          </w:p>
        </w:tc>
        <w:tc>
          <w:tcPr>
            <w:tcW w:w="555" w:type="pct"/>
            <w:tcBorders>
              <w:top w:val="single" w:sz="12" w:space="0" w:color="92CDDC"/>
              <w:left w:val="nil"/>
              <w:bottom w:val="single" w:sz="12" w:space="0" w:color="92CDDC"/>
              <w:right w:val="single" w:sz="4" w:space="0" w:color="92CDDC"/>
            </w:tcBorders>
            <w:shd w:val="clear" w:color="auto" w:fill="auto"/>
            <w:noWrap/>
            <w:vAlign w:val="center"/>
            <w:hideMark/>
          </w:tcPr>
          <w:p w14:paraId="15C551D1" w14:textId="77777777" w:rsidR="001C6579" w:rsidRPr="0029055C" w:rsidRDefault="001C6579" w:rsidP="001C6579">
            <w:pPr>
              <w:spacing w:before="80" w:after="80" w:line="240" w:lineRule="auto"/>
              <w:jc w:val="right"/>
              <w:rPr>
                <w:rFonts w:asciiTheme="minorHAnsi" w:hAnsiTheme="minorHAnsi" w:cstheme="minorHAnsi"/>
                <w:b/>
                <w:bCs/>
                <w:color w:val="31869B"/>
                <w:szCs w:val="20"/>
              </w:rPr>
            </w:pPr>
            <w:r w:rsidRPr="0029055C">
              <w:rPr>
                <w:rFonts w:cs="Calibri"/>
                <w:b/>
                <w:bCs/>
                <w:color w:val="31869B"/>
                <w:szCs w:val="18"/>
              </w:rPr>
              <w:t>0,00</w:t>
            </w:r>
          </w:p>
        </w:tc>
      </w:tr>
    </w:tbl>
    <w:p w14:paraId="3A20E218" w14:textId="77777777" w:rsidR="00E662B2" w:rsidRPr="0029055C" w:rsidRDefault="00E662B2" w:rsidP="00E662B2">
      <w:pPr>
        <w:spacing w:before="60" w:line="240" w:lineRule="auto"/>
        <w:rPr>
          <w:i/>
          <w:color w:val="215868" w:themeColor="accent5" w:themeShade="80"/>
        </w:rPr>
      </w:pPr>
      <w:r w:rsidRPr="0029055C">
        <w:rPr>
          <w:i/>
          <w:color w:val="215868" w:themeColor="accent5" w:themeShade="80"/>
        </w:rPr>
        <w:t>Πηγή: ΟΠΣ 01.06.2018</w:t>
      </w:r>
    </w:p>
    <w:p w14:paraId="1A8E8A16" w14:textId="77777777" w:rsidR="00E662B2" w:rsidRPr="0029055C" w:rsidRDefault="00E662B2" w:rsidP="00E662B2">
      <w:pPr>
        <w:tabs>
          <w:tab w:val="left" w:pos="252"/>
        </w:tabs>
        <w:ind w:left="266" w:hanging="266"/>
        <w:rPr>
          <w:i/>
        </w:rPr>
      </w:pPr>
      <w:r w:rsidRPr="0029055C">
        <w:rPr>
          <w:i/>
        </w:rPr>
        <w:t xml:space="preserve">* </w:t>
      </w:r>
      <w:r w:rsidRPr="0029055C">
        <w:rPr>
          <w:i/>
        </w:rPr>
        <w:tab/>
        <w:t xml:space="preserve">Ο αριθμός των προσκλήσεων ανά Ειδικό Στόχο και Κατηγορία Δράσης δεν αντιστοιχεί σε μοναδικό αριθμό δεδομένου ότι μία πρόσκληση μπορεί να αφορά σε περισσότερες από μία Κατηγορίες Δράσης. Το σύνολο των προσκλήσεων για το Θεματικό Άξονα </w:t>
      </w:r>
      <w:r w:rsidR="001B3747" w:rsidRPr="0029055C">
        <w:rPr>
          <w:i/>
        </w:rPr>
        <w:t>V</w:t>
      </w:r>
      <w:r w:rsidRPr="0029055C">
        <w:rPr>
          <w:i/>
        </w:rPr>
        <w:t xml:space="preserve"> αντιστοιχεί σε μοναδικό αριθμό και δεν προκύπτει από τα επιμέρους αθροίσματα.</w:t>
      </w:r>
    </w:p>
    <w:p w14:paraId="69543FE3" w14:textId="77777777" w:rsidR="00E662B2" w:rsidRPr="0029055C" w:rsidRDefault="00E662B2" w:rsidP="00E662B2">
      <w:pPr>
        <w:tabs>
          <w:tab w:val="left" w:pos="252"/>
        </w:tabs>
        <w:ind w:left="266" w:hanging="266"/>
        <w:rPr>
          <w:i/>
        </w:rPr>
      </w:pPr>
      <w:r w:rsidRPr="0029055C">
        <w:rPr>
          <w:i/>
        </w:rPr>
        <w:t xml:space="preserve">** Ο αριθμός των ενταγμένων έργων ανά Ειδικό Στόχο και Κατηγορία Δράσης δεν αντιστοιχεί σε μοναδικό αριθμό, δεδομένου ότι ένα έργο μπορεί να εντάσσεται σε περισσότερες από μία Κατηγορίες Δράσης. Το σύνολο των ενταγμένων έργων για το Θεματικό Άξονα </w:t>
      </w:r>
      <w:r w:rsidR="001B3747" w:rsidRPr="0029055C">
        <w:rPr>
          <w:i/>
        </w:rPr>
        <w:t>V</w:t>
      </w:r>
      <w:r w:rsidRPr="0029055C">
        <w:rPr>
          <w:i/>
        </w:rPr>
        <w:t xml:space="preserve"> αντιστοιχεί σε μοναδικό αριθμό και δεν προκύπτει από τα επιμέρους αθροίσματα.</w:t>
      </w:r>
    </w:p>
    <w:p w14:paraId="6023D5C2" w14:textId="77777777" w:rsidR="00E662B2" w:rsidRPr="0029055C" w:rsidRDefault="00E662B2" w:rsidP="00E662B2"/>
    <w:p w14:paraId="59CC5BB3" w14:textId="77777777" w:rsidR="00E662B2" w:rsidRPr="0029055C" w:rsidRDefault="00E662B2" w:rsidP="00E662B2">
      <w:pPr>
        <w:sectPr w:rsidR="00E662B2" w:rsidRPr="0029055C" w:rsidSect="00037A41">
          <w:headerReference w:type="default" r:id="rId43"/>
          <w:footerReference w:type="default" r:id="rId44"/>
          <w:pgSz w:w="16838" w:h="11906" w:orient="landscape" w:code="9"/>
          <w:pgMar w:top="1814" w:right="1418" w:bottom="1134" w:left="1418" w:header="567" w:footer="284" w:gutter="0"/>
          <w:cols w:space="708"/>
          <w:docGrid w:linePitch="360"/>
        </w:sectPr>
      </w:pPr>
    </w:p>
    <w:p w14:paraId="0FE6D545" w14:textId="77777777" w:rsidR="00E662B2" w:rsidRPr="0029055C" w:rsidRDefault="00E662B2" w:rsidP="00E662B2">
      <w:pPr>
        <w:spacing w:line="300" w:lineRule="atLeast"/>
        <w:rPr>
          <w:sz w:val="22"/>
        </w:rPr>
      </w:pPr>
      <w:r w:rsidRPr="0029055C">
        <w:rPr>
          <w:sz w:val="22"/>
        </w:rPr>
        <w:lastRenderedPageBreak/>
        <w:t xml:space="preserve">Στο Θεματικό Άξονα </w:t>
      </w:r>
      <w:r w:rsidR="001B3747" w:rsidRPr="0029055C">
        <w:rPr>
          <w:sz w:val="22"/>
        </w:rPr>
        <w:t>V</w:t>
      </w:r>
      <w:r w:rsidRPr="0029055C">
        <w:rPr>
          <w:sz w:val="22"/>
        </w:rPr>
        <w:t xml:space="preserve"> του ΕΠ ΜΔΤ (Άξονες Προτεραιότητας 1</w:t>
      </w:r>
      <w:r w:rsidR="00C33BF8" w:rsidRPr="0029055C">
        <w:rPr>
          <w:sz w:val="22"/>
        </w:rPr>
        <w:t>3</w:t>
      </w:r>
      <w:r w:rsidRPr="0029055C">
        <w:rPr>
          <w:sz w:val="22"/>
        </w:rPr>
        <w:t>,1</w:t>
      </w:r>
      <w:r w:rsidR="00C33BF8" w:rsidRPr="0029055C">
        <w:rPr>
          <w:sz w:val="22"/>
        </w:rPr>
        <w:t>4</w:t>
      </w:r>
      <w:r w:rsidRPr="0029055C">
        <w:rPr>
          <w:sz w:val="22"/>
        </w:rPr>
        <w:t>,1</w:t>
      </w:r>
      <w:r w:rsidR="00C33BF8" w:rsidRPr="0029055C">
        <w:rPr>
          <w:sz w:val="22"/>
        </w:rPr>
        <w:t>5</w:t>
      </w:r>
      <w:r w:rsidRPr="0029055C">
        <w:rPr>
          <w:sz w:val="22"/>
        </w:rPr>
        <w:t xml:space="preserve">) έχουν </w:t>
      </w:r>
      <w:r w:rsidRPr="0029055C">
        <w:rPr>
          <w:b/>
          <w:sz w:val="22"/>
        </w:rPr>
        <w:t>ενταχθεί</w:t>
      </w:r>
      <w:r w:rsidRPr="0029055C">
        <w:rPr>
          <w:sz w:val="22"/>
        </w:rPr>
        <w:t xml:space="preserve"> </w:t>
      </w:r>
      <w:r w:rsidR="00C33BF8" w:rsidRPr="0029055C">
        <w:rPr>
          <w:b/>
          <w:sz w:val="22"/>
        </w:rPr>
        <w:t>11</w:t>
      </w:r>
      <w:r w:rsidRPr="0029055C">
        <w:rPr>
          <w:b/>
          <w:sz w:val="22"/>
        </w:rPr>
        <w:t xml:space="preserve"> έργα</w:t>
      </w:r>
      <w:r w:rsidRPr="0029055C">
        <w:rPr>
          <w:sz w:val="22"/>
        </w:rPr>
        <w:t xml:space="preserve"> συνολικού προϋπολογισμού </w:t>
      </w:r>
      <w:r w:rsidR="00C33BF8" w:rsidRPr="0029055C">
        <w:rPr>
          <w:sz w:val="22"/>
        </w:rPr>
        <w:t>0</w:t>
      </w:r>
      <w:r w:rsidRPr="0029055C">
        <w:rPr>
          <w:sz w:val="22"/>
        </w:rPr>
        <w:t>,57 εκ. € (</w:t>
      </w:r>
      <w:r w:rsidR="00C33BF8" w:rsidRPr="0029055C">
        <w:rPr>
          <w:b/>
          <w:sz w:val="22"/>
        </w:rPr>
        <w:t>13</w:t>
      </w:r>
      <w:r w:rsidRPr="0029055C">
        <w:rPr>
          <w:b/>
          <w:sz w:val="22"/>
        </w:rPr>
        <w:t>,</w:t>
      </w:r>
      <w:r w:rsidR="00C33BF8" w:rsidRPr="0029055C">
        <w:rPr>
          <w:b/>
          <w:sz w:val="22"/>
        </w:rPr>
        <w:t>52</w:t>
      </w:r>
      <w:r w:rsidRPr="0029055C">
        <w:rPr>
          <w:b/>
          <w:sz w:val="22"/>
        </w:rPr>
        <w:t>%</w:t>
      </w:r>
      <w:r w:rsidRPr="0029055C">
        <w:rPr>
          <w:sz w:val="22"/>
        </w:rPr>
        <w:t xml:space="preserve"> του διαθέσιμου π/υ του Θεματικού Άξονα). Έχουν αναληφθεί </w:t>
      </w:r>
      <w:r w:rsidRPr="0029055C">
        <w:rPr>
          <w:b/>
          <w:sz w:val="22"/>
        </w:rPr>
        <w:t>νομικές δεσμεύσεις</w:t>
      </w:r>
      <w:r w:rsidRPr="0029055C">
        <w:rPr>
          <w:sz w:val="22"/>
        </w:rPr>
        <w:t xml:space="preserve"> ύψους </w:t>
      </w:r>
      <w:r w:rsidR="00C33BF8" w:rsidRPr="0029055C">
        <w:rPr>
          <w:sz w:val="22"/>
        </w:rPr>
        <w:t xml:space="preserve">0,14 εκ. €, ήτοι το </w:t>
      </w:r>
      <w:r w:rsidRPr="0029055C">
        <w:rPr>
          <w:sz w:val="22"/>
        </w:rPr>
        <w:t>3</w:t>
      </w:r>
      <w:r w:rsidR="00C33BF8" w:rsidRPr="0029055C">
        <w:rPr>
          <w:sz w:val="22"/>
        </w:rPr>
        <w:t>,36</w:t>
      </w:r>
      <w:r w:rsidRPr="0029055C">
        <w:rPr>
          <w:sz w:val="22"/>
        </w:rPr>
        <w:t>% του</w:t>
      </w:r>
      <w:r w:rsidR="00C33BF8" w:rsidRPr="0029055C">
        <w:rPr>
          <w:sz w:val="22"/>
        </w:rPr>
        <w:t xml:space="preserve"> διαθέσιμου π/υ του ΘΑ και το 2</w:t>
      </w:r>
      <w:r w:rsidRPr="0029055C">
        <w:rPr>
          <w:sz w:val="22"/>
        </w:rPr>
        <w:t>4,</w:t>
      </w:r>
      <w:r w:rsidR="00C33BF8" w:rsidRPr="0029055C">
        <w:rPr>
          <w:sz w:val="22"/>
        </w:rPr>
        <w:t>83</w:t>
      </w:r>
      <w:r w:rsidRPr="0029055C">
        <w:rPr>
          <w:sz w:val="22"/>
        </w:rPr>
        <w:t>% του προϋπολογισμού των ενταγμένων έργων</w:t>
      </w:r>
      <w:r w:rsidR="00C33BF8" w:rsidRPr="0029055C">
        <w:rPr>
          <w:sz w:val="22"/>
        </w:rPr>
        <w:t xml:space="preserve">, ενώ </w:t>
      </w:r>
      <w:r w:rsidR="00C33BF8" w:rsidRPr="0029055C">
        <w:rPr>
          <w:b/>
          <w:sz w:val="22"/>
        </w:rPr>
        <w:t>δεν έχουν</w:t>
      </w:r>
      <w:r w:rsidR="00C33BF8" w:rsidRPr="0029055C">
        <w:rPr>
          <w:sz w:val="22"/>
        </w:rPr>
        <w:t xml:space="preserve"> </w:t>
      </w:r>
      <w:r w:rsidRPr="0029055C">
        <w:rPr>
          <w:b/>
          <w:sz w:val="22"/>
        </w:rPr>
        <w:t>πιστοποιη</w:t>
      </w:r>
      <w:r w:rsidR="00C33BF8" w:rsidRPr="0029055C">
        <w:rPr>
          <w:b/>
          <w:sz w:val="22"/>
        </w:rPr>
        <w:t xml:space="preserve">θεί σχετικές </w:t>
      </w:r>
      <w:r w:rsidRPr="0029055C">
        <w:rPr>
          <w:b/>
          <w:sz w:val="22"/>
        </w:rPr>
        <w:t>δαπάνες</w:t>
      </w:r>
      <w:r w:rsidR="00C33BF8" w:rsidRPr="0029055C">
        <w:rPr>
          <w:sz w:val="22"/>
        </w:rPr>
        <w:t>.</w:t>
      </w:r>
    </w:p>
    <w:p w14:paraId="2590797B" w14:textId="77777777" w:rsidR="00E662B2" w:rsidRPr="0029055C" w:rsidRDefault="00E662B2" w:rsidP="00E662B2">
      <w:pPr>
        <w:spacing w:line="300" w:lineRule="atLeast"/>
        <w:rPr>
          <w:sz w:val="22"/>
        </w:rPr>
      </w:pPr>
      <w:r w:rsidRPr="0029055C">
        <w:rPr>
          <w:sz w:val="22"/>
        </w:rPr>
        <w:t xml:space="preserve">Η πρόοδος του φυσικού αντικειμένου του Θεματικού Άξονα </w:t>
      </w:r>
      <w:r w:rsidR="00AC462E" w:rsidRPr="0029055C">
        <w:rPr>
          <w:sz w:val="22"/>
        </w:rPr>
        <w:t>V</w:t>
      </w:r>
      <w:r w:rsidRPr="0029055C">
        <w:rPr>
          <w:sz w:val="22"/>
        </w:rPr>
        <w:t xml:space="preserve">, όπως αυτή αποτυπώνεται μέσω της προόδου των δεικτών εκροής του, παρατίθεται στον Πίνακα που ακολουθεί. </w:t>
      </w:r>
    </w:p>
    <w:p w14:paraId="32912D1D" w14:textId="77777777" w:rsidR="00E662B2" w:rsidRPr="0029055C" w:rsidRDefault="00E662B2" w:rsidP="00E662B2">
      <w:pPr>
        <w:pStyle w:val="Caption"/>
        <w:spacing w:before="240" w:after="120" w:line="280" w:lineRule="atLeast"/>
        <w:rPr>
          <w:b w:val="0"/>
          <w:sz w:val="22"/>
          <w:szCs w:val="22"/>
        </w:rPr>
      </w:pPr>
      <w:r w:rsidRPr="0029055C">
        <w:rPr>
          <w:sz w:val="22"/>
          <w:szCs w:val="22"/>
        </w:rPr>
        <w:t xml:space="preserve">Πίνακας </w:t>
      </w:r>
      <w:r w:rsidRPr="0029055C">
        <w:rPr>
          <w:sz w:val="22"/>
          <w:szCs w:val="22"/>
        </w:rPr>
        <w:fldChar w:fldCharType="begin"/>
      </w:r>
      <w:r w:rsidRPr="0029055C">
        <w:rPr>
          <w:sz w:val="22"/>
          <w:szCs w:val="22"/>
        </w:rPr>
        <w:instrText xml:space="preserve"> SEQ Πίνακας \* ARABIC </w:instrText>
      </w:r>
      <w:r w:rsidRPr="0029055C">
        <w:rPr>
          <w:sz w:val="22"/>
          <w:szCs w:val="22"/>
        </w:rPr>
        <w:fldChar w:fldCharType="separate"/>
      </w:r>
      <w:r w:rsidR="00292BCA">
        <w:rPr>
          <w:noProof/>
          <w:sz w:val="22"/>
          <w:szCs w:val="22"/>
        </w:rPr>
        <w:t>26</w:t>
      </w:r>
      <w:r w:rsidRPr="0029055C">
        <w:rPr>
          <w:sz w:val="22"/>
          <w:szCs w:val="22"/>
        </w:rPr>
        <w:fldChar w:fldCharType="end"/>
      </w:r>
      <w:r w:rsidRPr="0029055C">
        <w:rPr>
          <w:b w:val="0"/>
          <w:sz w:val="22"/>
          <w:szCs w:val="22"/>
        </w:rPr>
        <w:t xml:space="preserve">. Πρόοδος φυσικού αντικειμένου του Θεματικού Άξονα </w:t>
      </w:r>
      <w:r w:rsidR="00AC462E" w:rsidRPr="0029055C">
        <w:rPr>
          <w:b w:val="0"/>
          <w:sz w:val="22"/>
          <w:szCs w:val="22"/>
        </w:rPr>
        <w:t>V</w:t>
      </w:r>
      <w:r w:rsidRPr="0029055C">
        <w:rPr>
          <w:b w:val="0"/>
          <w:sz w:val="22"/>
          <w:szCs w:val="22"/>
        </w:rPr>
        <w:t xml:space="preserve"> – Δείκτες Εκροής</w:t>
      </w:r>
    </w:p>
    <w:tbl>
      <w:tblPr>
        <w:tblStyle w:val="GridTable6Colorful-Accent5"/>
        <w:tblW w:w="5000" w:type="pct"/>
        <w:tblLayout w:type="fixed"/>
        <w:tblCellMar>
          <w:left w:w="28" w:type="dxa"/>
          <w:right w:w="28" w:type="dxa"/>
        </w:tblCellMar>
        <w:tblLook w:val="06A0" w:firstRow="1" w:lastRow="0" w:firstColumn="1" w:lastColumn="0" w:noHBand="1" w:noVBand="1"/>
      </w:tblPr>
      <w:tblGrid>
        <w:gridCol w:w="5240"/>
        <w:gridCol w:w="1274"/>
        <w:gridCol w:w="1274"/>
        <w:gridCol w:w="1272"/>
      </w:tblGrid>
      <w:tr w:rsidR="00E662B2" w:rsidRPr="0029055C" w14:paraId="3E9BF57F" w14:textId="77777777" w:rsidTr="00136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pct"/>
            <w:noWrap/>
            <w:vAlign w:val="center"/>
            <w:hideMark/>
          </w:tcPr>
          <w:p w14:paraId="067C8BAD" w14:textId="77777777" w:rsidR="00E662B2" w:rsidRPr="0029055C" w:rsidRDefault="00E662B2" w:rsidP="001C6579">
            <w:pPr>
              <w:spacing w:before="40" w:after="40" w:line="240" w:lineRule="auto"/>
              <w:jc w:val="center"/>
              <w:rPr>
                <w:rFonts w:asciiTheme="minorHAnsi" w:hAnsiTheme="minorHAnsi" w:cstheme="minorHAnsi"/>
                <w:sz w:val="18"/>
                <w:szCs w:val="20"/>
              </w:rPr>
            </w:pPr>
            <w:r w:rsidRPr="0029055C">
              <w:rPr>
                <w:rFonts w:asciiTheme="minorHAnsi" w:hAnsiTheme="minorHAnsi" w:cstheme="minorHAnsi"/>
                <w:sz w:val="18"/>
                <w:szCs w:val="20"/>
              </w:rPr>
              <w:t>Δείκτης</w:t>
            </w:r>
          </w:p>
        </w:tc>
        <w:tc>
          <w:tcPr>
            <w:tcW w:w="703" w:type="pct"/>
            <w:noWrap/>
            <w:vAlign w:val="center"/>
            <w:hideMark/>
          </w:tcPr>
          <w:p w14:paraId="73073307" w14:textId="77777777" w:rsidR="00E662B2" w:rsidRPr="0029055C" w:rsidRDefault="00E662B2" w:rsidP="001C6579">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2023</w:t>
            </w:r>
          </w:p>
        </w:tc>
        <w:tc>
          <w:tcPr>
            <w:tcW w:w="703" w:type="pct"/>
            <w:noWrap/>
            <w:vAlign w:val="center"/>
            <w:hideMark/>
          </w:tcPr>
          <w:p w14:paraId="763D82CF" w14:textId="77777777" w:rsidR="00E662B2" w:rsidRPr="0029055C" w:rsidRDefault="00E662B2" w:rsidP="001C6579">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Στόχος Ενταγμένων Πράξεων</w:t>
            </w:r>
          </w:p>
        </w:tc>
        <w:tc>
          <w:tcPr>
            <w:tcW w:w="702" w:type="pct"/>
            <w:vAlign w:val="center"/>
          </w:tcPr>
          <w:p w14:paraId="30D0355D" w14:textId="77777777" w:rsidR="00E662B2" w:rsidRPr="0029055C" w:rsidRDefault="00E662B2" w:rsidP="001C6579">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Επίτευξη 31.12.17</w:t>
            </w:r>
          </w:p>
        </w:tc>
      </w:tr>
      <w:tr w:rsidR="00E662B2" w:rsidRPr="0029055C" w14:paraId="05E17EB0" w14:textId="77777777" w:rsidTr="00136BEA">
        <w:tc>
          <w:tcPr>
            <w:cnfStyle w:val="001000000000" w:firstRow="0" w:lastRow="0" w:firstColumn="1" w:lastColumn="0" w:oddVBand="0" w:evenVBand="0" w:oddHBand="0" w:evenHBand="0" w:firstRowFirstColumn="0" w:firstRowLastColumn="0" w:lastRowFirstColumn="0" w:lastRowLastColumn="0"/>
            <w:tcW w:w="2892" w:type="pct"/>
            <w:noWrap/>
          </w:tcPr>
          <w:p w14:paraId="0025D245" w14:textId="77777777" w:rsidR="00E662B2" w:rsidRPr="0029055C" w:rsidRDefault="00E662B2" w:rsidP="00C33BF8">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T464</w:t>
            </w:r>
            <w:r w:rsidR="00C33BF8" w:rsidRPr="0029055C">
              <w:rPr>
                <w:rFonts w:asciiTheme="minorHAnsi" w:hAnsiTheme="minorHAnsi" w:cstheme="minorHAnsi"/>
                <w:sz w:val="18"/>
                <w:szCs w:val="20"/>
              </w:rPr>
              <w:t>6</w:t>
            </w:r>
            <w:r w:rsidRPr="0029055C">
              <w:rPr>
                <w:rFonts w:asciiTheme="minorHAnsi" w:hAnsiTheme="minorHAnsi" w:cstheme="minorHAnsi"/>
                <w:sz w:val="18"/>
                <w:szCs w:val="20"/>
              </w:rPr>
              <w:t xml:space="preserve">. </w:t>
            </w:r>
            <w:r w:rsidRPr="0029055C">
              <w:rPr>
                <w:rFonts w:asciiTheme="minorHAnsi" w:hAnsiTheme="minorHAnsi" w:cstheme="minorHAnsi"/>
                <w:b w:val="0"/>
                <w:sz w:val="18"/>
                <w:szCs w:val="20"/>
              </w:rPr>
              <w:t>Αριθμός έργων για την βελτίωση των συστημάτων και των διαδικασιών διοίκησης και εφαρμογής του ΕΠ</w:t>
            </w:r>
          </w:p>
        </w:tc>
        <w:tc>
          <w:tcPr>
            <w:tcW w:w="703" w:type="pct"/>
            <w:noWrap/>
            <w:vAlign w:val="center"/>
          </w:tcPr>
          <w:p w14:paraId="46005F55" w14:textId="77777777" w:rsidR="00E662B2" w:rsidRPr="0029055C" w:rsidRDefault="00C33BF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8</w:t>
            </w:r>
          </w:p>
        </w:tc>
        <w:tc>
          <w:tcPr>
            <w:tcW w:w="703" w:type="pct"/>
            <w:noWrap/>
            <w:vAlign w:val="center"/>
          </w:tcPr>
          <w:p w14:paraId="1756178D" w14:textId="77777777" w:rsidR="00E662B2" w:rsidRPr="0029055C" w:rsidRDefault="00C33BF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12</w:t>
            </w:r>
          </w:p>
        </w:tc>
        <w:tc>
          <w:tcPr>
            <w:tcW w:w="702" w:type="pct"/>
            <w:vAlign w:val="center"/>
          </w:tcPr>
          <w:p w14:paraId="5CD22BA7" w14:textId="77777777" w:rsidR="00E662B2" w:rsidRPr="0029055C" w:rsidRDefault="00C33BF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r>
      <w:tr w:rsidR="00E662B2" w:rsidRPr="0029055C" w14:paraId="78B99862" w14:textId="77777777" w:rsidTr="00136BEA">
        <w:tc>
          <w:tcPr>
            <w:cnfStyle w:val="001000000000" w:firstRow="0" w:lastRow="0" w:firstColumn="1" w:lastColumn="0" w:oddVBand="0" w:evenVBand="0" w:oddHBand="0" w:evenHBand="0" w:firstRowFirstColumn="0" w:firstRowLastColumn="0" w:lastRowFirstColumn="0" w:lastRowLastColumn="0"/>
            <w:tcW w:w="2892" w:type="pct"/>
            <w:noWrap/>
          </w:tcPr>
          <w:p w14:paraId="36C5D152" w14:textId="77777777" w:rsidR="00E662B2" w:rsidRPr="0029055C" w:rsidRDefault="00E662B2" w:rsidP="00C33BF8">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T464</w:t>
            </w:r>
            <w:r w:rsidR="00C33BF8" w:rsidRPr="0029055C">
              <w:rPr>
                <w:rFonts w:asciiTheme="minorHAnsi" w:hAnsiTheme="minorHAnsi" w:cstheme="minorHAnsi"/>
                <w:sz w:val="18"/>
                <w:szCs w:val="20"/>
              </w:rPr>
              <w:t>7</w:t>
            </w:r>
            <w:r w:rsidRPr="0029055C">
              <w:rPr>
                <w:rFonts w:asciiTheme="minorHAnsi" w:hAnsiTheme="minorHAnsi" w:cstheme="minorHAnsi"/>
                <w:sz w:val="18"/>
                <w:szCs w:val="20"/>
              </w:rPr>
              <w:t xml:space="preserve">. </w:t>
            </w:r>
            <w:r w:rsidRPr="0029055C">
              <w:rPr>
                <w:rFonts w:asciiTheme="minorHAnsi" w:hAnsiTheme="minorHAnsi" w:cstheme="minorHAnsi"/>
                <w:b w:val="0"/>
                <w:sz w:val="18"/>
                <w:szCs w:val="20"/>
              </w:rPr>
              <w:t>Αριθμός ελέγχων και επιθεωρήσεων σε πράξεις του ΕΠ</w:t>
            </w:r>
          </w:p>
        </w:tc>
        <w:tc>
          <w:tcPr>
            <w:tcW w:w="703" w:type="pct"/>
            <w:noWrap/>
            <w:vAlign w:val="center"/>
          </w:tcPr>
          <w:p w14:paraId="5DFC1725" w14:textId="77777777" w:rsidR="00E662B2" w:rsidRPr="0029055C" w:rsidRDefault="00C33BF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4</w:t>
            </w:r>
            <w:r w:rsidR="00E662B2" w:rsidRPr="0029055C">
              <w:rPr>
                <w:rFonts w:asciiTheme="minorHAnsi" w:hAnsiTheme="minorHAnsi" w:cstheme="minorHAnsi"/>
                <w:b/>
                <w:sz w:val="18"/>
                <w:szCs w:val="20"/>
              </w:rPr>
              <w:t>0</w:t>
            </w:r>
          </w:p>
        </w:tc>
        <w:tc>
          <w:tcPr>
            <w:tcW w:w="703" w:type="pct"/>
            <w:noWrap/>
            <w:vAlign w:val="center"/>
          </w:tcPr>
          <w:p w14:paraId="2B10D6E9" w14:textId="77777777" w:rsidR="00E662B2" w:rsidRPr="0029055C" w:rsidRDefault="00C33BF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702" w:type="pct"/>
            <w:vAlign w:val="center"/>
          </w:tcPr>
          <w:p w14:paraId="401174C6" w14:textId="77777777" w:rsidR="00E662B2" w:rsidRPr="0029055C" w:rsidRDefault="00C33BF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r>
      <w:tr w:rsidR="00E662B2" w:rsidRPr="0029055C" w14:paraId="502F42CB" w14:textId="77777777" w:rsidTr="00136BEA">
        <w:tc>
          <w:tcPr>
            <w:cnfStyle w:val="001000000000" w:firstRow="0" w:lastRow="0" w:firstColumn="1" w:lastColumn="0" w:oddVBand="0" w:evenVBand="0" w:oddHBand="0" w:evenHBand="0" w:firstRowFirstColumn="0" w:firstRowLastColumn="0" w:lastRowFirstColumn="0" w:lastRowLastColumn="0"/>
            <w:tcW w:w="2892" w:type="pct"/>
            <w:noWrap/>
          </w:tcPr>
          <w:p w14:paraId="0317DA3F" w14:textId="77777777" w:rsidR="00E662B2" w:rsidRPr="0029055C" w:rsidRDefault="00E662B2" w:rsidP="00C33BF8">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T464</w:t>
            </w:r>
            <w:r w:rsidR="00C33BF8" w:rsidRPr="0029055C">
              <w:rPr>
                <w:rFonts w:asciiTheme="minorHAnsi" w:hAnsiTheme="minorHAnsi" w:cstheme="minorHAnsi"/>
                <w:sz w:val="18"/>
                <w:szCs w:val="20"/>
              </w:rPr>
              <w:t>8</w:t>
            </w:r>
            <w:r w:rsidRPr="0029055C">
              <w:rPr>
                <w:rFonts w:asciiTheme="minorHAnsi" w:hAnsiTheme="minorHAnsi" w:cstheme="minorHAnsi"/>
                <w:sz w:val="18"/>
                <w:szCs w:val="20"/>
              </w:rPr>
              <w:t xml:space="preserve">. </w:t>
            </w:r>
            <w:r w:rsidRPr="0029055C">
              <w:rPr>
                <w:rFonts w:asciiTheme="minorHAnsi" w:hAnsiTheme="minorHAnsi" w:cstheme="minorHAnsi"/>
                <w:b w:val="0"/>
                <w:sz w:val="18"/>
                <w:szCs w:val="20"/>
              </w:rPr>
              <w:t>Αριθμός Επικοινωνιακών Σχεδίων Δράσης</w:t>
            </w:r>
          </w:p>
        </w:tc>
        <w:tc>
          <w:tcPr>
            <w:tcW w:w="703" w:type="pct"/>
            <w:noWrap/>
            <w:vAlign w:val="center"/>
          </w:tcPr>
          <w:p w14:paraId="451C5311" w14:textId="77777777" w:rsidR="00E662B2" w:rsidRPr="0029055C" w:rsidRDefault="00E662B2"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w:t>
            </w:r>
          </w:p>
        </w:tc>
        <w:tc>
          <w:tcPr>
            <w:tcW w:w="703" w:type="pct"/>
            <w:noWrap/>
            <w:vAlign w:val="center"/>
          </w:tcPr>
          <w:p w14:paraId="6AAB8526" w14:textId="77777777" w:rsidR="00E662B2" w:rsidRPr="0029055C" w:rsidRDefault="00C33BF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c>
          <w:tcPr>
            <w:tcW w:w="702" w:type="pct"/>
            <w:vAlign w:val="center"/>
          </w:tcPr>
          <w:p w14:paraId="511FE8B5" w14:textId="77777777" w:rsidR="00E662B2" w:rsidRPr="0029055C" w:rsidRDefault="00C33BF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r>
      <w:tr w:rsidR="00E662B2" w:rsidRPr="0029055C" w14:paraId="00FB7D3B" w14:textId="77777777" w:rsidTr="00136BEA">
        <w:tc>
          <w:tcPr>
            <w:cnfStyle w:val="001000000000" w:firstRow="0" w:lastRow="0" w:firstColumn="1" w:lastColumn="0" w:oddVBand="0" w:evenVBand="0" w:oddHBand="0" w:evenHBand="0" w:firstRowFirstColumn="0" w:firstRowLastColumn="0" w:lastRowFirstColumn="0" w:lastRowLastColumn="0"/>
            <w:tcW w:w="2892" w:type="pct"/>
            <w:noWrap/>
          </w:tcPr>
          <w:p w14:paraId="402233D2" w14:textId="77777777" w:rsidR="00E662B2" w:rsidRPr="0029055C" w:rsidRDefault="00E662B2" w:rsidP="00C33BF8">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T464</w:t>
            </w:r>
            <w:r w:rsidR="00C33BF8" w:rsidRPr="0029055C">
              <w:rPr>
                <w:rFonts w:asciiTheme="minorHAnsi" w:hAnsiTheme="minorHAnsi" w:cstheme="minorHAnsi"/>
                <w:sz w:val="18"/>
                <w:szCs w:val="20"/>
              </w:rPr>
              <w:t>9</w:t>
            </w:r>
            <w:r w:rsidRPr="0029055C">
              <w:rPr>
                <w:rFonts w:asciiTheme="minorHAnsi" w:hAnsiTheme="minorHAnsi" w:cstheme="minorHAnsi"/>
                <w:sz w:val="18"/>
                <w:szCs w:val="20"/>
              </w:rPr>
              <w:t xml:space="preserve">. </w:t>
            </w:r>
            <w:r w:rsidRPr="0029055C">
              <w:rPr>
                <w:rFonts w:asciiTheme="minorHAnsi" w:hAnsiTheme="minorHAnsi" w:cstheme="minorHAnsi"/>
                <w:b w:val="0"/>
                <w:sz w:val="18"/>
                <w:szCs w:val="20"/>
              </w:rPr>
              <w:t>Δράσεις ενημέρωσης των δυνητικών δικαιούχων σχετικά με τους στόχους και τις δυνατότητες χρηματοδότησης από το ΕΠ</w:t>
            </w:r>
          </w:p>
        </w:tc>
        <w:tc>
          <w:tcPr>
            <w:tcW w:w="703" w:type="pct"/>
            <w:noWrap/>
            <w:vAlign w:val="center"/>
          </w:tcPr>
          <w:p w14:paraId="7B2AE377" w14:textId="77777777" w:rsidR="00E662B2" w:rsidRPr="0029055C" w:rsidRDefault="00C33BF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5</w:t>
            </w:r>
          </w:p>
        </w:tc>
        <w:tc>
          <w:tcPr>
            <w:tcW w:w="703" w:type="pct"/>
            <w:noWrap/>
            <w:vAlign w:val="center"/>
          </w:tcPr>
          <w:p w14:paraId="376546D0" w14:textId="77777777" w:rsidR="00E662B2" w:rsidRPr="0029055C" w:rsidRDefault="00C33BF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w:t>
            </w:r>
          </w:p>
        </w:tc>
        <w:tc>
          <w:tcPr>
            <w:tcW w:w="702" w:type="pct"/>
            <w:vAlign w:val="center"/>
          </w:tcPr>
          <w:p w14:paraId="435A79B2" w14:textId="77777777" w:rsidR="00E662B2" w:rsidRPr="0029055C" w:rsidRDefault="00C33BF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r>
      <w:tr w:rsidR="00E662B2" w:rsidRPr="0029055C" w14:paraId="10D353A1" w14:textId="77777777" w:rsidTr="00136BEA">
        <w:tc>
          <w:tcPr>
            <w:cnfStyle w:val="001000000000" w:firstRow="0" w:lastRow="0" w:firstColumn="1" w:lastColumn="0" w:oddVBand="0" w:evenVBand="0" w:oddHBand="0" w:evenHBand="0" w:firstRowFirstColumn="0" w:firstRowLastColumn="0" w:lastRowFirstColumn="0" w:lastRowLastColumn="0"/>
            <w:tcW w:w="2892" w:type="pct"/>
            <w:noWrap/>
          </w:tcPr>
          <w:p w14:paraId="4AFFF28F" w14:textId="77777777" w:rsidR="00E662B2" w:rsidRPr="0029055C" w:rsidRDefault="00E662B2" w:rsidP="00C33BF8">
            <w:pPr>
              <w:spacing w:before="40" w:after="40" w:line="240" w:lineRule="auto"/>
              <w:jc w:val="left"/>
              <w:rPr>
                <w:rFonts w:asciiTheme="minorHAnsi" w:hAnsiTheme="minorHAnsi" w:cstheme="minorHAnsi"/>
                <w:sz w:val="18"/>
                <w:szCs w:val="20"/>
              </w:rPr>
            </w:pPr>
            <w:r w:rsidRPr="0029055C">
              <w:rPr>
                <w:rFonts w:asciiTheme="minorHAnsi" w:hAnsiTheme="minorHAnsi" w:cstheme="minorHAnsi"/>
                <w:sz w:val="18"/>
                <w:szCs w:val="20"/>
              </w:rPr>
              <w:t>T46</w:t>
            </w:r>
            <w:r w:rsidR="00C33BF8" w:rsidRPr="0029055C">
              <w:rPr>
                <w:rFonts w:asciiTheme="minorHAnsi" w:hAnsiTheme="minorHAnsi" w:cstheme="minorHAnsi"/>
                <w:sz w:val="18"/>
                <w:szCs w:val="20"/>
              </w:rPr>
              <w:t>50</w:t>
            </w:r>
            <w:r w:rsidRPr="0029055C">
              <w:rPr>
                <w:rFonts w:asciiTheme="minorHAnsi" w:hAnsiTheme="minorHAnsi" w:cstheme="minorHAnsi"/>
                <w:sz w:val="18"/>
                <w:szCs w:val="20"/>
              </w:rPr>
              <w:t xml:space="preserve">. </w:t>
            </w:r>
            <w:r w:rsidRPr="0029055C">
              <w:rPr>
                <w:rFonts w:asciiTheme="minorHAnsi" w:hAnsiTheme="minorHAnsi" w:cstheme="minorHAnsi"/>
                <w:b w:val="0"/>
                <w:sz w:val="18"/>
                <w:szCs w:val="20"/>
              </w:rPr>
              <w:t>Αριθμός μελετών,  εμπειρογνωμοσυνών, ερευνών, αξιολογήσεων, έργων τεχνικής υποστήριξης</w:t>
            </w:r>
          </w:p>
        </w:tc>
        <w:tc>
          <w:tcPr>
            <w:tcW w:w="703" w:type="pct"/>
            <w:noWrap/>
            <w:vAlign w:val="center"/>
          </w:tcPr>
          <w:p w14:paraId="580945A5" w14:textId="77777777" w:rsidR="00E662B2" w:rsidRPr="0029055C" w:rsidRDefault="00E662B2" w:rsidP="00C33BF8">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20"/>
              </w:rPr>
            </w:pPr>
            <w:r w:rsidRPr="0029055C">
              <w:rPr>
                <w:rFonts w:asciiTheme="minorHAnsi" w:hAnsiTheme="minorHAnsi" w:cstheme="minorHAnsi"/>
                <w:b/>
                <w:sz w:val="18"/>
                <w:szCs w:val="20"/>
              </w:rPr>
              <w:t>1</w:t>
            </w:r>
            <w:r w:rsidR="00C33BF8" w:rsidRPr="0029055C">
              <w:rPr>
                <w:rFonts w:asciiTheme="minorHAnsi" w:hAnsiTheme="minorHAnsi" w:cstheme="minorHAnsi"/>
                <w:b/>
                <w:sz w:val="18"/>
                <w:szCs w:val="20"/>
              </w:rPr>
              <w:t>0</w:t>
            </w:r>
          </w:p>
        </w:tc>
        <w:tc>
          <w:tcPr>
            <w:tcW w:w="703" w:type="pct"/>
            <w:noWrap/>
            <w:vAlign w:val="center"/>
          </w:tcPr>
          <w:p w14:paraId="76C1AD3F" w14:textId="77777777" w:rsidR="00E662B2" w:rsidRPr="0029055C" w:rsidRDefault="00C33BF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2</w:t>
            </w:r>
          </w:p>
        </w:tc>
        <w:tc>
          <w:tcPr>
            <w:tcW w:w="702" w:type="pct"/>
            <w:vAlign w:val="center"/>
          </w:tcPr>
          <w:p w14:paraId="7F202FB6" w14:textId="77777777" w:rsidR="00E662B2" w:rsidRPr="0029055C" w:rsidRDefault="00C33BF8" w:rsidP="001C6579">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29055C">
              <w:rPr>
                <w:rFonts w:asciiTheme="minorHAnsi" w:hAnsiTheme="minorHAnsi" w:cstheme="minorHAnsi"/>
                <w:sz w:val="18"/>
                <w:szCs w:val="20"/>
              </w:rPr>
              <w:t>0</w:t>
            </w:r>
          </w:p>
        </w:tc>
      </w:tr>
    </w:tbl>
    <w:p w14:paraId="163BFA5E" w14:textId="77777777" w:rsidR="00E662B2" w:rsidRPr="0029055C" w:rsidRDefault="00E662B2" w:rsidP="00E662B2">
      <w:pPr>
        <w:rPr>
          <w:rFonts w:cstheme="minorHAnsi"/>
          <w:sz w:val="22"/>
          <w:szCs w:val="22"/>
        </w:rPr>
      </w:pPr>
      <w:r w:rsidRPr="0029055C">
        <w:rPr>
          <w:rFonts w:cstheme="minorHAnsi"/>
          <w:sz w:val="22"/>
          <w:szCs w:val="22"/>
        </w:rPr>
        <w:t>Με βάση τα στοιχεία του ανωτέρω Πίνακα, η υλοποίηση του φυσικού αντικειμένου ανά δείκτη έχει ως εξής:</w:t>
      </w:r>
    </w:p>
    <w:p w14:paraId="1600A871" w14:textId="77777777" w:rsidR="00E662B2" w:rsidRPr="0029055C" w:rsidRDefault="00E662B2" w:rsidP="00E662B2">
      <w:pPr>
        <w:pStyle w:val="ListParagraph"/>
        <w:numPr>
          <w:ilvl w:val="0"/>
          <w:numId w:val="17"/>
        </w:numPr>
        <w:spacing w:line="280" w:lineRule="atLeast"/>
        <w:ind w:left="714" w:hanging="357"/>
        <w:contextualSpacing w:val="0"/>
        <w:rPr>
          <w:rFonts w:cstheme="minorHAnsi"/>
          <w:sz w:val="22"/>
          <w:szCs w:val="22"/>
        </w:rPr>
      </w:pPr>
      <w:r w:rsidRPr="0029055C">
        <w:rPr>
          <w:rFonts w:cstheme="minorHAnsi"/>
          <w:b/>
          <w:color w:val="31849B" w:themeColor="accent5" w:themeShade="BF"/>
          <w:sz w:val="22"/>
          <w:szCs w:val="22"/>
        </w:rPr>
        <w:t>T464</w:t>
      </w:r>
      <w:r w:rsidR="00C33BF8" w:rsidRPr="0029055C">
        <w:rPr>
          <w:rFonts w:cstheme="minorHAnsi"/>
          <w:b/>
          <w:color w:val="31849B" w:themeColor="accent5" w:themeShade="BF"/>
          <w:sz w:val="22"/>
          <w:szCs w:val="22"/>
        </w:rPr>
        <w:t>6</w:t>
      </w:r>
      <w:r w:rsidRPr="0029055C">
        <w:rPr>
          <w:rFonts w:cstheme="minorHAnsi"/>
          <w:b/>
          <w:color w:val="31849B" w:themeColor="accent5" w:themeShade="BF"/>
          <w:sz w:val="22"/>
          <w:szCs w:val="22"/>
        </w:rPr>
        <w:t>:</w:t>
      </w:r>
      <w:r w:rsidRPr="0029055C">
        <w:rPr>
          <w:rFonts w:cstheme="minorHAnsi"/>
          <w:color w:val="31849B" w:themeColor="accent5" w:themeShade="BF"/>
          <w:sz w:val="22"/>
          <w:szCs w:val="22"/>
        </w:rPr>
        <w:t xml:space="preserve"> Αριθμός έργων για την βελτίωση των συστημάτων και των διαδικασιών διοίκησης και εφαρμογής του ΕΠ.</w:t>
      </w:r>
      <w:r w:rsidRPr="0029055C">
        <w:rPr>
          <w:rFonts w:cstheme="minorHAnsi"/>
          <w:color w:val="215868" w:themeColor="accent5" w:themeShade="80"/>
          <w:sz w:val="22"/>
          <w:szCs w:val="22"/>
        </w:rPr>
        <w:t xml:space="preserve"> </w:t>
      </w:r>
      <w:r w:rsidRPr="0029055C">
        <w:rPr>
          <w:rFonts w:cstheme="minorHAnsi"/>
          <w:sz w:val="22"/>
          <w:szCs w:val="22"/>
        </w:rPr>
        <w:t xml:space="preserve">Η τιμή στόχος του δείκτη για το έτος 2023 είναι </w:t>
      </w:r>
      <w:r w:rsidR="00C33BF8" w:rsidRPr="0029055C">
        <w:rPr>
          <w:rFonts w:cstheme="minorHAnsi"/>
          <w:sz w:val="22"/>
          <w:szCs w:val="22"/>
        </w:rPr>
        <w:t>8</w:t>
      </w:r>
      <w:r w:rsidRPr="0029055C">
        <w:rPr>
          <w:rFonts w:cstheme="minorHAnsi"/>
          <w:sz w:val="22"/>
          <w:szCs w:val="22"/>
        </w:rPr>
        <w:t xml:space="preserve"> και αφορά στον αριθμό των έργων  για την βελτίωση των συστημάτων και των διαδικασιών διοίκησης και εφαρμογής </w:t>
      </w:r>
      <w:r w:rsidR="008E605B" w:rsidRPr="0029055C">
        <w:rPr>
          <w:rFonts w:cstheme="minorHAnsi"/>
          <w:sz w:val="22"/>
          <w:szCs w:val="22"/>
        </w:rPr>
        <w:t xml:space="preserve">των δράσεων ΕΤΠΑ </w:t>
      </w:r>
      <w:r w:rsidRPr="0029055C">
        <w:rPr>
          <w:rFonts w:cstheme="minorHAnsi"/>
          <w:sz w:val="22"/>
          <w:szCs w:val="22"/>
        </w:rPr>
        <w:t xml:space="preserve">του ΕΠ. Ο στόχος των ενταγμένων έργων που τροφοδοτούν τον δείκτη υπερκαλύπτει </w:t>
      </w:r>
      <w:r w:rsidR="00C33BF8" w:rsidRPr="0029055C">
        <w:rPr>
          <w:rFonts w:cstheme="minorHAnsi"/>
          <w:sz w:val="22"/>
          <w:szCs w:val="22"/>
        </w:rPr>
        <w:t>το στόχο για το έτος 2023 κατά 15</w:t>
      </w:r>
      <w:r w:rsidRPr="0029055C">
        <w:rPr>
          <w:rFonts w:cstheme="minorHAnsi"/>
          <w:sz w:val="22"/>
          <w:szCs w:val="22"/>
        </w:rPr>
        <w:t xml:space="preserve">0%. Με βάση τα στοιχεία υλοποίησης των σχετικών δράσεων έως το τέλος του 2017, ο δείκτης </w:t>
      </w:r>
      <w:r w:rsidR="00C33BF8" w:rsidRPr="0029055C">
        <w:rPr>
          <w:rFonts w:cstheme="minorHAnsi"/>
          <w:sz w:val="22"/>
          <w:szCs w:val="22"/>
        </w:rPr>
        <w:t xml:space="preserve">παρουσιάζει μηδενική υλοποίηση, αλλά </w:t>
      </w:r>
      <w:r w:rsidRPr="0029055C">
        <w:rPr>
          <w:rFonts w:cstheme="minorHAnsi"/>
          <w:sz w:val="22"/>
          <w:szCs w:val="22"/>
        </w:rPr>
        <w:t>εκτιμάται ότι θα επιτευχθεί πλήρως έως το τέλος της ΠΠ.</w:t>
      </w:r>
    </w:p>
    <w:p w14:paraId="324AA4AF" w14:textId="77777777" w:rsidR="00E662B2" w:rsidRPr="0029055C" w:rsidRDefault="00E662B2" w:rsidP="00E662B2">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T464</w:t>
      </w:r>
      <w:r w:rsidR="00C33BF8" w:rsidRPr="0029055C">
        <w:rPr>
          <w:rFonts w:cstheme="minorHAnsi"/>
          <w:b/>
          <w:color w:val="31849B" w:themeColor="accent5" w:themeShade="BF"/>
          <w:sz w:val="22"/>
          <w:szCs w:val="22"/>
        </w:rPr>
        <w:t>7</w:t>
      </w:r>
      <w:r w:rsidRPr="0029055C">
        <w:rPr>
          <w:rFonts w:cstheme="minorHAnsi"/>
          <w:b/>
          <w:color w:val="31849B" w:themeColor="accent5" w:themeShade="BF"/>
          <w:sz w:val="22"/>
          <w:szCs w:val="22"/>
        </w:rPr>
        <w:t>:</w:t>
      </w:r>
      <w:r w:rsidRPr="0029055C">
        <w:rPr>
          <w:rFonts w:cstheme="minorHAnsi"/>
          <w:color w:val="31849B" w:themeColor="accent5" w:themeShade="BF"/>
          <w:sz w:val="22"/>
          <w:szCs w:val="22"/>
        </w:rPr>
        <w:t xml:space="preserve"> Αριθμός ελέγχων και επιθεωρήσεων σε πράξεις του ΕΠ.</w:t>
      </w:r>
      <w:r w:rsidRPr="0029055C">
        <w:rPr>
          <w:rFonts w:cstheme="minorHAnsi"/>
          <w:color w:val="215868" w:themeColor="accent5" w:themeShade="80"/>
          <w:sz w:val="22"/>
          <w:szCs w:val="22"/>
        </w:rPr>
        <w:t xml:space="preserve"> </w:t>
      </w:r>
      <w:r w:rsidRPr="0029055C">
        <w:rPr>
          <w:rFonts w:cstheme="minorHAnsi"/>
          <w:sz w:val="22"/>
          <w:szCs w:val="22"/>
        </w:rPr>
        <w:t xml:space="preserve">Η τιμή στόχος του δείκτη για το έτος 2023 είναι </w:t>
      </w:r>
      <w:r w:rsidR="00C33BF8" w:rsidRPr="0029055C">
        <w:rPr>
          <w:rFonts w:cstheme="minorHAnsi"/>
          <w:sz w:val="22"/>
          <w:szCs w:val="22"/>
        </w:rPr>
        <w:t>4</w:t>
      </w:r>
      <w:r w:rsidRPr="0029055C">
        <w:rPr>
          <w:rFonts w:cstheme="minorHAnsi"/>
          <w:sz w:val="22"/>
          <w:szCs w:val="22"/>
        </w:rPr>
        <w:t xml:space="preserve">0 και αφορά στον αριθμό των ελέγχων και επιθεωρήσεων σε πράξεις </w:t>
      </w:r>
      <w:r w:rsidR="00C33BF8" w:rsidRPr="0029055C">
        <w:rPr>
          <w:rFonts w:cstheme="minorHAnsi"/>
          <w:sz w:val="22"/>
          <w:szCs w:val="22"/>
        </w:rPr>
        <w:t xml:space="preserve">ΕΤΠΑ </w:t>
      </w:r>
      <w:r w:rsidRPr="0029055C">
        <w:rPr>
          <w:rFonts w:cstheme="minorHAnsi"/>
          <w:sz w:val="22"/>
          <w:szCs w:val="22"/>
        </w:rPr>
        <w:t>του Προγράμματος. Μέχρι την ημερομηνία αναφοράς των στοιχείων του Προγράμματος που αντλήθηκαν για την εκπόνηση του παρόντος παραδοτέου (01.06.2018) δεν είχαν ενταχθεί έργα τα οποία να συμπεριλαμβάνουν το συγκεκριμένο δείκτη.</w:t>
      </w:r>
    </w:p>
    <w:p w14:paraId="749C98CD" w14:textId="77777777" w:rsidR="00E662B2" w:rsidRPr="0029055C" w:rsidRDefault="00E662B2" w:rsidP="00E662B2">
      <w:pPr>
        <w:pStyle w:val="ListParagraph"/>
        <w:numPr>
          <w:ilvl w:val="0"/>
          <w:numId w:val="17"/>
        </w:numPr>
        <w:spacing w:line="280" w:lineRule="atLeast"/>
        <w:contextualSpacing w:val="0"/>
        <w:rPr>
          <w:rFonts w:cstheme="minorHAnsi"/>
          <w:sz w:val="22"/>
          <w:szCs w:val="22"/>
        </w:rPr>
      </w:pPr>
      <w:r w:rsidRPr="0029055C">
        <w:rPr>
          <w:rFonts w:cstheme="minorHAnsi"/>
          <w:b/>
          <w:color w:val="31849B" w:themeColor="accent5" w:themeShade="BF"/>
          <w:sz w:val="22"/>
          <w:szCs w:val="22"/>
        </w:rPr>
        <w:t>T464</w:t>
      </w:r>
      <w:r w:rsidR="008E605B" w:rsidRPr="0029055C">
        <w:rPr>
          <w:rFonts w:cstheme="minorHAnsi"/>
          <w:b/>
          <w:color w:val="31849B" w:themeColor="accent5" w:themeShade="BF"/>
          <w:sz w:val="22"/>
          <w:szCs w:val="22"/>
        </w:rPr>
        <w:t>8</w:t>
      </w:r>
      <w:r w:rsidRPr="0029055C">
        <w:rPr>
          <w:rFonts w:cstheme="minorHAnsi"/>
          <w:b/>
          <w:color w:val="31849B" w:themeColor="accent5" w:themeShade="BF"/>
          <w:sz w:val="22"/>
          <w:szCs w:val="22"/>
        </w:rPr>
        <w:t>:</w:t>
      </w:r>
      <w:r w:rsidRPr="0029055C">
        <w:rPr>
          <w:rFonts w:cstheme="minorHAnsi"/>
          <w:color w:val="31849B" w:themeColor="accent5" w:themeShade="BF"/>
          <w:sz w:val="22"/>
          <w:szCs w:val="22"/>
        </w:rPr>
        <w:t xml:space="preserve"> Αριθμός Επικοινωνιακών Σχεδίων Δράσης.</w:t>
      </w:r>
      <w:r w:rsidRPr="0029055C">
        <w:rPr>
          <w:rFonts w:cstheme="minorHAnsi"/>
          <w:color w:val="215868" w:themeColor="accent5" w:themeShade="80"/>
          <w:sz w:val="22"/>
          <w:szCs w:val="22"/>
        </w:rPr>
        <w:t xml:space="preserve"> </w:t>
      </w:r>
      <w:r w:rsidRPr="0029055C">
        <w:rPr>
          <w:rFonts w:cstheme="minorHAnsi"/>
          <w:sz w:val="22"/>
          <w:szCs w:val="22"/>
        </w:rPr>
        <w:t>Η τιμή στόχος του δείκτη για το έτος 2023 είναι 1 και αφορά στην εκπόνηση, εξειδίκευση και εφαρμογή του Επικοινωνιακού Σχεδίου Δράσης, με σκοπό τη δημοσιοποίηση στους πολίτες της χώρας και της ΕΕ του ρόλου και των επιτευγμάτων του Επιχειρησιακού Προγράμματος και του αντίκτυπού του στην ελληνική οικονομία και κοινωνία. Λαμβάνοντας υπόψη ότι το επικοινωνιακό σχέδιο του ΕΠ ΜΔΤ εκπονήθηκε από την ΕΥΔ με ίδιους πόρους προτείνεται η αφαίρεση του δείκτη Τ464</w:t>
      </w:r>
      <w:r w:rsidR="008E605B" w:rsidRPr="0029055C">
        <w:rPr>
          <w:rFonts w:cstheme="minorHAnsi"/>
          <w:sz w:val="22"/>
          <w:szCs w:val="22"/>
        </w:rPr>
        <w:t>8</w:t>
      </w:r>
      <w:r w:rsidRPr="0029055C">
        <w:rPr>
          <w:rFonts w:cstheme="minorHAnsi"/>
          <w:sz w:val="22"/>
          <w:szCs w:val="22"/>
        </w:rPr>
        <w:t xml:space="preserve"> από το σύστημα δεικτών του ΕΠ ΜΔΤ.</w:t>
      </w:r>
    </w:p>
    <w:p w14:paraId="369ED866" w14:textId="77777777" w:rsidR="008E605B" w:rsidRPr="0029055C" w:rsidRDefault="008E605B" w:rsidP="008E605B">
      <w:pPr>
        <w:pStyle w:val="ListParagraph"/>
        <w:numPr>
          <w:ilvl w:val="0"/>
          <w:numId w:val="17"/>
        </w:numPr>
        <w:spacing w:line="280" w:lineRule="atLeast"/>
        <w:ind w:left="714" w:hanging="357"/>
        <w:contextualSpacing w:val="0"/>
        <w:rPr>
          <w:rFonts w:cstheme="minorHAnsi"/>
          <w:sz w:val="22"/>
          <w:szCs w:val="22"/>
        </w:rPr>
      </w:pPr>
      <w:r w:rsidRPr="0029055C">
        <w:rPr>
          <w:rFonts w:cstheme="minorHAnsi"/>
          <w:b/>
          <w:color w:val="31849B" w:themeColor="accent5" w:themeShade="BF"/>
          <w:sz w:val="22"/>
          <w:szCs w:val="22"/>
        </w:rPr>
        <w:t>T4649:</w:t>
      </w:r>
      <w:r w:rsidRPr="0029055C">
        <w:rPr>
          <w:rFonts w:cstheme="minorHAnsi"/>
          <w:color w:val="31849B" w:themeColor="accent5" w:themeShade="BF"/>
          <w:sz w:val="22"/>
          <w:szCs w:val="22"/>
        </w:rPr>
        <w:t xml:space="preserve"> Δράσεις ενημέρωσης των δυνητικών δικαιούχων σχετικά με τους στόχους και τις δυνατότητες χρηματοδότησης από το ΕΠ.</w:t>
      </w:r>
      <w:r w:rsidRPr="0029055C">
        <w:rPr>
          <w:rFonts w:cstheme="minorHAnsi"/>
          <w:color w:val="215868" w:themeColor="accent5" w:themeShade="80"/>
          <w:sz w:val="22"/>
          <w:szCs w:val="22"/>
        </w:rPr>
        <w:t xml:space="preserve"> </w:t>
      </w:r>
      <w:r w:rsidRPr="0029055C">
        <w:rPr>
          <w:rFonts w:cstheme="minorHAnsi"/>
          <w:sz w:val="22"/>
          <w:szCs w:val="22"/>
        </w:rPr>
        <w:t xml:space="preserve">Ο συγκεκριμένος δείκτης </w:t>
      </w:r>
      <w:r w:rsidRPr="0029055C">
        <w:rPr>
          <w:rFonts w:cstheme="minorHAnsi"/>
          <w:color w:val="215868" w:themeColor="accent5" w:themeShade="80"/>
          <w:sz w:val="22"/>
          <w:szCs w:val="22"/>
        </w:rPr>
        <w:t>α</w:t>
      </w:r>
      <w:r w:rsidRPr="0029055C">
        <w:rPr>
          <w:rFonts w:cstheme="minorHAnsi"/>
          <w:sz w:val="22"/>
          <w:szCs w:val="22"/>
        </w:rPr>
        <w:t xml:space="preserve">φορά στον αριθμό των έργων προβολής, πληροφόρησης, δημοσιότητας και ενημέρωσης των δυνητικών Δικαιούχων σχετικά με τους ειδικούς στόχους των παρεμβάσεων του Επιχειρησιακού Προγράμματος και τις δυνατότητες χρηματοδότησης που προσφέρονται. Επίσης αφορά στην πραγματοποίηση συνεδρίων, ημερίδων, συναντήσεων εργασίας, εκδηλώσεων, δημιουργία δικτύων και </w:t>
      </w:r>
      <w:r w:rsidRPr="0029055C">
        <w:rPr>
          <w:rFonts w:cstheme="minorHAnsi"/>
          <w:sz w:val="22"/>
          <w:szCs w:val="22"/>
        </w:rPr>
        <w:lastRenderedPageBreak/>
        <w:t>πολλαπλασιαστών πληροφόρησης κλπ. για τη δημοσιοποίηση των αποτελεσμάτων του Επιχειρησιακού Προγράμματος και τη δημοσιοποίηση και διάχυση των αποτελεσμάτων αξιολογήσεων, μελετών, εμπειρογνωμοσυνών κλπ. Η τιμή στόχος του δείκτη για το έτος 2023 προσδιορίσθηκε σε 5, στο πλαίσιο της 2ης Αναθεώρησης του Προγράμματος, με βάση το επικοινωνιακό σχέδιο δράσης του ΕΠ ΜΔΤ, που υλοποιήθηκε από την ΕΥΔ με ίδιους πόρους. Ο στόχος των ενταγμένων έργων που τροφοδοτούν τον δείκτη ανέρχεται σε 2 και καλύπτει το στόχο για το έτος 2023 κατά 40%. Η υλοποίηση του δείκτη είναι μηδενική, αλλά εκτιμάται  ότι ο στόχο</w:t>
      </w:r>
      <w:r w:rsidR="003A6BF5" w:rsidRPr="0029055C">
        <w:rPr>
          <w:rFonts w:cstheme="minorHAnsi"/>
          <w:sz w:val="22"/>
          <w:szCs w:val="22"/>
        </w:rPr>
        <w:t>ς</w:t>
      </w:r>
      <w:r w:rsidRPr="0029055C">
        <w:rPr>
          <w:rFonts w:cstheme="minorHAnsi"/>
          <w:sz w:val="22"/>
          <w:szCs w:val="22"/>
        </w:rPr>
        <w:t xml:space="preserve"> θα επιτευχθεί πλήρως έως το τέλος της ΠΠ.</w:t>
      </w:r>
    </w:p>
    <w:p w14:paraId="06E09880" w14:textId="77777777" w:rsidR="00E662B2" w:rsidRPr="0029055C" w:rsidRDefault="00E662B2" w:rsidP="00E662B2">
      <w:pPr>
        <w:pStyle w:val="ListParagraph"/>
        <w:numPr>
          <w:ilvl w:val="0"/>
          <w:numId w:val="17"/>
        </w:numPr>
        <w:spacing w:line="280" w:lineRule="atLeast"/>
        <w:ind w:left="714" w:hanging="357"/>
        <w:contextualSpacing w:val="0"/>
        <w:rPr>
          <w:rFonts w:cstheme="minorHAnsi"/>
          <w:sz w:val="22"/>
          <w:szCs w:val="22"/>
        </w:rPr>
      </w:pPr>
      <w:r w:rsidRPr="0029055C">
        <w:rPr>
          <w:rFonts w:cstheme="minorHAnsi"/>
          <w:b/>
          <w:color w:val="31849B" w:themeColor="accent5" w:themeShade="BF"/>
          <w:sz w:val="22"/>
          <w:szCs w:val="22"/>
        </w:rPr>
        <w:t>T46</w:t>
      </w:r>
      <w:r w:rsidR="008E605B" w:rsidRPr="0029055C">
        <w:rPr>
          <w:rFonts w:cstheme="minorHAnsi"/>
          <w:b/>
          <w:color w:val="31849B" w:themeColor="accent5" w:themeShade="BF"/>
          <w:sz w:val="22"/>
          <w:szCs w:val="22"/>
        </w:rPr>
        <w:t>50</w:t>
      </w:r>
      <w:r w:rsidRPr="0029055C">
        <w:rPr>
          <w:rFonts w:cstheme="minorHAnsi"/>
          <w:b/>
          <w:color w:val="31849B" w:themeColor="accent5" w:themeShade="BF"/>
          <w:sz w:val="22"/>
          <w:szCs w:val="22"/>
        </w:rPr>
        <w:t>:</w:t>
      </w:r>
      <w:r w:rsidRPr="0029055C">
        <w:rPr>
          <w:rFonts w:cstheme="minorHAnsi"/>
          <w:color w:val="31849B" w:themeColor="accent5" w:themeShade="BF"/>
          <w:sz w:val="22"/>
          <w:szCs w:val="22"/>
        </w:rPr>
        <w:t xml:space="preserve"> Αριθμός μελετών,  εμπειρογνωμοσυνών, ερευνών, αξιολογήσεων, έργων τεχνικής υποστήριξης.</w:t>
      </w:r>
      <w:r w:rsidRPr="0029055C">
        <w:rPr>
          <w:rFonts w:cstheme="minorHAnsi"/>
          <w:color w:val="215868" w:themeColor="accent5" w:themeShade="80"/>
          <w:sz w:val="22"/>
          <w:szCs w:val="22"/>
        </w:rPr>
        <w:t xml:space="preserve"> </w:t>
      </w:r>
      <w:r w:rsidRPr="0029055C">
        <w:rPr>
          <w:rFonts w:cstheme="minorHAnsi"/>
          <w:sz w:val="22"/>
          <w:szCs w:val="22"/>
        </w:rPr>
        <w:t>Η τιμή στόχος του δείκτη για το έτος 2023 είναι 1</w:t>
      </w:r>
      <w:r w:rsidR="008E605B" w:rsidRPr="0029055C">
        <w:rPr>
          <w:rFonts w:cstheme="minorHAnsi"/>
          <w:sz w:val="22"/>
          <w:szCs w:val="22"/>
        </w:rPr>
        <w:t>0</w:t>
      </w:r>
      <w:r w:rsidRPr="0029055C">
        <w:rPr>
          <w:rFonts w:cstheme="minorHAnsi"/>
          <w:sz w:val="22"/>
          <w:szCs w:val="22"/>
        </w:rPr>
        <w:t xml:space="preserve"> και αφορά στον αριθμό των έργων εκπόνησης εξειδικευμένων μελετών, υπηρεσιών τεχνικών συμβούλων για την υλοποίηση έργων τεχνικής υποστήριξης, μελετών και εμπειρογνωμοσυνών, συμβουλευτικών υπηρεσιών υποστήριξης των φορέων υλοποίησης από εξωτερικούς εμπειρογνώμονες, καθώς και στην εκπόνηση αξιολογήσεων, όπως προβλέπονται από τον Κανονισμό (ΕΕ) 1303/2013. Ο στόχος των ενταγμένων έργων που τροφοδοτούν τον δείκτη ανέρχεται σε </w:t>
      </w:r>
      <w:r w:rsidR="008E605B" w:rsidRPr="0029055C">
        <w:rPr>
          <w:rFonts w:cstheme="minorHAnsi"/>
          <w:sz w:val="22"/>
          <w:szCs w:val="22"/>
        </w:rPr>
        <w:t>2</w:t>
      </w:r>
      <w:r w:rsidRPr="0029055C">
        <w:rPr>
          <w:rFonts w:cstheme="minorHAnsi"/>
          <w:sz w:val="22"/>
          <w:szCs w:val="22"/>
        </w:rPr>
        <w:t xml:space="preserve"> και καλύπτει το στόχο για το έτος 2023 κατά </w:t>
      </w:r>
      <w:r w:rsidR="008E605B" w:rsidRPr="0029055C">
        <w:rPr>
          <w:rFonts w:cstheme="minorHAnsi"/>
          <w:sz w:val="22"/>
          <w:szCs w:val="22"/>
        </w:rPr>
        <w:t>20</w:t>
      </w:r>
      <w:r w:rsidRPr="0029055C">
        <w:rPr>
          <w:rFonts w:cstheme="minorHAnsi"/>
          <w:sz w:val="22"/>
          <w:szCs w:val="22"/>
        </w:rPr>
        <w:t>%. Η υλοποίηση του δείκτη είναι μηδενική, αλλά εκτιμάται  ότι ο στόχο</w:t>
      </w:r>
      <w:r w:rsidR="003A6BF5" w:rsidRPr="0029055C">
        <w:rPr>
          <w:rFonts w:cstheme="minorHAnsi"/>
          <w:sz w:val="22"/>
          <w:szCs w:val="22"/>
        </w:rPr>
        <w:t>ς</w:t>
      </w:r>
      <w:r w:rsidRPr="0029055C">
        <w:rPr>
          <w:rFonts w:cstheme="minorHAnsi"/>
          <w:sz w:val="22"/>
          <w:szCs w:val="22"/>
        </w:rPr>
        <w:t xml:space="preserve"> θα επιτευχθεί πλήρως έως το τέλος της ΠΠ.</w:t>
      </w:r>
    </w:p>
    <w:p w14:paraId="71471900" w14:textId="77777777" w:rsidR="00E662B2" w:rsidRPr="0029055C" w:rsidRDefault="00E662B2" w:rsidP="00E662B2">
      <w:pPr>
        <w:spacing w:line="280" w:lineRule="atLeast"/>
        <w:rPr>
          <w:rFonts w:cstheme="minorHAnsi"/>
          <w:sz w:val="22"/>
          <w:szCs w:val="22"/>
        </w:rPr>
      </w:pPr>
    </w:p>
    <w:p w14:paraId="4F96FF2C" w14:textId="77777777" w:rsidR="0095547E" w:rsidRPr="0029055C" w:rsidRDefault="00C76DD3" w:rsidP="00D0290A">
      <w:pPr>
        <w:pStyle w:val="Heading2"/>
        <w:pageBreakBefore/>
      </w:pPr>
      <w:bookmarkStart w:id="19" w:name="_Toc519758767"/>
      <w:r w:rsidRPr="0029055C">
        <w:lastRenderedPageBreak/>
        <w:t>Βασικά Συμπεράσματα από την αξιολόγηση της μέχρι σήμερα πορείας υλοποίησης του Προγράμματος</w:t>
      </w:r>
      <w:bookmarkEnd w:id="19"/>
    </w:p>
    <w:p w14:paraId="6EC823A8" w14:textId="77777777" w:rsidR="00CD69D9" w:rsidRPr="0029055C" w:rsidRDefault="00AA4C2B" w:rsidP="00AA4C2B">
      <w:pPr>
        <w:rPr>
          <w:rFonts w:asciiTheme="minorHAnsi" w:hAnsiTheme="minorHAnsi" w:cstheme="minorHAnsi"/>
          <w:sz w:val="22"/>
        </w:rPr>
      </w:pPr>
      <w:r w:rsidRPr="0029055C">
        <w:rPr>
          <w:rFonts w:asciiTheme="minorHAnsi" w:hAnsiTheme="minorHAnsi" w:cstheme="minorHAnsi"/>
          <w:sz w:val="22"/>
        </w:rPr>
        <w:t>Η υλοποίηση του Επιχειρησιακού Προγράμματος «Μεταρρύθμιση Δημόσιου Τομέα» ξεκίνησε με σημαντική καθυστέρηση, η οποία παρατηρείται στο σύνολο των συγχρηματοδοτούμενων προγραμμάτων, τόσο της παρούσας, όσο και των προηγούμενων Προγραμματικών Περιόδων.</w:t>
      </w:r>
      <w:r w:rsidR="00CD69D9" w:rsidRPr="0029055C">
        <w:rPr>
          <w:rFonts w:asciiTheme="minorHAnsi" w:hAnsiTheme="minorHAnsi" w:cstheme="minorHAnsi"/>
          <w:sz w:val="22"/>
        </w:rPr>
        <w:t xml:space="preserve"> Επιπρόσθετο παράγοντα καθυστέρησης της ενεργοποίησης και εφαρμογής των ΕΠ του ΕΣΠΑ 2014 – 2020 αποτέλεσαν και οι αυτοδεσμεύσεις σε επιμέρους Θεματικούς Στόχους και οι αιρεσιμότητες που τέθηκαν, οι οποίες έπρεπε να εκπληρωθούν για την ενεργοποίηση των σχετικών παρεμβάσεων.</w:t>
      </w:r>
    </w:p>
    <w:p w14:paraId="0F0CDAB9" w14:textId="77777777" w:rsidR="00AA4C2B" w:rsidRPr="0029055C" w:rsidRDefault="00AA4C2B" w:rsidP="00AA4C2B">
      <w:pPr>
        <w:rPr>
          <w:rFonts w:asciiTheme="minorHAnsi" w:hAnsiTheme="minorHAnsi" w:cstheme="minorHAnsi"/>
          <w:sz w:val="22"/>
        </w:rPr>
      </w:pPr>
      <w:r w:rsidRPr="0029055C">
        <w:rPr>
          <w:rFonts w:asciiTheme="minorHAnsi" w:hAnsiTheme="minorHAnsi" w:cstheme="minorHAnsi"/>
          <w:sz w:val="22"/>
        </w:rPr>
        <w:t xml:space="preserve">Συγκεκριμένα, η </w:t>
      </w:r>
      <w:r w:rsidR="00CD69D9" w:rsidRPr="0029055C">
        <w:rPr>
          <w:rFonts w:asciiTheme="minorHAnsi" w:hAnsiTheme="minorHAnsi" w:cstheme="minorHAnsi"/>
          <w:sz w:val="22"/>
        </w:rPr>
        <w:t>1</w:t>
      </w:r>
      <w:r w:rsidR="00CD69D9" w:rsidRPr="0029055C">
        <w:rPr>
          <w:rFonts w:asciiTheme="minorHAnsi" w:hAnsiTheme="minorHAnsi" w:cstheme="minorHAnsi"/>
          <w:sz w:val="22"/>
          <w:vertAlign w:val="superscript"/>
        </w:rPr>
        <w:t>η</w:t>
      </w:r>
      <w:r w:rsidR="00CD69D9" w:rsidRPr="0029055C">
        <w:rPr>
          <w:rFonts w:asciiTheme="minorHAnsi" w:hAnsiTheme="minorHAnsi" w:cstheme="minorHAnsi"/>
          <w:sz w:val="22"/>
        </w:rPr>
        <w:t xml:space="preserve"> Εξειδίκευση του Προγράμματος πραγματοποιήθηκε τον Ιούνιο του 2015, ενώ η </w:t>
      </w:r>
      <w:r w:rsidRPr="0029055C">
        <w:rPr>
          <w:rFonts w:asciiTheme="minorHAnsi" w:hAnsiTheme="minorHAnsi" w:cstheme="minorHAnsi"/>
          <w:sz w:val="22"/>
        </w:rPr>
        <w:t xml:space="preserve"> υλοποίησ</w:t>
      </w:r>
      <w:r w:rsidR="00CD69D9" w:rsidRPr="0029055C">
        <w:rPr>
          <w:rFonts w:asciiTheme="minorHAnsi" w:hAnsiTheme="minorHAnsi" w:cstheme="minorHAnsi"/>
          <w:sz w:val="22"/>
        </w:rPr>
        <w:t>ή</w:t>
      </w:r>
      <w:r w:rsidRPr="0029055C">
        <w:rPr>
          <w:rFonts w:asciiTheme="minorHAnsi" w:hAnsiTheme="minorHAnsi" w:cstheme="minorHAnsi"/>
          <w:sz w:val="22"/>
        </w:rPr>
        <w:t xml:space="preserve"> του άρχισε </w:t>
      </w:r>
      <w:r w:rsidR="00CD69D9" w:rsidRPr="0029055C">
        <w:rPr>
          <w:rFonts w:asciiTheme="minorHAnsi" w:hAnsiTheme="minorHAnsi" w:cstheme="minorHAnsi"/>
          <w:sz w:val="22"/>
        </w:rPr>
        <w:t xml:space="preserve">στο τέλος του </w:t>
      </w:r>
      <w:r w:rsidRPr="0029055C">
        <w:rPr>
          <w:rFonts w:asciiTheme="minorHAnsi" w:hAnsiTheme="minorHAnsi" w:cstheme="minorHAnsi"/>
          <w:sz w:val="22"/>
        </w:rPr>
        <w:t>2015</w:t>
      </w:r>
      <w:r w:rsidR="00CD69D9" w:rsidRPr="0029055C">
        <w:rPr>
          <w:rFonts w:asciiTheme="minorHAnsi" w:hAnsiTheme="minorHAnsi" w:cstheme="minorHAnsi"/>
          <w:sz w:val="22"/>
        </w:rPr>
        <w:t xml:space="preserve"> και αφορούσε την ένταξη 3 Πράξεων στο Θεματικό Άξονα ΙΙΙ του ΕΠ</w:t>
      </w:r>
      <w:r w:rsidRPr="0029055C">
        <w:rPr>
          <w:rFonts w:asciiTheme="minorHAnsi" w:hAnsiTheme="minorHAnsi" w:cstheme="minorHAnsi"/>
          <w:sz w:val="22"/>
        </w:rPr>
        <w:t>.</w:t>
      </w:r>
    </w:p>
    <w:p w14:paraId="7B2F93E4" w14:textId="77777777" w:rsidR="004A2667" w:rsidRPr="0029055C" w:rsidRDefault="00CD69D9" w:rsidP="004A2667">
      <w:pPr>
        <w:rPr>
          <w:sz w:val="22"/>
          <w:lang w:eastAsia="en-US"/>
        </w:rPr>
      </w:pPr>
      <w:r w:rsidRPr="0029055C">
        <w:rPr>
          <w:sz w:val="22"/>
          <w:lang w:eastAsia="en-US"/>
        </w:rPr>
        <w:t>Ειδικότερα</w:t>
      </w:r>
      <w:r w:rsidR="004466BC" w:rsidRPr="0029055C">
        <w:rPr>
          <w:sz w:val="22"/>
          <w:lang w:eastAsia="en-US"/>
        </w:rPr>
        <w:t>,</w:t>
      </w:r>
      <w:r w:rsidRPr="0029055C">
        <w:rPr>
          <w:sz w:val="22"/>
          <w:lang w:eastAsia="en-US"/>
        </w:rPr>
        <w:t xml:space="preserve"> ανά Θεματικό Άξονα του Προγράμματος:</w:t>
      </w:r>
    </w:p>
    <w:p w14:paraId="6B4983DE" w14:textId="77777777" w:rsidR="00CD69D9" w:rsidRPr="0029055C" w:rsidRDefault="00CD69D9" w:rsidP="00054E46">
      <w:pPr>
        <w:pStyle w:val="ListParagraph"/>
        <w:numPr>
          <w:ilvl w:val="0"/>
          <w:numId w:val="31"/>
        </w:numPr>
        <w:spacing w:line="280" w:lineRule="atLeast"/>
        <w:ind w:left="714" w:hanging="357"/>
        <w:contextualSpacing w:val="0"/>
        <w:rPr>
          <w:sz w:val="22"/>
          <w:lang w:eastAsia="en-US"/>
        </w:rPr>
      </w:pPr>
      <w:r w:rsidRPr="0029055C">
        <w:rPr>
          <w:sz w:val="22"/>
          <w:lang w:eastAsia="en-US"/>
        </w:rPr>
        <w:t>Η εξειδίκευση του Θεματικού Άξονα Ι ξεκίνησε με την 1</w:t>
      </w:r>
      <w:r w:rsidRPr="0029055C">
        <w:rPr>
          <w:sz w:val="22"/>
          <w:vertAlign w:val="superscript"/>
          <w:lang w:eastAsia="en-US"/>
        </w:rPr>
        <w:t>η</w:t>
      </w:r>
      <w:r w:rsidRPr="0029055C">
        <w:rPr>
          <w:sz w:val="22"/>
          <w:lang w:eastAsia="en-US"/>
        </w:rPr>
        <w:t xml:space="preserve"> Εξειδίκευση του Προγράμματος, </w:t>
      </w:r>
      <w:r w:rsidR="0053126F" w:rsidRPr="0029055C">
        <w:rPr>
          <w:sz w:val="22"/>
          <w:lang w:eastAsia="en-US"/>
        </w:rPr>
        <w:t>τον Ιούνιο του 2015 και μέχρι το τέλος του συγκεκριμένου έτους είχε</w:t>
      </w:r>
      <w:r w:rsidRPr="0029055C">
        <w:rPr>
          <w:sz w:val="22"/>
          <w:lang w:eastAsia="en-US"/>
        </w:rPr>
        <w:t xml:space="preserve"> εξειδικε</w:t>
      </w:r>
      <w:r w:rsidR="0053126F" w:rsidRPr="0029055C">
        <w:rPr>
          <w:sz w:val="22"/>
          <w:lang w:eastAsia="en-US"/>
        </w:rPr>
        <w:t>υθεί</w:t>
      </w:r>
      <w:r w:rsidRPr="0029055C">
        <w:rPr>
          <w:sz w:val="22"/>
          <w:lang w:eastAsia="en-US"/>
        </w:rPr>
        <w:t xml:space="preserve"> περίπου το 45% του διαθέσιμου προϋπολογισμού του ΘΑ. Οι πρώτες 3 </w:t>
      </w:r>
      <w:r w:rsidR="004466BC" w:rsidRPr="0029055C">
        <w:rPr>
          <w:sz w:val="22"/>
          <w:lang w:eastAsia="en-US"/>
        </w:rPr>
        <w:t>Προσκλήσεις</w:t>
      </w:r>
      <w:r w:rsidRPr="0029055C">
        <w:rPr>
          <w:sz w:val="22"/>
          <w:lang w:eastAsia="en-US"/>
        </w:rPr>
        <w:t xml:space="preserve"> εκδόθηκαν κατά το 2</w:t>
      </w:r>
      <w:r w:rsidRPr="0029055C">
        <w:rPr>
          <w:sz w:val="22"/>
          <w:vertAlign w:val="superscript"/>
          <w:lang w:eastAsia="en-US"/>
        </w:rPr>
        <w:t>ο</w:t>
      </w:r>
      <w:r w:rsidRPr="0029055C">
        <w:rPr>
          <w:sz w:val="22"/>
          <w:lang w:eastAsia="en-US"/>
        </w:rPr>
        <w:t xml:space="preserve"> Εξάμηνο του 2015, ενώ οι πρώτες εντάξεις πραγματοποιήθηκαν το 2016. </w:t>
      </w:r>
    </w:p>
    <w:p w14:paraId="7E54C72B" w14:textId="61B68C81" w:rsidR="007D14A1" w:rsidRPr="0029055C" w:rsidRDefault="0053126F" w:rsidP="00DA742F">
      <w:pPr>
        <w:pStyle w:val="ListParagraph"/>
        <w:numPr>
          <w:ilvl w:val="0"/>
          <w:numId w:val="31"/>
        </w:numPr>
        <w:spacing w:line="280" w:lineRule="atLeast"/>
        <w:contextualSpacing w:val="0"/>
        <w:rPr>
          <w:sz w:val="22"/>
          <w:lang w:eastAsia="en-US"/>
        </w:rPr>
      </w:pPr>
      <w:r w:rsidRPr="0029055C">
        <w:rPr>
          <w:sz w:val="22"/>
          <w:szCs w:val="20"/>
        </w:rPr>
        <w:t>Ο Θεματικός Άξονας ΙΙ «Ενίσχυση της Ηλεκτρονικής Διακυβέρνησης» που χρηματοδοτείται από το ΕΤΠΑ</w:t>
      </w:r>
      <w:r w:rsidR="00054E46" w:rsidRPr="0029055C">
        <w:rPr>
          <w:sz w:val="22"/>
          <w:szCs w:val="20"/>
        </w:rPr>
        <w:t>,</w:t>
      </w:r>
      <w:r w:rsidRPr="0029055C">
        <w:rPr>
          <w:sz w:val="22"/>
          <w:szCs w:val="20"/>
        </w:rPr>
        <w:t xml:space="preserve"> υπόκειτο σε αυτοδέσμευση </w:t>
      </w:r>
      <w:r w:rsidR="007D14A1" w:rsidRPr="0029055C">
        <w:rPr>
          <w:sz w:val="22"/>
          <w:szCs w:val="20"/>
        </w:rPr>
        <w:t xml:space="preserve">έως το τέλος 2016, </w:t>
      </w:r>
      <w:r w:rsidRPr="0029055C">
        <w:rPr>
          <w:sz w:val="22"/>
          <w:szCs w:val="20"/>
        </w:rPr>
        <w:t>έως ότου ικανοποιηθεί η αιρεσιμότητα 2</w:t>
      </w:r>
      <w:r w:rsidR="002E5E32" w:rsidRPr="0029055C">
        <w:rPr>
          <w:sz w:val="22"/>
          <w:szCs w:val="20"/>
        </w:rPr>
        <w:t>.1</w:t>
      </w:r>
      <w:r w:rsidR="00893791" w:rsidRPr="0029055C">
        <w:rPr>
          <w:sz w:val="22"/>
          <w:szCs w:val="20"/>
        </w:rPr>
        <w:t xml:space="preserve"> «Ψηφιακή Ανάπτυξη»</w:t>
      </w:r>
      <w:r w:rsidRPr="0029055C">
        <w:rPr>
          <w:sz w:val="22"/>
          <w:szCs w:val="20"/>
        </w:rPr>
        <w:t xml:space="preserve">. Η ενεργοποίηση </w:t>
      </w:r>
      <w:r w:rsidR="00054E46" w:rsidRPr="0029055C">
        <w:rPr>
          <w:sz w:val="22"/>
          <w:szCs w:val="20"/>
        </w:rPr>
        <w:t xml:space="preserve">του Θεματικού Άξονα πραγματοποιήθηκε </w:t>
      </w:r>
      <w:r w:rsidR="007D2828" w:rsidRPr="0029055C">
        <w:rPr>
          <w:sz w:val="22"/>
          <w:szCs w:val="20"/>
        </w:rPr>
        <w:t xml:space="preserve">λίγο νωρίτερα, </w:t>
      </w:r>
      <w:r w:rsidR="00054E46" w:rsidRPr="0029055C">
        <w:rPr>
          <w:sz w:val="22"/>
          <w:szCs w:val="20"/>
        </w:rPr>
        <w:t>το</w:t>
      </w:r>
      <w:r w:rsidR="007D2828" w:rsidRPr="0029055C">
        <w:rPr>
          <w:sz w:val="22"/>
          <w:szCs w:val="20"/>
        </w:rPr>
        <w:t>ν Ιούλιο του 2016</w:t>
      </w:r>
      <w:r w:rsidR="007D14A1" w:rsidRPr="0029055C">
        <w:rPr>
          <w:sz w:val="22"/>
          <w:szCs w:val="20"/>
        </w:rPr>
        <w:t xml:space="preserve">, </w:t>
      </w:r>
      <w:r w:rsidR="007D2828" w:rsidRPr="0029055C">
        <w:rPr>
          <w:sz w:val="22"/>
          <w:szCs w:val="20"/>
        </w:rPr>
        <w:t xml:space="preserve">οπότε ξεκίνησαν και </w:t>
      </w:r>
      <w:r w:rsidR="007D14A1" w:rsidRPr="0029055C">
        <w:rPr>
          <w:sz w:val="22"/>
          <w:szCs w:val="20"/>
        </w:rPr>
        <w:t>οι πρώτες εντάξεις έργων</w:t>
      </w:r>
      <w:r w:rsidR="00DA742F" w:rsidRPr="0029055C">
        <w:rPr>
          <w:sz w:val="22"/>
          <w:szCs w:val="20"/>
        </w:rPr>
        <w:t>, μετά τη θετική απάντηση της ΕΕ</w:t>
      </w:r>
      <w:r w:rsidR="00DA742F" w:rsidRPr="0029055C">
        <w:rPr>
          <w:rStyle w:val="FootnoteReference"/>
          <w:sz w:val="22"/>
          <w:szCs w:val="20"/>
        </w:rPr>
        <w:footnoteReference w:id="13"/>
      </w:r>
      <w:r w:rsidR="00DA742F" w:rsidRPr="0029055C">
        <w:rPr>
          <w:sz w:val="22"/>
          <w:szCs w:val="20"/>
        </w:rPr>
        <w:t xml:space="preserve"> στο υπ’ αριθ. πρωτ. 1540/09-06-2016 έγγραφο του Γενικού Γραμματέα ΕΣΠΑ με θέμα </w:t>
      </w:r>
      <w:r w:rsidR="00DA742F" w:rsidRPr="0029055C">
        <w:rPr>
          <w:i/>
          <w:sz w:val="22"/>
          <w:szCs w:val="20"/>
        </w:rPr>
        <w:t>«Ειδική κατ’ εξαίρεση αντιμετώπιση συγκεκριμένων έργων ΤΠΕ για την ένταξή τους σε ΕΠ της περιόδου 2014-2020»</w:t>
      </w:r>
      <w:r w:rsidR="00DA742F" w:rsidRPr="0029055C">
        <w:rPr>
          <w:sz w:val="22"/>
          <w:szCs w:val="20"/>
        </w:rPr>
        <w:t>.</w:t>
      </w:r>
    </w:p>
    <w:p w14:paraId="1569AFA4" w14:textId="77777777" w:rsidR="007D2828" w:rsidRPr="0029055C" w:rsidRDefault="00DA742F" w:rsidP="007D2828">
      <w:pPr>
        <w:pStyle w:val="ListParagraph"/>
        <w:numPr>
          <w:ilvl w:val="0"/>
          <w:numId w:val="31"/>
        </w:numPr>
        <w:spacing w:line="280" w:lineRule="atLeast"/>
        <w:contextualSpacing w:val="0"/>
        <w:rPr>
          <w:sz w:val="22"/>
          <w:lang w:eastAsia="en-US"/>
        </w:rPr>
      </w:pPr>
      <w:r w:rsidRPr="0029055C">
        <w:rPr>
          <w:sz w:val="22"/>
          <w:szCs w:val="20"/>
        </w:rPr>
        <w:t xml:space="preserve">Η ενεργοποίηση του Θεματικού Άξονα ΙΙΙ </w:t>
      </w:r>
      <w:r w:rsidR="007D2828" w:rsidRPr="0029055C">
        <w:rPr>
          <w:sz w:val="22"/>
          <w:szCs w:val="20"/>
        </w:rPr>
        <w:t xml:space="preserve"> πραγματοποιήθηκε το 2015. Η πρώτη Πρόσκληση εκδόθηκε κατά το 2ο Εξάμηνο του 2015 και μέχρι το τέλος του 2015 είχαν ενταχθεί οι τρεις (3) πρώτες Πράξεις, οι οποίες ενεργοποίησαν τον ΘΑ σε ποσοστό περίπου 49%.</w:t>
      </w:r>
    </w:p>
    <w:p w14:paraId="1283D32A" w14:textId="77777777" w:rsidR="007D2828" w:rsidRPr="0029055C" w:rsidRDefault="007D2828" w:rsidP="00CF11F2">
      <w:pPr>
        <w:pStyle w:val="ListParagraph"/>
        <w:numPr>
          <w:ilvl w:val="0"/>
          <w:numId w:val="31"/>
        </w:numPr>
        <w:spacing w:line="280" w:lineRule="atLeast"/>
        <w:contextualSpacing w:val="0"/>
        <w:rPr>
          <w:sz w:val="22"/>
          <w:lang w:eastAsia="en-US"/>
        </w:rPr>
      </w:pPr>
      <w:r w:rsidRPr="0029055C">
        <w:rPr>
          <w:sz w:val="22"/>
          <w:szCs w:val="20"/>
        </w:rPr>
        <w:t>Ο Θεματικός Άξονας IV της Τεχνικής Βοήθειας για την υλοποίηση των δράσεων ΕΚΤ του ΕΠ ΜΔΤ ενεργοποιήθηκε το 2016 με την έκδοση των 2 πρώτων προσκλήσεων, ενώ μέχρι το τέλος του ίδιου έτους είχαν ενταχθεί στους σχετικούς Άξονες Προτεραιότητας 22 Πράξεις</w:t>
      </w:r>
      <w:r w:rsidR="00CF11F2" w:rsidRPr="0029055C">
        <w:rPr>
          <w:sz w:val="22"/>
          <w:szCs w:val="20"/>
        </w:rPr>
        <w:t>,</w:t>
      </w:r>
      <w:r w:rsidR="00CF11F2" w:rsidRPr="0029055C">
        <w:t xml:space="preserve"> </w:t>
      </w:r>
      <w:r w:rsidR="00CF11F2" w:rsidRPr="0029055C">
        <w:rPr>
          <w:sz w:val="22"/>
          <w:szCs w:val="20"/>
        </w:rPr>
        <w:t>οι οποίες ενεργοποίησαν τον ΘΑ σε ποσοστό περίπου 18,5%.</w:t>
      </w:r>
      <w:r w:rsidRPr="0029055C">
        <w:rPr>
          <w:sz w:val="22"/>
          <w:szCs w:val="20"/>
        </w:rPr>
        <w:t xml:space="preserve"> </w:t>
      </w:r>
    </w:p>
    <w:p w14:paraId="6648A8A7" w14:textId="77777777" w:rsidR="00CF11F2" w:rsidRPr="0029055C" w:rsidRDefault="00CF11F2" w:rsidP="00CF11F2">
      <w:pPr>
        <w:pStyle w:val="ListParagraph"/>
        <w:numPr>
          <w:ilvl w:val="0"/>
          <w:numId w:val="31"/>
        </w:numPr>
        <w:spacing w:line="280" w:lineRule="atLeast"/>
        <w:contextualSpacing w:val="0"/>
        <w:rPr>
          <w:sz w:val="22"/>
          <w:lang w:eastAsia="en-US"/>
        </w:rPr>
      </w:pPr>
      <w:r w:rsidRPr="0029055C">
        <w:rPr>
          <w:sz w:val="22"/>
          <w:szCs w:val="20"/>
        </w:rPr>
        <w:t>Ο Θεματικός Άξονας V της Τεχνικής Βοήθειας για την υλοποίηση των δράσεων ΕΤΠΑ του ΕΠ ΜΔΤ ενεργοποιήθηκε το 2017</w:t>
      </w:r>
      <w:r w:rsidR="009C483C" w:rsidRPr="0029055C">
        <w:rPr>
          <w:rStyle w:val="FootnoteReference"/>
          <w:sz w:val="22"/>
          <w:szCs w:val="20"/>
        </w:rPr>
        <w:footnoteReference w:id="14"/>
      </w:r>
      <w:r w:rsidRPr="0029055C">
        <w:rPr>
          <w:sz w:val="22"/>
          <w:szCs w:val="20"/>
        </w:rPr>
        <w:t xml:space="preserve"> με την έκδοση των 2 πρώτων προσκλήσεων, ενώ μέχρι το τέλος του ίδιου έτους είχαν ενταχθεί στους σχετικούς Άξονες Προτεραιότητας 6 Πράξεις,</w:t>
      </w:r>
      <w:r w:rsidRPr="0029055C">
        <w:t xml:space="preserve"> </w:t>
      </w:r>
      <w:r w:rsidRPr="0029055C">
        <w:rPr>
          <w:sz w:val="22"/>
          <w:szCs w:val="20"/>
        </w:rPr>
        <w:t xml:space="preserve">οι οποίες ενεργοποίησαν τον ΘΑ σε ποσοστό περίπου 10%. </w:t>
      </w:r>
    </w:p>
    <w:p w14:paraId="0C7B09EE" w14:textId="4B36DC6D" w:rsidR="004466BC" w:rsidRPr="0029055C" w:rsidRDefault="003054DA" w:rsidP="003054DA">
      <w:pPr>
        <w:rPr>
          <w:sz w:val="22"/>
        </w:rPr>
      </w:pPr>
      <w:r w:rsidRPr="0029055C">
        <w:rPr>
          <w:sz w:val="22"/>
        </w:rPr>
        <w:t>Η πρόοδος υλοποίησης των Θεματικών Αξόνων του Προγράμματος έως 01.06.2018 (ημερομηνία αναφοράς του παρόντ</w:t>
      </w:r>
      <w:r w:rsidR="0079420A" w:rsidRPr="0029055C">
        <w:rPr>
          <w:sz w:val="22"/>
        </w:rPr>
        <w:t xml:space="preserve">ος παραδοτέου) </w:t>
      </w:r>
      <w:r w:rsidR="00EA6404" w:rsidRPr="0029055C">
        <w:rPr>
          <w:sz w:val="22"/>
        </w:rPr>
        <w:t>παρατίθεται στα ακ</w:t>
      </w:r>
      <w:r w:rsidR="00D12AE1" w:rsidRPr="0029055C">
        <w:rPr>
          <w:sz w:val="22"/>
        </w:rPr>
        <w:t>όλουθα Δ</w:t>
      </w:r>
      <w:r w:rsidR="00EA6404" w:rsidRPr="0029055C">
        <w:rPr>
          <w:sz w:val="22"/>
        </w:rPr>
        <w:t xml:space="preserve">ιαγράμματα: </w:t>
      </w:r>
    </w:p>
    <w:p w14:paraId="67389B38" w14:textId="3B18E6BC" w:rsidR="00E4346B" w:rsidRPr="0029055C" w:rsidRDefault="00D12AE1" w:rsidP="00E4346B">
      <w:pPr>
        <w:keepNext/>
        <w:tabs>
          <w:tab w:val="left" w:pos="851"/>
        </w:tabs>
        <w:spacing w:line="300" w:lineRule="atLeast"/>
        <w:ind w:left="851" w:hanging="851"/>
        <w:rPr>
          <w:rFonts w:cstheme="minorHAnsi"/>
          <w:sz w:val="22"/>
        </w:rPr>
      </w:pPr>
      <w:r w:rsidRPr="0029055C">
        <w:rPr>
          <w:b/>
          <w:sz w:val="22"/>
          <w:szCs w:val="22"/>
        </w:rPr>
        <w:lastRenderedPageBreak/>
        <w:t xml:space="preserve">Διάγραμμα </w:t>
      </w:r>
      <w:r w:rsidRPr="0029055C">
        <w:rPr>
          <w:b/>
          <w:sz w:val="22"/>
          <w:szCs w:val="22"/>
        </w:rPr>
        <w:fldChar w:fldCharType="begin"/>
      </w:r>
      <w:r w:rsidRPr="0029055C">
        <w:rPr>
          <w:b/>
          <w:sz w:val="22"/>
          <w:szCs w:val="22"/>
        </w:rPr>
        <w:instrText xml:space="preserve"> SEQ Διάγραμμα \* ARABIC </w:instrText>
      </w:r>
      <w:r w:rsidRPr="0029055C">
        <w:rPr>
          <w:b/>
          <w:sz w:val="22"/>
          <w:szCs w:val="22"/>
        </w:rPr>
        <w:fldChar w:fldCharType="separate"/>
      </w:r>
      <w:r w:rsidR="00292BCA">
        <w:rPr>
          <w:b/>
          <w:noProof/>
          <w:sz w:val="22"/>
          <w:szCs w:val="22"/>
        </w:rPr>
        <w:t>6</w:t>
      </w:r>
      <w:r w:rsidRPr="0029055C">
        <w:rPr>
          <w:b/>
          <w:sz w:val="22"/>
          <w:szCs w:val="22"/>
        </w:rPr>
        <w:fldChar w:fldCharType="end"/>
      </w:r>
      <w:r w:rsidR="00E4346B" w:rsidRPr="0029055C">
        <w:rPr>
          <w:rFonts w:cstheme="minorHAnsi"/>
          <w:b/>
          <w:sz w:val="22"/>
        </w:rPr>
        <w:t>.</w:t>
      </w:r>
      <w:r w:rsidR="00E4346B" w:rsidRPr="0029055C">
        <w:rPr>
          <w:rFonts w:cstheme="minorHAnsi"/>
          <w:sz w:val="22"/>
        </w:rPr>
        <w:t xml:space="preserve"> </w:t>
      </w:r>
      <w:r w:rsidR="00E4346B" w:rsidRPr="0029055C">
        <w:t xml:space="preserve"> </w:t>
      </w:r>
      <w:r w:rsidR="00E4346B" w:rsidRPr="0029055C">
        <w:rPr>
          <w:rFonts w:cstheme="minorHAnsi"/>
          <w:sz w:val="22"/>
        </w:rPr>
        <w:t xml:space="preserve">Πρόοδος οικονομικού αντικειμένου των ΘΑ Ι, ΙΙ &amp; ΙΙΙ (ΔΔ, εκ. €) </w:t>
      </w:r>
    </w:p>
    <w:p w14:paraId="01A7902F" w14:textId="77777777" w:rsidR="00EA6404" w:rsidRPr="0029055C" w:rsidRDefault="00EA6404" w:rsidP="003054DA">
      <w:pPr>
        <w:rPr>
          <w:sz w:val="22"/>
        </w:rPr>
      </w:pPr>
      <w:r w:rsidRPr="0029055C">
        <w:rPr>
          <w:noProof/>
        </w:rPr>
        <w:drawing>
          <wp:inline distT="0" distB="0" distL="0" distR="0" wp14:anchorId="3C267B5F" wp14:editId="7A226106">
            <wp:extent cx="5759450" cy="3225800"/>
            <wp:effectExtent l="0" t="0" r="12700" b="127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4531093" w14:textId="4F08A337" w:rsidR="00E4346B" w:rsidRPr="0029055C" w:rsidRDefault="00D12AE1" w:rsidP="00E4346B">
      <w:pPr>
        <w:keepNext/>
        <w:tabs>
          <w:tab w:val="left" w:pos="851"/>
        </w:tabs>
        <w:spacing w:line="300" w:lineRule="atLeast"/>
        <w:ind w:left="851" w:hanging="851"/>
        <w:rPr>
          <w:rFonts w:cstheme="minorHAnsi"/>
          <w:sz w:val="22"/>
        </w:rPr>
      </w:pPr>
      <w:r w:rsidRPr="0029055C">
        <w:rPr>
          <w:b/>
          <w:sz w:val="22"/>
          <w:szCs w:val="22"/>
        </w:rPr>
        <w:t xml:space="preserve">Διάγραμμα </w:t>
      </w:r>
      <w:r w:rsidRPr="0029055C">
        <w:rPr>
          <w:b/>
          <w:sz w:val="22"/>
          <w:szCs w:val="22"/>
        </w:rPr>
        <w:fldChar w:fldCharType="begin"/>
      </w:r>
      <w:r w:rsidRPr="0029055C">
        <w:rPr>
          <w:b/>
          <w:sz w:val="22"/>
          <w:szCs w:val="22"/>
        </w:rPr>
        <w:instrText xml:space="preserve"> SEQ Διάγραμμα \* ARABIC </w:instrText>
      </w:r>
      <w:r w:rsidRPr="0029055C">
        <w:rPr>
          <w:b/>
          <w:sz w:val="22"/>
          <w:szCs w:val="22"/>
        </w:rPr>
        <w:fldChar w:fldCharType="separate"/>
      </w:r>
      <w:r w:rsidR="00292BCA">
        <w:rPr>
          <w:b/>
          <w:noProof/>
          <w:sz w:val="22"/>
          <w:szCs w:val="22"/>
        </w:rPr>
        <w:t>7</w:t>
      </w:r>
      <w:r w:rsidRPr="0029055C">
        <w:rPr>
          <w:b/>
          <w:sz w:val="22"/>
          <w:szCs w:val="22"/>
        </w:rPr>
        <w:fldChar w:fldCharType="end"/>
      </w:r>
      <w:r w:rsidR="00E4346B" w:rsidRPr="0029055C">
        <w:rPr>
          <w:rFonts w:cstheme="minorHAnsi"/>
          <w:b/>
          <w:sz w:val="22"/>
        </w:rPr>
        <w:t>.</w:t>
      </w:r>
      <w:r w:rsidR="00E4346B" w:rsidRPr="0029055C">
        <w:rPr>
          <w:rFonts w:cstheme="minorHAnsi"/>
          <w:sz w:val="22"/>
        </w:rPr>
        <w:t xml:space="preserve"> </w:t>
      </w:r>
      <w:r w:rsidR="00E4346B" w:rsidRPr="0029055C">
        <w:t xml:space="preserve"> </w:t>
      </w:r>
      <w:r w:rsidR="00E4346B" w:rsidRPr="0029055C">
        <w:rPr>
          <w:rFonts w:cstheme="minorHAnsi"/>
          <w:sz w:val="22"/>
        </w:rPr>
        <w:t xml:space="preserve">Πρόοδος οικονομικού αντικειμένου των ΘΑ ΙV &amp; V-Τεχνική Βοήθεια (ΔΔ, εκ. €) </w:t>
      </w:r>
    </w:p>
    <w:p w14:paraId="51AFA567" w14:textId="77777777" w:rsidR="004466BC" w:rsidRPr="0029055C" w:rsidRDefault="007461E1" w:rsidP="004466BC">
      <w:pPr>
        <w:rPr>
          <w:lang w:eastAsia="en-US"/>
        </w:rPr>
      </w:pPr>
      <w:r w:rsidRPr="0029055C">
        <w:rPr>
          <w:noProof/>
        </w:rPr>
        <w:drawing>
          <wp:inline distT="0" distB="0" distL="0" distR="0" wp14:anchorId="610A0D07" wp14:editId="22DEEFD5">
            <wp:extent cx="5759450" cy="3057754"/>
            <wp:effectExtent l="0" t="0" r="1270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A694921" w14:textId="5E32E89F" w:rsidR="007461E1" w:rsidRPr="0029055C" w:rsidRDefault="002A1EA3" w:rsidP="00856FF2">
      <w:pPr>
        <w:spacing w:line="280" w:lineRule="atLeast"/>
        <w:rPr>
          <w:sz w:val="22"/>
          <w:lang w:eastAsia="en-US"/>
        </w:rPr>
      </w:pPr>
      <w:r w:rsidRPr="0029055C">
        <w:rPr>
          <w:sz w:val="22"/>
          <w:lang w:eastAsia="en-US"/>
        </w:rPr>
        <w:t xml:space="preserve">Τα βασικά συμπεράσματα από την πορεία υλοποίησης του Προγράμματος συνοψίζονται ανά Θεματικό Άξονα </w:t>
      </w:r>
      <w:r w:rsidR="003E0E7C">
        <w:rPr>
          <w:sz w:val="22"/>
          <w:lang w:eastAsia="en-US"/>
        </w:rPr>
        <w:t xml:space="preserve">του Προγράμματος </w:t>
      </w:r>
      <w:r w:rsidRPr="0029055C">
        <w:rPr>
          <w:sz w:val="22"/>
          <w:lang w:eastAsia="en-US"/>
        </w:rPr>
        <w:t>ως ακολούθως:</w:t>
      </w:r>
    </w:p>
    <w:p w14:paraId="14275DF1" w14:textId="5DA39059" w:rsidR="00FE6D78" w:rsidRPr="0029055C" w:rsidRDefault="002A1EA3" w:rsidP="00856FF2">
      <w:pPr>
        <w:pStyle w:val="ListParagraph"/>
        <w:numPr>
          <w:ilvl w:val="0"/>
          <w:numId w:val="32"/>
        </w:numPr>
        <w:spacing w:line="280" w:lineRule="atLeast"/>
        <w:contextualSpacing w:val="0"/>
        <w:rPr>
          <w:sz w:val="22"/>
          <w:lang w:eastAsia="en-US"/>
        </w:rPr>
      </w:pPr>
      <w:r w:rsidRPr="0029055C">
        <w:rPr>
          <w:sz w:val="22"/>
          <w:lang w:eastAsia="en-US"/>
        </w:rPr>
        <w:t>Ο Θεματικός Άξονας Ι</w:t>
      </w:r>
      <w:r w:rsidR="003E0E7C">
        <w:rPr>
          <w:sz w:val="22"/>
          <w:lang w:eastAsia="en-US"/>
        </w:rPr>
        <w:t>,</w:t>
      </w:r>
      <w:r w:rsidRPr="0029055C">
        <w:rPr>
          <w:sz w:val="22"/>
          <w:lang w:eastAsia="en-US"/>
        </w:rPr>
        <w:t xml:space="preserve"> αν και ενεργοποιήθηκε σχετικά νωρίς, παρουσιάζει σημαντική υστέρηση στην υλοποίηση του, με τις πιστοποιημένες δαπάνες να καλύπτουν μόλις το 3,87</w:t>
      </w:r>
      <w:r w:rsidR="00856FF2" w:rsidRPr="0029055C">
        <w:rPr>
          <w:sz w:val="22"/>
          <w:lang w:eastAsia="en-US"/>
        </w:rPr>
        <w:t>% του διαθέσιμου προϋπολογισμού του. Η καθυστέρηση που παρατηρείται στην υλοποίηση</w:t>
      </w:r>
      <w:r w:rsidR="00846239" w:rsidRPr="0029055C">
        <w:rPr>
          <w:sz w:val="22"/>
          <w:lang w:eastAsia="en-US"/>
        </w:rPr>
        <w:t xml:space="preserve"> του ΘΑ Ι,</w:t>
      </w:r>
      <w:r w:rsidR="00856FF2" w:rsidRPr="0029055C">
        <w:rPr>
          <w:sz w:val="22"/>
          <w:lang w:eastAsia="en-US"/>
        </w:rPr>
        <w:t xml:space="preserve"> οφείλεται </w:t>
      </w:r>
      <w:r w:rsidR="00846239" w:rsidRPr="0029055C">
        <w:rPr>
          <w:sz w:val="22"/>
          <w:lang w:eastAsia="en-US"/>
        </w:rPr>
        <w:t xml:space="preserve">αφενός στο είδος / χαρακτήρα των προβλεπόμενων δράσεων, δεδομένου ότι αποτελούν συστημικές </w:t>
      </w:r>
      <w:r w:rsidR="00846239" w:rsidRPr="0029055C">
        <w:rPr>
          <w:rFonts w:ascii="Arial" w:hAnsi="Arial" w:cs="Arial"/>
          <w:bCs/>
        </w:rPr>
        <w:t>οριζόντιες δράσεις για τη μεταρρύθμιση του δημόσιου τομέα</w:t>
      </w:r>
      <w:r w:rsidR="00846239" w:rsidRPr="0029055C">
        <w:rPr>
          <w:sz w:val="22"/>
          <w:lang w:eastAsia="en-US"/>
        </w:rPr>
        <w:t xml:space="preserve"> και αφετέρου στ</w:t>
      </w:r>
      <w:r w:rsidR="00856FF2" w:rsidRPr="0029055C">
        <w:rPr>
          <w:sz w:val="22"/>
          <w:lang w:eastAsia="en-US"/>
        </w:rPr>
        <w:t>ο</w:t>
      </w:r>
      <w:r w:rsidR="00FE6D78" w:rsidRPr="0029055C">
        <w:rPr>
          <w:sz w:val="22"/>
          <w:lang w:eastAsia="en-US"/>
        </w:rPr>
        <w:t>ν επανασχεδιασμό σημαντικών έργων του Προγράμματος</w:t>
      </w:r>
      <w:r w:rsidR="00846239" w:rsidRPr="0029055C">
        <w:rPr>
          <w:sz w:val="22"/>
          <w:lang w:eastAsia="en-US"/>
        </w:rPr>
        <w:t>,</w:t>
      </w:r>
      <w:r w:rsidR="00FE6D78" w:rsidRPr="0029055C">
        <w:rPr>
          <w:sz w:val="22"/>
          <w:lang w:eastAsia="en-US"/>
        </w:rPr>
        <w:t xml:space="preserve"> τα οποία συνιστούν και δεσμεύσεις της χώρας έναντι των Θεσμών.</w:t>
      </w:r>
    </w:p>
    <w:p w14:paraId="454BB00E" w14:textId="012582AB" w:rsidR="00846239" w:rsidRPr="003E0E7C" w:rsidRDefault="002E5E32" w:rsidP="00856FF2">
      <w:pPr>
        <w:pStyle w:val="ListParagraph"/>
        <w:numPr>
          <w:ilvl w:val="0"/>
          <w:numId w:val="32"/>
        </w:numPr>
        <w:spacing w:line="280" w:lineRule="atLeast"/>
        <w:contextualSpacing w:val="0"/>
        <w:rPr>
          <w:sz w:val="22"/>
          <w:lang w:eastAsia="en-US"/>
        </w:rPr>
      </w:pPr>
      <w:r w:rsidRPr="003E0E7C">
        <w:rPr>
          <w:sz w:val="22"/>
          <w:lang w:eastAsia="en-US"/>
        </w:rPr>
        <w:lastRenderedPageBreak/>
        <w:t>Ο Θεματικός Άξονας ΙΙ παρουσιάζει σχετικ</w:t>
      </w:r>
      <w:r w:rsidR="003E0E7C" w:rsidRPr="003E0E7C">
        <w:rPr>
          <w:sz w:val="22"/>
          <w:lang w:eastAsia="en-US"/>
        </w:rPr>
        <w:t>ά ικανοποιητική</w:t>
      </w:r>
      <w:r w:rsidRPr="003E0E7C">
        <w:rPr>
          <w:sz w:val="22"/>
          <w:lang w:eastAsia="en-US"/>
        </w:rPr>
        <w:t xml:space="preserve"> πρόοδο</w:t>
      </w:r>
      <w:r w:rsidR="003E0E7C" w:rsidRPr="003E0E7C">
        <w:rPr>
          <w:sz w:val="22"/>
          <w:lang w:eastAsia="en-US"/>
        </w:rPr>
        <w:t>,</w:t>
      </w:r>
      <w:r w:rsidRPr="003E0E7C">
        <w:rPr>
          <w:sz w:val="22"/>
          <w:lang w:eastAsia="en-US"/>
        </w:rPr>
        <w:t xml:space="preserve"> η οποία οφείλεται κυρίως σε έργα phasing. Η </w:t>
      </w:r>
      <w:r w:rsidR="00F23359" w:rsidRPr="003E0E7C">
        <w:rPr>
          <w:sz w:val="22"/>
          <w:lang w:eastAsia="en-US"/>
        </w:rPr>
        <w:t xml:space="preserve">καθυστέρηση </w:t>
      </w:r>
      <w:r w:rsidRPr="003E0E7C">
        <w:rPr>
          <w:sz w:val="22"/>
          <w:lang w:eastAsia="en-US"/>
        </w:rPr>
        <w:t>ενεργοποίησης των παρεμβάσεων του ΘΑ ΙΙ,</w:t>
      </w:r>
      <w:r w:rsidR="00F23359" w:rsidRPr="003E0E7C">
        <w:rPr>
          <w:sz w:val="22"/>
          <w:lang w:eastAsia="en-US"/>
        </w:rPr>
        <w:t xml:space="preserve"> λόγω </w:t>
      </w:r>
      <w:r w:rsidRPr="003E0E7C">
        <w:rPr>
          <w:sz w:val="22"/>
          <w:lang w:eastAsia="en-US"/>
        </w:rPr>
        <w:t xml:space="preserve">αντίστοιχων καθυστερήσεων για την πλήρωση </w:t>
      </w:r>
      <w:r w:rsidR="00893791" w:rsidRPr="003E0E7C">
        <w:rPr>
          <w:sz w:val="22"/>
          <w:lang w:eastAsia="en-US"/>
        </w:rPr>
        <w:t>των εκ των προτέρων αιρεσιμοτήτων του Θεματικού Στόχου 2 και, κυρίως της εκ των προτέρων αιρεσιμότητας 2.1 «Ψηφιακή Ανάπτυξη»</w:t>
      </w:r>
      <w:r w:rsidR="00F23359" w:rsidRPr="003E0E7C">
        <w:rPr>
          <w:sz w:val="22"/>
          <w:lang w:eastAsia="en-US"/>
        </w:rPr>
        <w:t xml:space="preserve">, </w:t>
      </w:r>
      <w:r w:rsidR="00893791" w:rsidRPr="003E0E7C">
        <w:rPr>
          <w:sz w:val="22"/>
          <w:lang w:eastAsia="en-US"/>
        </w:rPr>
        <w:t>δημιούργησε μια μακριά λίστα έργων προς εξειδίκευση</w:t>
      </w:r>
      <w:r w:rsidR="003E0E7C" w:rsidRPr="003E0E7C">
        <w:rPr>
          <w:sz w:val="22"/>
          <w:lang w:eastAsia="en-US"/>
        </w:rPr>
        <w:t xml:space="preserve">, </w:t>
      </w:r>
      <w:r w:rsidR="00FF3E15" w:rsidRPr="003E0E7C">
        <w:rPr>
          <w:sz w:val="22"/>
          <w:lang w:eastAsia="en-US"/>
        </w:rPr>
        <w:t>η οποία πλέον χρήζει εξυγίανσης, καθώς περιλαμβάνει και προτάσεις παρελθόντων ετών, οι οποίες θα</w:t>
      </w:r>
      <w:r w:rsidR="003E0E7C" w:rsidRPr="003E0E7C">
        <w:rPr>
          <w:sz w:val="22"/>
          <w:lang w:eastAsia="en-US"/>
        </w:rPr>
        <w:t xml:space="preserve"> πρέπει πιθανώς να αναθεωρηθούν</w:t>
      </w:r>
      <w:r w:rsidR="00893791" w:rsidRPr="003E0E7C">
        <w:rPr>
          <w:sz w:val="22"/>
          <w:lang w:eastAsia="en-US"/>
        </w:rPr>
        <w:t xml:space="preserve">. Οι εκκρεμότητες </w:t>
      </w:r>
      <w:r w:rsidR="00FF3E15" w:rsidRPr="003E0E7C">
        <w:rPr>
          <w:sz w:val="22"/>
          <w:lang w:eastAsia="en-US"/>
        </w:rPr>
        <w:t xml:space="preserve">ενεργοποίησης των σχετικών παρεμβάσεων </w:t>
      </w:r>
      <w:r w:rsidR="00893791" w:rsidRPr="003E0E7C">
        <w:rPr>
          <w:sz w:val="22"/>
          <w:lang w:eastAsia="en-US"/>
        </w:rPr>
        <w:t xml:space="preserve">επιβαρύνθηκαν περαιτέρω από την εφαρμογή της νέας διαδικασίας </w:t>
      </w:r>
      <w:r w:rsidR="00FF3E15" w:rsidRPr="003E0E7C">
        <w:rPr>
          <w:sz w:val="22"/>
          <w:lang w:eastAsia="en-US"/>
        </w:rPr>
        <w:t xml:space="preserve">εξέτασης τους (ή επανεξέτασης τους, αν επρόκειτο για ήδη εξειδικευμένες δράσεις) και της </w:t>
      </w:r>
      <w:r w:rsidR="00893791" w:rsidRPr="003E0E7C">
        <w:rPr>
          <w:sz w:val="22"/>
          <w:lang w:eastAsia="en-US"/>
        </w:rPr>
        <w:t xml:space="preserve">έγκρισης </w:t>
      </w:r>
      <w:r w:rsidR="00FF3E15" w:rsidRPr="003E0E7C">
        <w:rPr>
          <w:sz w:val="22"/>
          <w:lang w:eastAsia="en-US"/>
        </w:rPr>
        <w:t>τους</w:t>
      </w:r>
      <w:r w:rsidR="00893791" w:rsidRPr="003E0E7C">
        <w:rPr>
          <w:sz w:val="22"/>
          <w:lang w:eastAsia="en-US"/>
        </w:rPr>
        <w:t xml:space="preserve"> από τη Γενική Γραμματεία Ψηφιακής Πολιτικής, η οποία ως νέα δομή, δεν είχε διαθέσιμο τον απαραίτητο χρόνο για την οργάνωση της λειτουργίας της, ώστε να ανταποκρίνεται εγκαίρως στα σχετικά αιτήματα των φορέων.  </w:t>
      </w:r>
    </w:p>
    <w:p w14:paraId="03ADEA32" w14:textId="77777777" w:rsidR="002A1EA3" w:rsidRPr="0029055C" w:rsidRDefault="006C2522" w:rsidP="00856FF2">
      <w:pPr>
        <w:pStyle w:val="ListParagraph"/>
        <w:numPr>
          <w:ilvl w:val="0"/>
          <w:numId w:val="32"/>
        </w:numPr>
        <w:spacing w:line="280" w:lineRule="atLeast"/>
        <w:contextualSpacing w:val="0"/>
        <w:rPr>
          <w:sz w:val="22"/>
          <w:lang w:eastAsia="en-US"/>
        </w:rPr>
      </w:pPr>
      <w:r w:rsidRPr="0029055C">
        <w:rPr>
          <w:sz w:val="22"/>
          <w:lang w:eastAsia="en-US"/>
        </w:rPr>
        <w:t>Ο Θεματικός Άξονας ΙΙΙ παρουσιάζει ικανοποιητική πρόοδο με εντάξεις έργων που αντιστοιχούν στο 70% περίπου του διαθέσιμου προϋπολογισμού του, εκ των οποίων το 75,6% του π/υ τους έχει συμβασιοποιηθεί (53,35% του διαθέσιμου π/υ του ΘΑ), ενώ οι πιστοποιημένες δαπάνες ανέρχονται σε 41,15 εκ. €, ποσό που αντιστοιχεί στο 67,45% του π/υ των ενταγμένων έργων, στο 51% του π/υ των συμβασιοποιημένων έργων και το 36% του π/υ του ΘΑ.</w:t>
      </w:r>
      <w:r w:rsidR="00856FF2" w:rsidRPr="0029055C">
        <w:rPr>
          <w:sz w:val="22"/>
          <w:lang w:eastAsia="en-US"/>
        </w:rPr>
        <w:t xml:space="preserve"> </w:t>
      </w:r>
    </w:p>
    <w:p w14:paraId="41FE433A" w14:textId="09218243" w:rsidR="00F23359" w:rsidRPr="006B2A4F" w:rsidRDefault="003E0E7C" w:rsidP="00856FF2">
      <w:pPr>
        <w:pStyle w:val="ListParagraph"/>
        <w:numPr>
          <w:ilvl w:val="0"/>
          <w:numId w:val="32"/>
        </w:numPr>
        <w:spacing w:line="280" w:lineRule="atLeast"/>
        <w:contextualSpacing w:val="0"/>
        <w:rPr>
          <w:sz w:val="22"/>
          <w:lang w:eastAsia="en-US"/>
        </w:rPr>
      </w:pPr>
      <w:r w:rsidRPr="006B2A4F">
        <w:rPr>
          <w:sz w:val="22"/>
          <w:lang w:eastAsia="en-US"/>
        </w:rPr>
        <w:t>Οι Θεματικοί Άξονες της Τεχνικής Βοήθειας του Προγράμματος (</w:t>
      </w:r>
      <w:r w:rsidRPr="006B2A4F">
        <w:rPr>
          <w:sz w:val="22"/>
          <w:lang w:val="en-US" w:eastAsia="en-US"/>
        </w:rPr>
        <w:t>IV</w:t>
      </w:r>
      <w:r w:rsidRPr="006B2A4F">
        <w:rPr>
          <w:sz w:val="22"/>
          <w:lang w:eastAsia="en-US"/>
        </w:rPr>
        <w:t xml:space="preserve"> και </w:t>
      </w:r>
      <w:r w:rsidRPr="006B2A4F">
        <w:rPr>
          <w:sz w:val="22"/>
          <w:lang w:val="en-US" w:eastAsia="en-US"/>
        </w:rPr>
        <w:t>V</w:t>
      </w:r>
      <w:r w:rsidRPr="006B2A4F">
        <w:rPr>
          <w:sz w:val="22"/>
          <w:lang w:eastAsia="en-US"/>
        </w:rPr>
        <w:t xml:space="preserve">) παρουσιάζουν σχετική υστέρηση στην εφαρμογή τους, με  το ΘΑ της Τεχνικής Υποστήριξης για την υλοποίηση των δράσεων ΕΤΠΑ του ΕΠ </w:t>
      </w:r>
      <w:r w:rsidR="006B2A4F" w:rsidRPr="006B2A4F">
        <w:rPr>
          <w:sz w:val="22"/>
          <w:lang w:eastAsia="en-US"/>
        </w:rPr>
        <w:t xml:space="preserve">(ΘΑ </w:t>
      </w:r>
      <w:r w:rsidR="006B2A4F" w:rsidRPr="006B2A4F">
        <w:rPr>
          <w:sz w:val="22"/>
          <w:lang w:val="en-US" w:eastAsia="en-US"/>
        </w:rPr>
        <w:t>V</w:t>
      </w:r>
      <w:r w:rsidR="006B2A4F" w:rsidRPr="006B2A4F">
        <w:rPr>
          <w:sz w:val="22"/>
          <w:lang w:eastAsia="en-US"/>
        </w:rPr>
        <w:t xml:space="preserve">) </w:t>
      </w:r>
      <w:r w:rsidRPr="006B2A4F">
        <w:rPr>
          <w:sz w:val="22"/>
          <w:lang w:eastAsia="en-US"/>
        </w:rPr>
        <w:t xml:space="preserve">να παρουσιάζει χαμηλότερη πρόοδο σε όλους σχεδόν τους επιμέρους δείκτες προόδου (εντάξεις, συμβασιοποίηση, απορρόφηση), λόγω </w:t>
      </w:r>
      <w:r w:rsidR="006B2A4F" w:rsidRPr="006B2A4F">
        <w:rPr>
          <w:sz w:val="22"/>
          <w:lang w:eastAsia="en-US"/>
        </w:rPr>
        <w:t>της σύνδεσής του με την εκπλήρωση της αιρεσιμότητας 2.1.</w:t>
      </w:r>
    </w:p>
    <w:sectPr w:rsidR="00F23359" w:rsidRPr="006B2A4F" w:rsidSect="00037A41">
      <w:headerReference w:type="default" r:id="rId47"/>
      <w:footerReference w:type="default" r:id="rId48"/>
      <w:pgSz w:w="11906" w:h="16838" w:code="9"/>
      <w:pgMar w:top="1814" w:right="1418" w:bottom="1134"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3EF01" w14:textId="77777777" w:rsidR="00292BCA" w:rsidRDefault="00292BCA" w:rsidP="00782933">
      <w:pPr>
        <w:spacing w:after="0"/>
      </w:pPr>
      <w:r>
        <w:separator/>
      </w:r>
    </w:p>
    <w:p w14:paraId="79A4A678" w14:textId="77777777" w:rsidR="00292BCA" w:rsidRDefault="00292BCA"/>
    <w:p w14:paraId="3C9330C5" w14:textId="77777777" w:rsidR="00292BCA" w:rsidRDefault="00292BCA"/>
  </w:endnote>
  <w:endnote w:type="continuationSeparator" w:id="0">
    <w:p w14:paraId="4E4DD26F" w14:textId="77777777" w:rsidR="00292BCA" w:rsidRDefault="00292BCA" w:rsidP="00782933">
      <w:pPr>
        <w:spacing w:after="0"/>
      </w:pPr>
      <w:r>
        <w:continuationSeparator/>
      </w:r>
    </w:p>
    <w:p w14:paraId="1A8ED2C1" w14:textId="77777777" w:rsidR="00292BCA" w:rsidRDefault="00292BCA"/>
    <w:p w14:paraId="7437F533" w14:textId="77777777" w:rsidR="00292BCA" w:rsidRDefault="00292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EE"/>
    <w:family w:val="auto"/>
    <w:notTrueType/>
    <w:pitch w:val="default"/>
    <w:sig w:usb0="00000001" w:usb1="00000000" w:usb2="00000000" w:usb3="00000000" w:csb0="0000000B"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altName w:val="Cambria"/>
    <w:panose1 w:val="02040503050406030204"/>
    <w:charset w:val="A1"/>
    <w:family w:val="roman"/>
    <w:pitch w:val="variable"/>
    <w:sig w:usb0="E00006FF" w:usb1="420024FF" w:usb2="02000000" w:usb3="00000000" w:csb0="0000019F" w:csb1="00000000"/>
  </w:font>
  <w:font w:name="UB-Helvetica">
    <w:altName w:val="Times New Roman"/>
    <w:charset w:val="00"/>
    <w:family w:val="auto"/>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A1"/>
    <w:family w:val="auto"/>
    <w:notTrueType/>
    <w:pitch w:val="default"/>
    <w:sig w:usb0="00000083" w:usb1="08070000" w:usb2="00000010" w:usb3="00000000" w:csb0="00020009"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A8C8F" w14:textId="77777777" w:rsidR="00292BCA" w:rsidRPr="00066AA0" w:rsidRDefault="00292BCA" w:rsidP="00066AA0">
    <w:pPr>
      <w:pStyle w:val="Footer"/>
      <w:spacing w:before="0" w:line="240" w:lineRule="auto"/>
      <w:rPr>
        <w:sz w:val="6"/>
        <w:szCs w:val="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4666"/>
      <w:gridCol w:w="4668"/>
      <w:gridCol w:w="4668"/>
    </w:tblGrid>
    <w:tr w:rsidR="00292BCA" w:rsidRPr="004D4CD9" w14:paraId="1353174F" w14:textId="77777777" w:rsidTr="004D4CD9">
      <w:tc>
        <w:tcPr>
          <w:tcW w:w="1666" w:type="pct"/>
          <w:vAlign w:val="center"/>
        </w:tcPr>
        <w:p w14:paraId="68D8BB59"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3720726F" wp14:editId="72D2D467">
                <wp:extent cx="1010323" cy="216000"/>
                <wp:effectExtent l="0" t="0" r="0" b="0"/>
                <wp:docPr id="326" name="Picture 326"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5D9831C0"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32B98C96" w14:textId="77777777" w:rsidR="00292BCA" w:rsidRPr="004D4CD9" w:rsidRDefault="00292BCA" w:rsidP="00066AA0">
          <w:pPr>
            <w:pStyle w:val="Footer"/>
            <w:spacing w:before="0" w:line="240" w:lineRule="auto"/>
            <w:jc w:val="right"/>
            <w:rPr>
              <w:color w:val="31849B" w:themeColor="accent5" w:themeShade="BF"/>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49</w:t>
          </w:r>
          <w:r w:rsidRPr="004D4CD9">
            <w:rPr>
              <w:b/>
              <w:color w:val="31849B" w:themeColor="accent5" w:themeShade="BF"/>
              <w:sz w:val="16"/>
              <w:szCs w:val="16"/>
            </w:rPr>
            <w:fldChar w:fldCharType="end"/>
          </w:r>
        </w:p>
      </w:tc>
    </w:tr>
  </w:tbl>
  <w:p w14:paraId="75B1E9BE" w14:textId="77777777" w:rsidR="00292BCA" w:rsidRDefault="00292BCA" w:rsidP="006206A7">
    <w:pPr>
      <w:spacing w:before="0" w:after="0" w:line="240" w:lineRule="auto"/>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3022"/>
      <w:gridCol w:w="3024"/>
      <w:gridCol w:w="3024"/>
    </w:tblGrid>
    <w:tr w:rsidR="00292BCA" w:rsidRPr="004D4CD9" w14:paraId="2DC4CDFF" w14:textId="77777777" w:rsidTr="004D4CD9">
      <w:tc>
        <w:tcPr>
          <w:tcW w:w="1666" w:type="pct"/>
          <w:vAlign w:val="center"/>
        </w:tcPr>
        <w:p w14:paraId="75293F7D"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77172A3C" wp14:editId="4EBC246D">
                <wp:extent cx="1010323" cy="216000"/>
                <wp:effectExtent l="0" t="0" r="0" b="0"/>
                <wp:docPr id="327" name="Picture 327"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4A75A355"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1E07D6B6" w14:textId="77777777" w:rsidR="00292BCA" w:rsidRPr="004D4CD9" w:rsidRDefault="00292BCA" w:rsidP="00066AA0">
          <w:pPr>
            <w:pStyle w:val="Footer"/>
            <w:spacing w:before="0" w:line="240" w:lineRule="auto"/>
            <w:jc w:val="right"/>
            <w:rPr>
              <w:color w:val="31849B" w:themeColor="accent5" w:themeShade="BF"/>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54</w:t>
          </w:r>
          <w:r w:rsidRPr="004D4CD9">
            <w:rPr>
              <w:b/>
              <w:color w:val="31849B" w:themeColor="accent5" w:themeShade="BF"/>
              <w:sz w:val="16"/>
              <w:szCs w:val="16"/>
            </w:rPr>
            <w:fldChar w:fldCharType="end"/>
          </w:r>
        </w:p>
      </w:tc>
    </w:tr>
  </w:tbl>
  <w:p w14:paraId="721F8D38" w14:textId="77777777" w:rsidR="00292BCA" w:rsidRDefault="00292BCA" w:rsidP="006206A7">
    <w:pPr>
      <w:spacing w:before="0" w:after="0" w:line="240"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4666"/>
      <w:gridCol w:w="4668"/>
      <w:gridCol w:w="4668"/>
    </w:tblGrid>
    <w:tr w:rsidR="00292BCA" w:rsidRPr="004D4CD9" w14:paraId="32C081D9" w14:textId="77777777" w:rsidTr="004D4CD9">
      <w:tc>
        <w:tcPr>
          <w:tcW w:w="1666" w:type="pct"/>
          <w:vAlign w:val="center"/>
        </w:tcPr>
        <w:p w14:paraId="236E0C0B"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626D9ADF" wp14:editId="21DB471D">
                <wp:extent cx="1010323" cy="216000"/>
                <wp:effectExtent l="0" t="0" r="0" b="0"/>
                <wp:docPr id="328" name="Picture 328"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4FD0D504"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1988DE2F" w14:textId="77777777" w:rsidR="00292BCA" w:rsidRPr="004D4CD9" w:rsidRDefault="00292BCA" w:rsidP="00066AA0">
          <w:pPr>
            <w:pStyle w:val="Footer"/>
            <w:spacing w:before="0" w:line="240" w:lineRule="auto"/>
            <w:jc w:val="right"/>
            <w:rPr>
              <w:color w:val="31849B" w:themeColor="accent5" w:themeShade="BF"/>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55</w:t>
          </w:r>
          <w:r w:rsidRPr="004D4CD9">
            <w:rPr>
              <w:b/>
              <w:color w:val="31849B" w:themeColor="accent5" w:themeShade="BF"/>
              <w:sz w:val="16"/>
              <w:szCs w:val="16"/>
            </w:rPr>
            <w:fldChar w:fldCharType="end"/>
          </w:r>
        </w:p>
      </w:tc>
    </w:tr>
  </w:tbl>
  <w:p w14:paraId="1E423455" w14:textId="77777777" w:rsidR="00292BCA" w:rsidRDefault="00292BCA" w:rsidP="006206A7">
    <w:pPr>
      <w:spacing w:before="0" w:after="0" w:line="240" w:lineRule="auto"/>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3022"/>
      <w:gridCol w:w="3024"/>
      <w:gridCol w:w="3024"/>
    </w:tblGrid>
    <w:tr w:rsidR="00292BCA" w:rsidRPr="004D4CD9" w14:paraId="13708FB3" w14:textId="77777777" w:rsidTr="004D4CD9">
      <w:tc>
        <w:tcPr>
          <w:tcW w:w="1666" w:type="pct"/>
          <w:vAlign w:val="center"/>
        </w:tcPr>
        <w:p w14:paraId="5FADB650"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7BAD9A01" wp14:editId="4DFA1B90">
                <wp:extent cx="1010323" cy="216000"/>
                <wp:effectExtent l="0" t="0" r="0" b="0"/>
                <wp:docPr id="329" name="Picture 329"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26381160"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4FFF6272" w14:textId="77777777" w:rsidR="00292BCA" w:rsidRPr="004D4CD9" w:rsidRDefault="00292BCA" w:rsidP="00066AA0">
          <w:pPr>
            <w:pStyle w:val="Footer"/>
            <w:spacing w:before="0" w:line="240" w:lineRule="auto"/>
            <w:jc w:val="right"/>
            <w:rPr>
              <w:color w:val="31849B" w:themeColor="accent5" w:themeShade="BF"/>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58</w:t>
          </w:r>
          <w:r w:rsidRPr="004D4CD9">
            <w:rPr>
              <w:b/>
              <w:color w:val="31849B" w:themeColor="accent5" w:themeShade="BF"/>
              <w:sz w:val="16"/>
              <w:szCs w:val="16"/>
            </w:rPr>
            <w:fldChar w:fldCharType="end"/>
          </w:r>
        </w:p>
      </w:tc>
    </w:tr>
  </w:tbl>
  <w:p w14:paraId="60458929" w14:textId="77777777" w:rsidR="00292BCA" w:rsidRDefault="00292BCA" w:rsidP="006206A7">
    <w:pPr>
      <w:spacing w:before="0" w:after="0" w:line="240" w:lineRule="auto"/>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4666"/>
      <w:gridCol w:w="4668"/>
      <w:gridCol w:w="4668"/>
    </w:tblGrid>
    <w:tr w:rsidR="00292BCA" w:rsidRPr="004D4CD9" w14:paraId="3E380D99" w14:textId="77777777" w:rsidTr="004D4CD9">
      <w:tc>
        <w:tcPr>
          <w:tcW w:w="1666" w:type="pct"/>
          <w:vAlign w:val="center"/>
        </w:tcPr>
        <w:p w14:paraId="5F95598A"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3CF6F06F" wp14:editId="6872AB0A">
                <wp:extent cx="1010323" cy="216000"/>
                <wp:effectExtent l="0" t="0" r="0" b="0"/>
                <wp:docPr id="330" name="Picture 330"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7F98DCD2"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265C4E64" w14:textId="77777777" w:rsidR="00292BCA" w:rsidRPr="004D4CD9" w:rsidRDefault="00292BCA" w:rsidP="00066AA0">
          <w:pPr>
            <w:pStyle w:val="Footer"/>
            <w:spacing w:before="0" w:line="240" w:lineRule="auto"/>
            <w:jc w:val="right"/>
            <w:rPr>
              <w:color w:val="31849B" w:themeColor="accent5" w:themeShade="BF"/>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59</w:t>
          </w:r>
          <w:r w:rsidRPr="004D4CD9">
            <w:rPr>
              <w:b/>
              <w:color w:val="31849B" w:themeColor="accent5" w:themeShade="BF"/>
              <w:sz w:val="16"/>
              <w:szCs w:val="16"/>
            </w:rPr>
            <w:fldChar w:fldCharType="end"/>
          </w:r>
        </w:p>
      </w:tc>
    </w:tr>
  </w:tbl>
  <w:p w14:paraId="076E7410" w14:textId="77777777" w:rsidR="00292BCA" w:rsidRDefault="00292BCA" w:rsidP="006206A7">
    <w:pPr>
      <w:spacing w:before="0" w:after="0" w:line="240" w:lineRule="auto"/>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3022"/>
      <w:gridCol w:w="3024"/>
      <w:gridCol w:w="3024"/>
    </w:tblGrid>
    <w:tr w:rsidR="00292BCA" w:rsidRPr="004D4CD9" w14:paraId="2337314D" w14:textId="77777777" w:rsidTr="004D4CD9">
      <w:tc>
        <w:tcPr>
          <w:tcW w:w="1666" w:type="pct"/>
          <w:vAlign w:val="center"/>
        </w:tcPr>
        <w:p w14:paraId="304C5EF8"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2410B562" wp14:editId="300B2474">
                <wp:extent cx="1010323" cy="216000"/>
                <wp:effectExtent l="0" t="0" r="0" b="0"/>
                <wp:docPr id="337" name="Picture 337"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7CE41D1E"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563DFD9C" w14:textId="77777777" w:rsidR="00292BCA" w:rsidRPr="004D4CD9" w:rsidRDefault="00292BCA" w:rsidP="00066AA0">
          <w:pPr>
            <w:pStyle w:val="Footer"/>
            <w:spacing w:before="0" w:line="240" w:lineRule="auto"/>
            <w:jc w:val="right"/>
            <w:rPr>
              <w:color w:val="31849B" w:themeColor="accent5" w:themeShade="BF"/>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64</w:t>
          </w:r>
          <w:r w:rsidRPr="004D4CD9">
            <w:rPr>
              <w:b/>
              <w:color w:val="31849B" w:themeColor="accent5" w:themeShade="BF"/>
              <w:sz w:val="16"/>
              <w:szCs w:val="16"/>
            </w:rPr>
            <w:fldChar w:fldCharType="end"/>
          </w:r>
        </w:p>
      </w:tc>
    </w:tr>
  </w:tbl>
  <w:p w14:paraId="176B1278" w14:textId="77777777" w:rsidR="00292BCA" w:rsidRDefault="00292BCA" w:rsidP="006206A7">
    <w:pPr>
      <w:spacing w:before="0"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2976"/>
      <w:gridCol w:w="2977"/>
      <w:gridCol w:w="2977"/>
    </w:tblGrid>
    <w:tr w:rsidR="00292BCA" w:rsidRPr="00066AA0" w14:paraId="78D3A95A" w14:textId="77777777" w:rsidTr="004D4CD9">
      <w:tc>
        <w:tcPr>
          <w:tcW w:w="1666" w:type="pct"/>
          <w:vAlign w:val="center"/>
        </w:tcPr>
        <w:p w14:paraId="14B488CD"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3A7B84C2" wp14:editId="2FA0CA70">
                <wp:extent cx="1010323" cy="216000"/>
                <wp:effectExtent l="0" t="0" r="0" b="0"/>
                <wp:docPr id="310" name="Picture 35"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6CF0DB10"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6F10F6A9" w14:textId="77777777" w:rsidR="00292BCA" w:rsidRPr="00F85187" w:rsidRDefault="00292BCA" w:rsidP="00066AA0">
          <w:pPr>
            <w:pStyle w:val="Footer"/>
            <w:spacing w:before="0" w:line="240" w:lineRule="auto"/>
            <w:jc w:val="right"/>
            <w:rPr>
              <w:color w:val="0070C0"/>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i</w:t>
          </w:r>
          <w:r w:rsidRPr="004D4CD9">
            <w:rPr>
              <w:b/>
              <w:color w:val="31849B" w:themeColor="accent5" w:themeShade="BF"/>
              <w:sz w:val="16"/>
              <w:szCs w:val="16"/>
            </w:rPr>
            <w:fldChar w:fldCharType="end"/>
          </w:r>
        </w:p>
      </w:tc>
    </w:tr>
  </w:tbl>
  <w:p w14:paraId="6B14DA8D" w14:textId="77777777" w:rsidR="00292BCA" w:rsidRPr="00066AA0" w:rsidRDefault="00292BCA" w:rsidP="00066AA0">
    <w:pPr>
      <w:pStyle w:val="Footer"/>
      <w:spacing w:before="0" w:line="240" w:lineRule="auto"/>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3022"/>
      <w:gridCol w:w="3024"/>
      <w:gridCol w:w="3024"/>
    </w:tblGrid>
    <w:tr w:rsidR="00292BCA" w:rsidRPr="004D4CD9" w14:paraId="18B189AD" w14:textId="77777777" w:rsidTr="004D4CD9">
      <w:tc>
        <w:tcPr>
          <w:tcW w:w="1666" w:type="pct"/>
          <w:vAlign w:val="center"/>
        </w:tcPr>
        <w:p w14:paraId="25A90F1F"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4682FADC" wp14:editId="29DEB166">
                <wp:extent cx="1010323" cy="216000"/>
                <wp:effectExtent l="0" t="0" r="0" b="0"/>
                <wp:docPr id="5" name="Picture 5"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61B5EAFB"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1B048D68" w14:textId="77777777" w:rsidR="00292BCA" w:rsidRPr="004D4CD9" w:rsidRDefault="00292BCA" w:rsidP="00066AA0">
          <w:pPr>
            <w:pStyle w:val="Footer"/>
            <w:spacing w:before="0" w:line="240" w:lineRule="auto"/>
            <w:jc w:val="right"/>
            <w:rPr>
              <w:color w:val="31849B" w:themeColor="accent5" w:themeShade="BF"/>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1</w:t>
          </w:r>
          <w:r w:rsidRPr="004D4CD9">
            <w:rPr>
              <w:b/>
              <w:color w:val="31849B" w:themeColor="accent5" w:themeShade="BF"/>
              <w:sz w:val="16"/>
              <w:szCs w:val="16"/>
            </w:rPr>
            <w:fldChar w:fldCharType="end"/>
          </w:r>
        </w:p>
      </w:tc>
    </w:tr>
  </w:tbl>
  <w:p w14:paraId="6DFB82D8" w14:textId="77777777" w:rsidR="00292BCA" w:rsidRDefault="00292BCA" w:rsidP="006206A7">
    <w:pPr>
      <w:spacing w:before="0"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4666"/>
      <w:gridCol w:w="4668"/>
      <w:gridCol w:w="4668"/>
    </w:tblGrid>
    <w:tr w:rsidR="00292BCA" w:rsidRPr="004D4CD9" w14:paraId="66568DF6" w14:textId="77777777" w:rsidTr="004D4CD9">
      <w:tc>
        <w:tcPr>
          <w:tcW w:w="1666" w:type="pct"/>
          <w:vAlign w:val="center"/>
        </w:tcPr>
        <w:p w14:paraId="37C23487"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4C020296" wp14:editId="042A0C76">
                <wp:extent cx="1010323" cy="216000"/>
                <wp:effectExtent l="0" t="0" r="0" b="0"/>
                <wp:docPr id="312" name="Picture 312"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3066015A"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544E9929" w14:textId="77777777" w:rsidR="00292BCA" w:rsidRPr="004D4CD9" w:rsidRDefault="00292BCA" w:rsidP="00066AA0">
          <w:pPr>
            <w:pStyle w:val="Footer"/>
            <w:spacing w:before="0" w:line="240" w:lineRule="auto"/>
            <w:jc w:val="right"/>
            <w:rPr>
              <w:color w:val="31849B" w:themeColor="accent5" w:themeShade="BF"/>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30</w:t>
          </w:r>
          <w:r w:rsidRPr="004D4CD9">
            <w:rPr>
              <w:b/>
              <w:color w:val="31849B" w:themeColor="accent5" w:themeShade="BF"/>
              <w:sz w:val="16"/>
              <w:szCs w:val="16"/>
            </w:rPr>
            <w:fldChar w:fldCharType="end"/>
          </w:r>
        </w:p>
      </w:tc>
    </w:tr>
  </w:tbl>
  <w:p w14:paraId="21910EEE" w14:textId="77777777" w:rsidR="00292BCA" w:rsidRDefault="00292BCA" w:rsidP="006206A7">
    <w:pPr>
      <w:spacing w:before="0" w:after="0" w:line="240"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3022"/>
      <w:gridCol w:w="3024"/>
      <w:gridCol w:w="3024"/>
    </w:tblGrid>
    <w:tr w:rsidR="00292BCA" w:rsidRPr="004D4CD9" w14:paraId="6507A63E" w14:textId="77777777" w:rsidTr="004D4CD9">
      <w:tc>
        <w:tcPr>
          <w:tcW w:w="1666" w:type="pct"/>
          <w:vAlign w:val="center"/>
        </w:tcPr>
        <w:p w14:paraId="4A5FE712"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3FCD1631" wp14:editId="39D92CDE">
                <wp:extent cx="1010323" cy="216000"/>
                <wp:effectExtent l="0" t="0" r="0" b="0"/>
                <wp:docPr id="313" name="Picture 313"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5C3068D7"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4832EF00" w14:textId="77777777" w:rsidR="00292BCA" w:rsidRPr="004D4CD9" w:rsidRDefault="00292BCA" w:rsidP="00066AA0">
          <w:pPr>
            <w:pStyle w:val="Footer"/>
            <w:spacing w:before="0" w:line="240" w:lineRule="auto"/>
            <w:jc w:val="right"/>
            <w:rPr>
              <w:color w:val="31849B" w:themeColor="accent5" w:themeShade="BF"/>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33</w:t>
          </w:r>
          <w:r w:rsidRPr="004D4CD9">
            <w:rPr>
              <w:b/>
              <w:color w:val="31849B" w:themeColor="accent5" w:themeShade="BF"/>
              <w:sz w:val="16"/>
              <w:szCs w:val="16"/>
            </w:rPr>
            <w:fldChar w:fldCharType="end"/>
          </w:r>
        </w:p>
      </w:tc>
    </w:tr>
  </w:tbl>
  <w:p w14:paraId="71819128" w14:textId="77777777" w:rsidR="00292BCA" w:rsidRDefault="00292BCA" w:rsidP="006206A7">
    <w:pPr>
      <w:spacing w:before="0" w:after="0" w:line="240"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4666"/>
      <w:gridCol w:w="4668"/>
      <w:gridCol w:w="4668"/>
    </w:tblGrid>
    <w:tr w:rsidR="00292BCA" w:rsidRPr="004D4CD9" w14:paraId="280BF58F" w14:textId="77777777" w:rsidTr="004D4CD9">
      <w:tc>
        <w:tcPr>
          <w:tcW w:w="1666" w:type="pct"/>
          <w:vAlign w:val="center"/>
        </w:tcPr>
        <w:p w14:paraId="2680D7FA"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1EC7B24E" wp14:editId="6E100EEF">
                <wp:extent cx="1010323" cy="216000"/>
                <wp:effectExtent l="0" t="0" r="0" b="0"/>
                <wp:docPr id="314" name="Picture 314"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37EA587A"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3451252D" w14:textId="77777777" w:rsidR="00292BCA" w:rsidRPr="004D4CD9" w:rsidRDefault="00292BCA" w:rsidP="00066AA0">
          <w:pPr>
            <w:pStyle w:val="Footer"/>
            <w:spacing w:before="0" w:line="240" w:lineRule="auto"/>
            <w:jc w:val="right"/>
            <w:rPr>
              <w:color w:val="31849B" w:themeColor="accent5" w:themeShade="BF"/>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34</w:t>
          </w:r>
          <w:r w:rsidRPr="004D4CD9">
            <w:rPr>
              <w:b/>
              <w:color w:val="31849B" w:themeColor="accent5" w:themeShade="BF"/>
              <w:sz w:val="16"/>
              <w:szCs w:val="16"/>
            </w:rPr>
            <w:fldChar w:fldCharType="end"/>
          </w:r>
        </w:p>
      </w:tc>
    </w:tr>
  </w:tbl>
  <w:p w14:paraId="6DD829FE" w14:textId="77777777" w:rsidR="00292BCA" w:rsidRDefault="00292BCA" w:rsidP="006206A7">
    <w:pPr>
      <w:spacing w:before="0" w:after="0" w:line="240"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3022"/>
      <w:gridCol w:w="3024"/>
      <w:gridCol w:w="3024"/>
    </w:tblGrid>
    <w:tr w:rsidR="00292BCA" w:rsidRPr="004D4CD9" w14:paraId="29EF66D7" w14:textId="77777777" w:rsidTr="004D4CD9">
      <w:tc>
        <w:tcPr>
          <w:tcW w:w="1666" w:type="pct"/>
          <w:vAlign w:val="center"/>
        </w:tcPr>
        <w:p w14:paraId="2FE95B52"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5B3393A6" wp14:editId="64B42DE1">
                <wp:extent cx="1010323" cy="216000"/>
                <wp:effectExtent l="0" t="0" r="0" b="0"/>
                <wp:docPr id="315" name="Picture 315"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2661248B"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77C3B478" w14:textId="77777777" w:rsidR="00292BCA" w:rsidRPr="004D4CD9" w:rsidRDefault="00292BCA" w:rsidP="00066AA0">
          <w:pPr>
            <w:pStyle w:val="Footer"/>
            <w:spacing w:before="0" w:line="240" w:lineRule="auto"/>
            <w:jc w:val="right"/>
            <w:rPr>
              <w:color w:val="31849B" w:themeColor="accent5" w:themeShade="BF"/>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42</w:t>
          </w:r>
          <w:r w:rsidRPr="004D4CD9">
            <w:rPr>
              <w:b/>
              <w:color w:val="31849B" w:themeColor="accent5" w:themeShade="BF"/>
              <w:sz w:val="16"/>
              <w:szCs w:val="16"/>
            </w:rPr>
            <w:fldChar w:fldCharType="end"/>
          </w:r>
        </w:p>
      </w:tc>
    </w:tr>
  </w:tbl>
  <w:p w14:paraId="60491AB3" w14:textId="77777777" w:rsidR="00292BCA" w:rsidRDefault="00292BCA" w:rsidP="006206A7">
    <w:pPr>
      <w:spacing w:before="0" w:after="0" w:line="240"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4666"/>
      <w:gridCol w:w="4668"/>
      <w:gridCol w:w="4668"/>
    </w:tblGrid>
    <w:tr w:rsidR="00292BCA" w:rsidRPr="004D4CD9" w14:paraId="6A7E8B57" w14:textId="77777777" w:rsidTr="004D4CD9">
      <w:tc>
        <w:tcPr>
          <w:tcW w:w="1666" w:type="pct"/>
          <w:vAlign w:val="center"/>
        </w:tcPr>
        <w:p w14:paraId="2566C271"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45C30BDE" wp14:editId="66AB2581">
                <wp:extent cx="1010323" cy="216000"/>
                <wp:effectExtent l="0" t="0" r="0" b="0"/>
                <wp:docPr id="316" name="Picture 316"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723E2ECE"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56969929" w14:textId="77777777" w:rsidR="00292BCA" w:rsidRPr="004D4CD9" w:rsidRDefault="00292BCA" w:rsidP="00066AA0">
          <w:pPr>
            <w:pStyle w:val="Footer"/>
            <w:spacing w:before="0" w:line="240" w:lineRule="auto"/>
            <w:jc w:val="right"/>
            <w:rPr>
              <w:color w:val="31849B" w:themeColor="accent5" w:themeShade="BF"/>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43</w:t>
          </w:r>
          <w:r w:rsidRPr="004D4CD9">
            <w:rPr>
              <w:b/>
              <w:color w:val="31849B" w:themeColor="accent5" w:themeShade="BF"/>
              <w:sz w:val="16"/>
              <w:szCs w:val="16"/>
            </w:rPr>
            <w:fldChar w:fldCharType="end"/>
          </w:r>
        </w:p>
      </w:tc>
    </w:tr>
  </w:tbl>
  <w:p w14:paraId="13B47375" w14:textId="77777777" w:rsidR="00292BCA" w:rsidRDefault="00292BCA" w:rsidP="006206A7">
    <w:pPr>
      <w:spacing w:before="0" w:after="0" w:line="240"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31849B" w:themeColor="accent5" w:themeShade="BF"/>
      </w:tblBorders>
      <w:tblCellMar>
        <w:left w:w="28" w:type="dxa"/>
        <w:right w:w="28" w:type="dxa"/>
      </w:tblCellMar>
      <w:tblLook w:val="01E0" w:firstRow="1" w:lastRow="1" w:firstColumn="1" w:lastColumn="1" w:noHBand="0" w:noVBand="0"/>
    </w:tblPr>
    <w:tblGrid>
      <w:gridCol w:w="3022"/>
      <w:gridCol w:w="3024"/>
      <w:gridCol w:w="3024"/>
    </w:tblGrid>
    <w:tr w:rsidR="00292BCA" w:rsidRPr="004D4CD9" w14:paraId="787FEBD8" w14:textId="77777777" w:rsidTr="004D4CD9">
      <w:tc>
        <w:tcPr>
          <w:tcW w:w="1666" w:type="pct"/>
          <w:vAlign w:val="center"/>
        </w:tcPr>
        <w:p w14:paraId="2E2F7999" w14:textId="77777777" w:rsidR="00292BCA" w:rsidRPr="00066AA0" w:rsidRDefault="00292BCA" w:rsidP="00D0008C">
          <w:pPr>
            <w:pStyle w:val="Footer"/>
            <w:spacing w:before="0" w:line="240" w:lineRule="auto"/>
            <w:ind w:hanging="28"/>
            <w:jc w:val="left"/>
            <w:rPr>
              <w:rFonts w:eastAsia="PMingLiU"/>
              <w:color w:val="0070C0"/>
              <w:sz w:val="14"/>
              <w:szCs w:val="14"/>
            </w:rPr>
          </w:pPr>
          <w:r>
            <w:rPr>
              <w:noProof/>
            </w:rPr>
            <w:drawing>
              <wp:inline distT="0" distB="0" distL="0" distR="0" wp14:anchorId="117AFCBE" wp14:editId="363EB13B">
                <wp:extent cx="1010323" cy="216000"/>
                <wp:effectExtent l="0" t="0" r="0" b="0"/>
                <wp:docPr id="317" name="Picture 317"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
                        <pic:cNvPicPr>
                          <a:picLocks noChangeAspect="1" noChangeArrowheads="1"/>
                        </pic:cNvPicPr>
                      </pic:nvPicPr>
                      <pic:blipFill>
                        <a:blip r:embed="rId1"/>
                        <a:srcRect/>
                        <a:stretch>
                          <a:fillRect/>
                        </a:stretch>
                      </pic:blipFill>
                      <pic:spPr bwMode="auto">
                        <a:xfrm>
                          <a:off x="0" y="0"/>
                          <a:ext cx="1010323" cy="216000"/>
                        </a:xfrm>
                        <a:prstGeom prst="rect">
                          <a:avLst/>
                        </a:prstGeom>
                        <a:noFill/>
                        <a:ln w="9525">
                          <a:noFill/>
                          <a:miter lim="800000"/>
                          <a:headEnd/>
                          <a:tailEnd/>
                        </a:ln>
                      </pic:spPr>
                    </pic:pic>
                  </a:graphicData>
                </a:graphic>
              </wp:inline>
            </w:drawing>
          </w:r>
        </w:p>
      </w:tc>
      <w:tc>
        <w:tcPr>
          <w:tcW w:w="1667" w:type="pct"/>
          <w:vAlign w:val="center"/>
        </w:tcPr>
        <w:p w14:paraId="6E58A929" w14:textId="77777777" w:rsidR="00292BCA" w:rsidRPr="00066AA0" w:rsidRDefault="00292BCA" w:rsidP="00066AA0">
          <w:pPr>
            <w:pStyle w:val="Footer"/>
            <w:spacing w:before="0" w:line="240" w:lineRule="auto"/>
            <w:rPr>
              <w:color w:val="0070C0"/>
              <w:sz w:val="14"/>
              <w:szCs w:val="14"/>
            </w:rPr>
          </w:pPr>
        </w:p>
      </w:tc>
      <w:tc>
        <w:tcPr>
          <w:tcW w:w="1667" w:type="pct"/>
          <w:vAlign w:val="center"/>
        </w:tcPr>
        <w:p w14:paraId="5A5E8E24" w14:textId="77777777" w:rsidR="00292BCA" w:rsidRPr="004D4CD9" w:rsidRDefault="00292BCA" w:rsidP="00066AA0">
          <w:pPr>
            <w:pStyle w:val="Footer"/>
            <w:spacing w:before="0" w:line="240" w:lineRule="auto"/>
            <w:jc w:val="right"/>
            <w:rPr>
              <w:color w:val="31849B" w:themeColor="accent5" w:themeShade="BF"/>
              <w:sz w:val="16"/>
              <w:szCs w:val="16"/>
            </w:rPr>
          </w:pPr>
          <w:r w:rsidRPr="004D4CD9">
            <w:rPr>
              <w:color w:val="31849B" w:themeColor="accent5" w:themeShade="BF"/>
              <w:sz w:val="16"/>
              <w:szCs w:val="16"/>
            </w:rPr>
            <w:t>Σελίδα |</w:t>
          </w:r>
          <w:r w:rsidRPr="004D4CD9">
            <w:rPr>
              <w:b/>
              <w:color w:val="31849B" w:themeColor="accent5" w:themeShade="BF"/>
              <w:sz w:val="16"/>
              <w:szCs w:val="16"/>
            </w:rPr>
            <w:fldChar w:fldCharType="begin"/>
          </w:r>
          <w:r w:rsidRPr="004D4CD9">
            <w:rPr>
              <w:b/>
              <w:color w:val="31849B" w:themeColor="accent5" w:themeShade="BF"/>
              <w:sz w:val="16"/>
              <w:szCs w:val="16"/>
            </w:rPr>
            <w:instrText xml:space="preserve"> PAGE   \* MERGEFORMAT </w:instrText>
          </w:r>
          <w:r w:rsidRPr="004D4CD9">
            <w:rPr>
              <w:b/>
              <w:color w:val="31849B" w:themeColor="accent5" w:themeShade="BF"/>
              <w:sz w:val="16"/>
              <w:szCs w:val="16"/>
            </w:rPr>
            <w:fldChar w:fldCharType="separate"/>
          </w:r>
          <w:r w:rsidR="006447A9">
            <w:rPr>
              <w:b/>
              <w:noProof/>
              <w:color w:val="31849B" w:themeColor="accent5" w:themeShade="BF"/>
              <w:sz w:val="16"/>
              <w:szCs w:val="16"/>
            </w:rPr>
            <w:t>48</w:t>
          </w:r>
          <w:r w:rsidRPr="004D4CD9">
            <w:rPr>
              <w:b/>
              <w:color w:val="31849B" w:themeColor="accent5" w:themeShade="BF"/>
              <w:sz w:val="16"/>
              <w:szCs w:val="16"/>
            </w:rPr>
            <w:fldChar w:fldCharType="end"/>
          </w:r>
        </w:p>
      </w:tc>
    </w:tr>
  </w:tbl>
  <w:p w14:paraId="5E87A578" w14:textId="77777777" w:rsidR="00292BCA" w:rsidRDefault="00292BCA" w:rsidP="006206A7">
    <w:pPr>
      <w:spacing w:before="0"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0A032" w14:textId="77777777" w:rsidR="00292BCA" w:rsidRDefault="00292BCA" w:rsidP="008B693C">
      <w:pPr>
        <w:spacing w:after="0"/>
      </w:pPr>
      <w:r>
        <w:separator/>
      </w:r>
    </w:p>
  </w:footnote>
  <w:footnote w:type="continuationSeparator" w:id="0">
    <w:p w14:paraId="6FB5C0A9" w14:textId="77777777" w:rsidR="00292BCA" w:rsidRDefault="00292BCA" w:rsidP="00782933">
      <w:pPr>
        <w:spacing w:after="0"/>
      </w:pPr>
      <w:r>
        <w:continuationSeparator/>
      </w:r>
    </w:p>
    <w:p w14:paraId="2AACFBC5" w14:textId="77777777" w:rsidR="00292BCA" w:rsidRDefault="00292BCA"/>
    <w:p w14:paraId="49438F74" w14:textId="77777777" w:rsidR="00292BCA" w:rsidRDefault="00292BCA"/>
  </w:footnote>
  <w:footnote w:id="1">
    <w:p w14:paraId="3682444B" w14:textId="77777777" w:rsidR="00292BCA" w:rsidRDefault="00292BCA" w:rsidP="00F856E3">
      <w:pPr>
        <w:pStyle w:val="FootnoteText"/>
        <w:ind w:left="142" w:hanging="142"/>
      </w:pPr>
      <w:r>
        <w:rPr>
          <w:rStyle w:val="FootnoteReference"/>
        </w:rPr>
        <w:footnoteRef/>
      </w:r>
      <w:r>
        <w:t xml:space="preserve"> </w:t>
      </w:r>
      <w:r>
        <w:tab/>
      </w:r>
      <w:r w:rsidRPr="00F856E3">
        <w:rPr>
          <w:i/>
          <w:sz w:val="18"/>
        </w:rPr>
        <w:t>Η χρηματοδοτική βαρύτητα υπολογίζεται για τις Κατηγορίες Δράσης στον π/υ του αντίστοιχου Ειδικού Στόχου, για τους Ειδικούς Στόχους στον π/υ του  Θεματικού Άξονα και για το Θεματικό Άξονα στο συνολικό π/υ του Προγράμματος.</w:t>
      </w:r>
    </w:p>
  </w:footnote>
  <w:footnote w:id="2">
    <w:p w14:paraId="3E82B608" w14:textId="77777777" w:rsidR="00292BCA" w:rsidRPr="007F7AB4" w:rsidRDefault="00292BCA" w:rsidP="000E16AA">
      <w:pPr>
        <w:pStyle w:val="FootnoteText"/>
        <w:rPr>
          <w:i/>
          <w:sz w:val="18"/>
        </w:rPr>
      </w:pPr>
      <w:r w:rsidRPr="007F7AB4">
        <w:rPr>
          <w:rStyle w:val="FootnoteReference"/>
          <w:i/>
          <w:sz w:val="18"/>
        </w:rPr>
        <w:footnoteRef/>
      </w:r>
      <w:r w:rsidRPr="007F7AB4">
        <w:rPr>
          <w:i/>
          <w:sz w:val="18"/>
        </w:rPr>
        <w:t xml:space="preserve"> Για τους Δείκτες Αποτελέσματος</w:t>
      </w:r>
    </w:p>
  </w:footnote>
  <w:footnote w:id="3">
    <w:p w14:paraId="378E2101" w14:textId="77777777" w:rsidR="00292BCA" w:rsidRPr="007F7AB4" w:rsidRDefault="00292BCA" w:rsidP="000E16AA">
      <w:pPr>
        <w:pStyle w:val="FootnoteText"/>
        <w:rPr>
          <w:i/>
          <w:sz w:val="18"/>
        </w:rPr>
      </w:pPr>
      <w:r w:rsidRPr="007F7AB4">
        <w:rPr>
          <w:rStyle w:val="FootnoteReference"/>
          <w:i/>
          <w:sz w:val="18"/>
        </w:rPr>
        <w:footnoteRef/>
      </w:r>
      <w:r w:rsidRPr="007F7AB4">
        <w:rPr>
          <w:i/>
          <w:sz w:val="18"/>
        </w:rPr>
        <w:t xml:space="preserve"> Για τους Δείκτες του Πλαισίου Επιδόσεων</w:t>
      </w:r>
    </w:p>
  </w:footnote>
  <w:footnote w:id="4">
    <w:p w14:paraId="629503DE" w14:textId="77777777" w:rsidR="00292BCA" w:rsidRDefault="00292BCA" w:rsidP="00C97DDE">
      <w:pPr>
        <w:pStyle w:val="FootnoteText"/>
        <w:ind w:left="142" w:hanging="142"/>
      </w:pPr>
      <w:r>
        <w:rPr>
          <w:rStyle w:val="FootnoteReference"/>
        </w:rPr>
        <w:footnoteRef/>
      </w:r>
      <w:r>
        <w:t xml:space="preserve"> </w:t>
      </w:r>
      <w:r>
        <w:tab/>
      </w:r>
      <w:r w:rsidRPr="00F856E3">
        <w:rPr>
          <w:i/>
          <w:sz w:val="18"/>
        </w:rPr>
        <w:t>Η χρηματοδοτική βαρύτητα υπολογίζεται για τις Κατηγορίες Δράσης στον π/υ του αντίστοιχου Ειδικού Στόχου, για τους Ειδικούς Στόχους στον π/υ του  Θεματικού Άξονα και για το Θεματικό Άξονα στο συνολικό π/υ του Προγράμματος.</w:t>
      </w:r>
    </w:p>
  </w:footnote>
  <w:footnote w:id="5">
    <w:p w14:paraId="09C25A0E" w14:textId="77777777" w:rsidR="00292BCA" w:rsidRPr="007F7AB4" w:rsidRDefault="00292BCA" w:rsidP="00C97DDE">
      <w:pPr>
        <w:pStyle w:val="FootnoteText"/>
        <w:rPr>
          <w:i/>
          <w:sz w:val="18"/>
        </w:rPr>
      </w:pPr>
      <w:r w:rsidRPr="007F7AB4">
        <w:rPr>
          <w:rStyle w:val="FootnoteReference"/>
          <w:i/>
          <w:sz w:val="18"/>
        </w:rPr>
        <w:footnoteRef/>
      </w:r>
      <w:r w:rsidRPr="007F7AB4">
        <w:rPr>
          <w:i/>
          <w:sz w:val="18"/>
        </w:rPr>
        <w:t xml:space="preserve"> Για τους Δείκτες Αποτελέσματος</w:t>
      </w:r>
    </w:p>
  </w:footnote>
  <w:footnote w:id="6">
    <w:p w14:paraId="00058EFA" w14:textId="77777777" w:rsidR="00292BCA" w:rsidRPr="007F7AB4" w:rsidRDefault="00292BCA" w:rsidP="00C97DDE">
      <w:pPr>
        <w:pStyle w:val="FootnoteText"/>
        <w:rPr>
          <w:i/>
          <w:sz w:val="18"/>
        </w:rPr>
      </w:pPr>
      <w:r w:rsidRPr="007F7AB4">
        <w:rPr>
          <w:rStyle w:val="FootnoteReference"/>
          <w:i/>
          <w:sz w:val="18"/>
        </w:rPr>
        <w:footnoteRef/>
      </w:r>
      <w:r w:rsidRPr="007F7AB4">
        <w:rPr>
          <w:i/>
          <w:sz w:val="18"/>
        </w:rPr>
        <w:t xml:space="preserve"> Για τους Δείκτες του Πλαισίου Επιδόσεων</w:t>
      </w:r>
    </w:p>
  </w:footnote>
  <w:footnote w:id="7">
    <w:p w14:paraId="704AAFA9" w14:textId="77777777" w:rsidR="00292BCA" w:rsidRDefault="00292BCA" w:rsidP="002F0BB2">
      <w:pPr>
        <w:pStyle w:val="FootnoteText"/>
        <w:ind w:left="142" w:hanging="142"/>
      </w:pPr>
      <w:r>
        <w:rPr>
          <w:rStyle w:val="FootnoteReference"/>
        </w:rPr>
        <w:footnoteRef/>
      </w:r>
      <w:r>
        <w:t xml:space="preserve"> </w:t>
      </w:r>
      <w:r>
        <w:tab/>
      </w:r>
      <w:r w:rsidRPr="00F856E3">
        <w:rPr>
          <w:i/>
          <w:sz w:val="18"/>
        </w:rPr>
        <w:t>Η χρηματοδοτική βαρύτητα υπολογίζεται για τις Κατηγορίες Δράσης στον π/υ του αντίστοιχου Ειδικού Στόχου, για τους Ειδικούς Στόχους στον π/υ του  Θεματικού Άξονα και για το Θεματικό Άξονα στο συνολικό π/υ του Προγράμματος.</w:t>
      </w:r>
    </w:p>
  </w:footnote>
  <w:footnote w:id="8">
    <w:p w14:paraId="7C41D1FD" w14:textId="77777777" w:rsidR="00292BCA" w:rsidRPr="007F7AB4" w:rsidRDefault="00292BCA" w:rsidP="00B44C7E">
      <w:pPr>
        <w:pStyle w:val="FootnoteText"/>
        <w:rPr>
          <w:i/>
          <w:sz w:val="18"/>
        </w:rPr>
      </w:pPr>
      <w:r w:rsidRPr="007F7AB4">
        <w:rPr>
          <w:rStyle w:val="FootnoteReference"/>
          <w:i/>
          <w:sz w:val="18"/>
        </w:rPr>
        <w:footnoteRef/>
      </w:r>
      <w:r w:rsidRPr="007F7AB4">
        <w:rPr>
          <w:i/>
          <w:sz w:val="18"/>
        </w:rPr>
        <w:t xml:space="preserve"> Για τους Δείκτες Αποτελέσματος</w:t>
      </w:r>
    </w:p>
  </w:footnote>
  <w:footnote w:id="9">
    <w:p w14:paraId="0421DEC2" w14:textId="77777777" w:rsidR="00292BCA" w:rsidRPr="007F7AB4" w:rsidRDefault="00292BCA" w:rsidP="00B44C7E">
      <w:pPr>
        <w:pStyle w:val="FootnoteText"/>
        <w:rPr>
          <w:i/>
          <w:sz w:val="18"/>
        </w:rPr>
      </w:pPr>
      <w:r w:rsidRPr="007F7AB4">
        <w:rPr>
          <w:rStyle w:val="FootnoteReference"/>
          <w:i/>
          <w:sz w:val="18"/>
        </w:rPr>
        <w:footnoteRef/>
      </w:r>
      <w:r w:rsidRPr="007F7AB4">
        <w:rPr>
          <w:i/>
          <w:sz w:val="18"/>
        </w:rPr>
        <w:t xml:space="preserve"> Για τους Δείκτες του Πλαισίου Επιδόσεων</w:t>
      </w:r>
    </w:p>
  </w:footnote>
  <w:footnote w:id="10">
    <w:p w14:paraId="226B7818" w14:textId="77777777" w:rsidR="00292BCA" w:rsidRPr="007F7AB4" w:rsidRDefault="00292BCA">
      <w:pPr>
        <w:pStyle w:val="FootnoteText"/>
        <w:rPr>
          <w:i/>
          <w:sz w:val="18"/>
        </w:rPr>
      </w:pPr>
      <w:r w:rsidRPr="007F7AB4">
        <w:rPr>
          <w:rStyle w:val="FootnoteReference"/>
          <w:i/>
          <w:sz w:val="18"/>
        </w:rPr>
        <w:footnoteRef/>
      </w:r>
      <w:r w:rsidRPr="007F7AB4">
        <w:rPr>
          <w:i/>
          <w:sz w:val="18"/>
        </w:rPr>
        <w:t xml:space="preserve"> Για τους Δείκτες του Πλαισίου Επιδόσεων</w:t>
      </w:r>
    </w:p>
  </w:footnote>
  <w:footnote w:id="11">
    <w:p w14:paraId="0FEAEC5D" w14:textId="77777777" w:rsidR="00292BCA" w:rsidRPr="007F7AB4" w:rsidRDefault="00292BCA" w:rsidP="00C97DDE">
      <w:pPr>
        <w:pStyle w:val="FootnoteText"/>
        <w:rPr>
          <w:i/>
          <w:sz w:val="18"/>
        </w:rPr>
      </w:pPr>
      <w:r w:rsidRPr="007F7AB4">
        <w:rPr>
          <w:rStyle w:val="FootnoteReference"/>
          <w:i/>
          <w:sz w:val="18"/>
        </w:rPr>
        <w:footnoteRef/>
      </w:r>
      <w:r w:rsidRPr="007F7AB4">
        <w:rPr>
          <w:i/>
          <w:sz w:val="18"/>
        </w:rPr>
        <w:t xml:space="preserve"> Για τους Δείκτες του Πλαισίου Επιδόσεων</w:t>
      </w:r>
    </w:p>
  </w:footnote>
  <w:footnote w:id="12">
    <w:p w14:paraId="427A75BD" w14:textId="77777777" w:rsidR="00292BCA" w:rsidRPr="007F7AB4" w:rsidRDefault="00292BCA" w:rsidP="00085515">
      <w:pPr>
        <w:pStyle w:val="FootnoteText"/>
        <w:rPr>
          <w:i/>
          <w:sz w:val="18"/>
        </w:rPr>
      </w:pPr>
      <w:r w:rsidRPr="007F7AB4">
        <w:rPr>
          <w:rStyle w:val="FootnoteReference"/>
          <w:i/>
          <w:sz w:val="18"/>
        </w:rPr>
        <w:footnoteRef/>
      </w:r>
      <w:r w:rsidRPr="007F7AB4">
        <w:rPr>
          <w:i/>
          <w:sz w:val="18"/>
        </w:rPr>
        <w:t xml:space="preserve"> Για τους Δείκτες του Πλαισίου Επιδόσεων</w:t>
      </w:r>
    </w:p>
  </w:footnote>
  <w:footnote w:id="13">
    <w:p w14:paraId="6F03B836" w14:textId="77777777" w:rsidR="00292BCA" w:rsidRPr="009C483C" w:rsidRDefault="00292BCA" w:rsidP="00DA742F">
      <w:pPr>
        <w:pStyle w:val="FootnoteText"/>
        <w:ind w:left="182" w:hanging="182"/>
        <w:rPr>
          <w:i/>
          <w:sz w:val="16"/>
          <w:szCs w:val="16"/>
        </w:rPr>
      </w:pPr>
      <w:r w:rsidRPr="009C483C">
        <w:rPr>
          <w:rStyle w:val="FootnoteReference"/>
          <w:i/>
          <w:sz w:val="16"/>
          <w:szCs w:val="16"/>
        </w:rPr>
        <w:footnoteRef/>
      </w:r>
      <w:r w:rsidRPr="009C483C">
        <w:rPr>
          <w:i/>
          <w:sz w:val="16"/>
          <w:szCs w:val="16"/>
        </w:rPr>
        <w:t xml:space="preserve"> Υπ. αριθμ. π. Ares(2016)3273735 - 08/07/2016 έγγραφο της ΕΕ για τέσσερα (4) έργα, εκ των οποίων τα δύο (2) αφορούν στο ΕΠ ΜΔΤ.</w:t>
      </w:r>
    </w:p>
  </w:footnote>
  <w:footnote w:id="14">
    <w:p w14:paraId="7CBEE6AD" w14:textId="77777777" w:rsidR="00292BCA" w:rsidRPr="009C483C" w:rsidRDefault="00292BCA" w:rsidP="009C483C">
      <w:pPr>
        <w:pStyle w:val="FootnoteText"/>
        <w:spacing w:line="240" w:lineRule="auto"/>
        <w:ind w:left="142" w:hanging="142"/>
        <w:rPr>
          <w:i/>
          <w:sz w:val="16"/>
        </w:rPr>
      </w:pPr>
      <w:r w:rsidRPr="009C483C">
        <w:rPr>
          <w:rStyle w:val="FootnoteReference"/>
          <w:i/>
          <w:sz w:val="16"/>
        </w:rPr>
        <w:footnoteRef/>
      </w:r>
      <w:r w:rsidRPr="009C483C">
        <w:rPr>
          <w:i/>
          <w:sz w:val="16"/>
        </w:rPr>
        <w:t xml:space="preserve"> Η ενεργοποίηση του Θεματικού Άξονα της Τεχνικής Βοήθειας που χρηματοδοτείται από το ΕΤΠΑ συνδεόταν με την εκπλήρωση της αιρεσιμότητας του Θεματικού Στόχου 2.1</w:t>
      </w:r>
      <w:r>
        <w:rPr>
          <w:i/>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0070C0"/>
      </w:tblBorders>
      <w:tblCellMar>
        <w:left w:w="0" w:type="dxa"/>
        <w:right w:w="0" w:type="dxa"/>
      </w:tblCellMar>
      <w:tblLook w:val="01E0" w:firstRow="1" w:lastRow="1" w:firstColumn="1" w:lastColumn="1" w:noHBand="0" w:noVBand="0"/>
    </w:tblPr>
    <w:tblGrid>
      <w:gridCol w:w="2409"/>
      <w:gridCol w:w="6521"/>
    </w:tblGrid>
    <w:tr w:rsidR="00292BCA" w:rsidRPr="007F01DA" w14:paraId="58FFE5DB" w14:textId="77777777" w:rsidTr="00437B19">
      <w:trPr>
        <w:trHeight w:val="391"/>
        <w:jc w:val="center"/>
      </w:trPr>
      <w:tc>
        <w:tcPr>
          <w:tcW w:w="1349" w:type="pct"/>
          <w:tcBorders>
            <w:bottom w:val="single" w:sz="8" w:space="0" w:color="215868" w:themeColor="accent5" w:themeShade="80"/>
          </w:tcBorders>
          <w:vAlign w:val="center"/>
        </w:tcPr>
        <w:p w14:paraId="18FE9410" w14:textId="77777777" w:rsidR="00292BCA" w:rsidRDefault="00292BCA" w:rsidP="00437B19">
          <w:pPr>
            <w:pStyle w:val="Header"/>
            <w:rPr>
              <w:b/>
              <w:color w:val="215868" w:themeColor="accent5" w:themeShade="80"/>
              <w:sz w:val="16"/>
              <w:szCs w:val="14"/>
            </w:rPr>
          </w:pPr>
          <w:r w:rsidRPr="00037726">
            <w:rPr>
              <w:noProof/>
            </w:rPr>
            <w:drawing>
              <wp:inline distT="0" distB="0" distL="0" distR="0" wp14:anchorId="4D1CCD8B" wp14:editId="65063711">
                <wp:extent cx="1041138" cy="540000"/>
                <wp:effectExtent l="0" t="0" r="6985" b="0"/>
                <wp:docPr id="309" name="Picture 309"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8" t="14750" r="33382" b="25445"/>
                        <a:stretch/>
                      </pic:blipFill>
                      <pic:spPr bwMode="auto">
                        <a:xfrm>
                          <a:off x="0" y="0"/>
                          <a:ext cx="1041138"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1" w:type="pct"/>
          <w:tcBorders>
            <w:bottom w:val="single" w:sz="8" w:space="0" w:color="215868" w:themeColor="accent5" w:themeShade="80"/>
          </w:tcBorders>
          <w:vAlign w:val="center"/>
        </w:tcPr>
        <w:p w14:paraId="7982EC7F" w14:textId="77777777" w:rsidR="00292BCA" w:rsidRPr="00F21903" w:rsidRDefault="00292BCA" w:rsidP="00F21903">
          <w:pPr>
            <w:pStyle w:val="Header"/>
            <w:spacing w:before="60"/>
            <w:jc w:val="right"/>
            <w:rPr>
              <w:b/>
              <w:sz w:val="16"/>
              <w:szCs w:val="14"/>
            </w:rPr>
          </w:pPr>
          <w:r w:rsidRPr="00F21903">
            <w:rPr>
              <w:b/>
              <w:sz w:val="16"/>
              <w:szCs w:val="14"/>
            </w:rPr>
            <w:t xml:space="preserve">ΕΝΔΙΑΜΕΣΗ ΑΞΙΟΛΟΓΗΣΗ ΤΟΥ ΕΠΙΧΕΙΡΗΣΙΑΚΟΥ ΠΡΟΓΡΑΜΜΑΤΟΣ </w:t>
          </w:r>
          <w:r w:rsidRPr="00F21903">
            <w:rPr>
              <w:b/>
              <w:sz w:val="16"/>
              <w:szCs w:val="14"/>
            </w:rPr>
            <w:br/>
            <w:t>«ΜΕΤΑΡΡΥΘΜΙΣΗ ΔΗΜΟΣΙΟΥ ΤΟΜΕΑ» ΚΑΤΑ ΤΟ ΕΤΟΣ 2018</w:t>
          </w:r>
        </w:p>
        <w:p w14:paraId="2EB7B74E" w14:textId="77777777" w:rsidR="00292BCA" w:rsidRPr="006578FB" w:rsidRDefault="00292BCA" w:rsidP="001F7FEB">
          <w:pPr>
            <w:pStyle w:val="Header"/>
            <w:spacing w:before="120" w:after="60"/>
            <w:jc w:val="right"/>
            <w:rPr>
              <w:b/>
              <w:i/>
              <w:color w:val="0070C0"/>
              <w:sz w:val="14"/>
              <w:szCs w:val="14"/>
            </w:rPr>
          </w:pPr>
          <w:r w:rsidRPr="00206ECA">
            <w:rPr>
              <w:b/>
              <w:i/>
              <w:color w:val="31849B" w:themeColor="accent5" w:themeShade="BF"/>
              <w:sz w:val="16"/>
              <w:szCs w:val="14"/>
            </w:rPr>
            <w:t>Παραδοτέο 2: Τεκμηρίωση Αναθεώρησης / Τροποποίησης ΕΠ ΜΔΤ</w:t>
          </w:r>
        </w:p>
      </w:tc>
    </w:tr>
  </w:tbl>
  <w:p w14:paraId="6C21D713" w14:textId="77777777" w:rsidR="00292BCA" w:rsidRPr="007F01DA" w:rsidRDefault="00292BCA">
    <w:pPr>
      <w:pStyle w:val="Header"/>
      <w:rPr>
        <w:sz w:val="6"/>
        <w:szCs w:val="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0070C0"/>
      </w:tblBorders>
      <w:tblCellMar>
        <w:left w:w="0" w:type="dxa"/>
        <w:right w:w="0" w:type="dxa"/>
      </w:tblCellMar>
      <w:tblLook w:val="01E0" w:firstRow="1" w:lastRow="1" w:firstColumn="1" w:lastColumn="1" w:noHBand="0" w:noVBand="0"/>
    </w:tblPr>
    <w:tblGrid>
      <w:gridCol w:w="3778"/>
      <w:gridCol w:w="10224"/>
    </w:tblGrid>
    <w:tr w:rsidR="00292BCA" w:rsidRPr="007F01DA" w14:paraId="3C68E446" w14:textId="77777777" w:rsidTr="00437B19">
      <w:trPr>
        <w:trHeight w:val="391"/>
        <w:jc w:val="center"/>
      </w:trPr>
      <w:tc>
        <w:tcPr>
          <w:tcW w:w="1349" w:type="pct"/>
          <w:tcBorders>
            <w:bottom w:val="single" w:sz="8" w:space="0" w:color="215868" w:themeColor="accent5" w:themeShade="80"/>
          </w:tcBorders>
          <w:vAlign w:val="center"/>
        </w:tcPr>
        <w:p w14:paraId="36DD3E32" w14:textId="77777777" w:rsidR="00292BCA" w:rsidRDefault="00292BCA" w:rsidP="00437B19">
          <w:pPr>
            <w:pStyle w:val="Header"/>
            <w:rPr>
              <w:b/>
              <w:color w:val="215868" w:themeColor="accent5" w:themeShade="80"/>
              <w:sz w:val="16"/>
              <w:szCs w:val="14"/>
            </w:rPr>
          </w:pPr>
          <w:r w:rsidRPr="00037726">
            <w:rPr>
              <w:noProof/>
            </w:rPr>
            <w:drawing>
              <wp:inline distT="0" distB="0" distL="0" distR="0" wp14:anchorId="22CE4157" wp14:editId="5DAD74FB">
                <wp:extent cx="1041138" cy="540000"/>
                <wp:effectExtent l="0" t="0" r="6985" b="0"/>
                <wp:docPr id="324" name="Picture 324"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8" t="14750" r="33382" b="25445"/>
                        <a:stretch/>
                      </pic:blipFill>
                      <pic:spPr bwMode="auto">
                        <a:xfrm>
                          <a:off x="0" y="0"/>
                          <a:ext cx="1041138"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1" w:type="pct"/>
          <w:tcBorders>
            <w:bottom w:val="single" w:sz="8" w:space="0" w:color="215868" w:themeColor="accent5" w:themeShade="80"/>
          </w:tcBorders>
          <w:vAlign w:val="center"/>
        </w:tcPr>
        <w:p w14:paraId="60A7E51F" w14:textId="77777777" w:rsidR="00292BCA" w:rsidRPr="00F21903" w:rsidRDefault="00292BCA" w:rsidP="00F21903">
          <w:pPr>
            <w:pStyle w:val="Header"/>
            <w:spacing w:before="60"/>
            <w:jc w:val="right"/>
            <w:rPr>
              <w:b/>
              <w:sz w:val="16"/>
              <w:szCs w:val="14"/>
            </w:rPr>
          </w:pPr>
          <w:r w:rsidRPr="00F21903">
            <w:rPr>
              <w:b/>
              <w:sz w:val="16"/>
              <w:szCs w:val="14"/>
            </w:rPr>
            <w:t xml:space="preserve">ΕΝΔΙΑΜΕΣΗ ΑΞΙΟΛΟΓΗΣΗ ΤΟΥ ΕΠΙΧΕΙΡΗΣΙΑΚΟΥ ΠΡΟΓΡΑΜΜΑΤΟΣ </w:t>
          </w:r>
          <w:r w:rsidRPr="00F21903">
            <w:rPr>
              <w:b/>
              <w:sz w:val="16"/>
              <w:szCs w:val="14"/>
            </w:rPr>
            <w:br/>
            <w:t>«ΜΕΤΑΡΡΥΘΜΙΣΗ ΔΗΜΟΣΙΟΥ ΤΟΜΕΑ» ΚΑΤΑ ΤΟ ΕΤΟΣ 2018</w:t>
          </w:r>
        </w:p>
        <w:p w14:paraId="240DB1C0" w14:textId="77777777" w:rsidR="00292BCA" w:rsidRPr="006578FB" w:rsidRDefault="00292BCA" w:rsidP="001F7FEB">
          <w:pPr>
            <w:pStyle w:val="Header"/>
            <w:spacing w:before="120" w:after="60"/>
            <w:jc w:val="right"/>
            <w:rPr>
              <w:b/>
              <w:i/>
              <w:color w:val="0070C0"/>
              <w:sz w:val="14"/>
              <w:szCs w:val="14"/>
            </w:rPr>
          </w:pPr>
          <w:r w:rsidRPr="00206ECA">
            <w:rPr>
              <w:b/>
              <w:i/>
              <w:color w:val="31849B" w:themeColor="accent5" w:themeShade="BF"/>
              <w:sz w:val="16"/>
              <w:szCs w:val="14"/>
            </w:rPr>
            <w:t>Παραδοτέο 2: Τεκμηρίωση Αναθεώρησης / Τροποποίησης ΕΠ ΜΔΤ</w:t>
          </w:r>
        </w:p>
      </w:tc>
    </w:tr>
  </w:tbl>
  <w:p w14:paraId="1F0A1CE3" w14:textId="77777777" w:rsidR="00292BCA" w:rsidRPr="007F01DA" w:rsidRDefault="00292BCA">
    <w:pPr>
      <w:pStyle w:val="Header"/>
      <w:rPr>
        <w:sz w:val="6"/>
        <w:szCs w:val="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0070C0"/>
      </w:tblBorders>
      <w:tblCellMar>
        <w:left w:w="0" w:type="dxa"/>
        <w:right w:w="0" w:type="dxa"/>
      </w:tblCellMar>
      <w:tblLook w:val="01E0" w:firstRow="1" w:lastRow="1" w:firstColumn="1" w:lastColumn="1" w:noHBand="0" w:noVBand="0"/>
    </w:tblPr>
    <w:tblGrid>
      <w:gridCol w:w="2447"/>
      <w:gridCol w:w="6623"/>
    </w:tblGrid>
    <w:tr w:rsidR="00292BCA" w:rsidRPr="007F01DA" w14:paraId="7688504C" w14:textId="77777777" w:rsidTr="00437B19">
      <w:trPr>
        <w:trHeight w:val="391"/>
        <w:jc w:val="center"/>
      </w:trPr>
      <w:tc>
        <w:tcPr>
          <w:tcW w:w="1349" w:type="pct"/>
          <w:tcBorders>
            <w:bottom w:val="single" w:sz="8" w:space="0" w:color="215868" w:themeColor="accent5" w:themeShade="80"/>
          </w:tcBorders>
          <w:vAlign w:val="center"/>
        </w:tcPr>
        <w:p w14:paraId="2842D9A3" w14:textId="77777777" w:rsidR="00292BCA" w:rsidRDefault="00292BCA" w:rsidP="00437B19">
          <w:pPr>
            <w:pStyle w:val="Header"/>
            <w:rPr>
              <w:b/>
              <w:color w:val="215868" w:themeColor="accent5" w:themeShade="80"/>
              <w:sz w:val="16"/>
              <w:szCs w:val="14"/>
            </w:rPr>
          </w:pPr>
          <w:r w:rsidRPr="00037726">
            <w:rPr>
              <w:noProof/>
            </w:rPr>
            <w:drawing>
              <wp:inline distT="0" distB="0" distL="0" distR="0" wp14:anchorId="7443DECD" wp14:editId="6AC7524F">
                <wp:extent cx="1041138" cy="540000"/>
                <wp:effectExtent l="0" t="0" r="6985" b="0"/>
                <wp:docPr id="6" name="Picture 6"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8" t="14750" r="33382" b="25445"/>
                        <a:stretch/>
                      </pic:blipFill>
                      <pic:spPr bwMode="auto">
                        <a:xfrm>
                          <a:off x="0" y="0"/>
                          <a:ext cx="1041138"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1" w:type="pct"/>
          <w:tcBorders>
            <w:bottom w:val="single" w:sz="8" w:space="0" w:color="215868" w:themeColor="accent5" w:themeShade="80"/>
          </w:tcBorders>
          <w:vAlign w:val="center"/>
        </w:tcPr>
        <w:p w14:paraId="27A4122A" w14:textId="77777777" w:rsidR="00292BCA" w:rsidRPr="00F21903" w:rsidRDefault="00292BCA" w:rsidP="00F21903">
          <w:pPr>
            <w:pStyle w:val="Header"/>
            <w:spacing w:before="60"/>
            <w:jc w:val="right"/>
            <w:rPr>
              <w:b/>
              <w:sz w:val="16"/>
              <w:szCs w:val="14"/>
            </w:rPr>
          </w:pPr>
          <w:r w:rsidRPr="00F21903">
            <w:rPr>
              <w:b/>
              <w:sz w:val="16"/>
              <w:szCs w:val="14"/>
            </w:rPr>
            <w:t xml:space="preserve">ΕΝΔΙΑΜΕΣΗ ΑΞΙΟΛΟΓΗΣΗ ΤΟΥ ΕΠΙΧΕΙΡΗΣΙΑΚΟΥ ΠΡΟΓΡΑΜΜΑΤΟΣ </w:t>
          </w:r>
          <w:r w:rsidRPr="00F21903">
            <w:rPr>
              <w:b/>
              <w:sz w:val="16"/>
              <w:szCs w:val="14"/>
            </w:rPr>
            <w:br/>
            <w:t>«ΜΕΤΑΡΡΥΘΜΙΣΗ ΔΗΜΟΣΙΟΥ ΤΟΜΕΑ» ΚΑΤΑ ΤΟ ΕΤΟΣ 2018</w:t>
          </w:r>
        </w:p>
        <w:p w14:paraId="5C59A7D4" w14:textId="77777777" w:rsidR="00292BCA" w:rsidRPr="006578FB" w:rsidRDefault="00292BCA" w:rsidP="001F7FEB">
          <w:pPr>
            <w:pStyle w:val="Header"/>
            <w:spacing w:before="120" w:after="60"/>
            <w:jc w:val="right"/>
            <w:rPr>
              <w:b/>
              <w:i/>
              <w:color w:val="0070C0"/>
              <w:sz w:val="14"/>
              <w:szCs w:val="14"/>
            </w:rPr>
          </w:pPr>
          <w:r w:rsidRPr="00206ECA">
            <w:rPr>
              <w:b/>
              <w:i/>
              <w:color w:val="31849B" w:themeColor="accent5" w:themeShade="BF"/>
              <w:sz w:val="16"/>
              <w:szCs w:val="14"/>
            </w:rPr>
            <w:t>Παραδοτέο 2: Τεκμηρίωση Αναθεώρησης / Τροποποίησης ΕΠ ΜΔΤ</w:t>
          </w:r>
        </w:p>
      </w:tc>
    </w:tr>
  </w:tbl>
  <w:p w14:paraId="667D5D1B" w14:textId="77777777" w:rsidR="00292BCA" w:rsidRPr="007F01DA" w:rsidRDefault="00292BCA">
    <w:pPr>
      <w:pStyle w:val="Header"/>
      <w:rPr>
        <w:sz w:val="6"/>
        <w:szCs w:val="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0070C0"/>
      </w:tblBorders>
      <w:tblCellMar>
        <w:left w:w="0" w:type="dxa"/>
        <w:right w:w="0" w:type="dxa"/>
      </w:tblCellMar>
      <w:tblLook w:val="01E0" w:firstRow="1" w:lastRow="1" w:firstColumn="1" w:lastColumn="1" w:noHBand="0" w:noVBand="0"/>
    </w:tblPr>
    <w:tblGrid>
      <w:gridCol w:w="3778"/>
      <w:gridCol w:w="10224"/>
    </w:tblGrid>
    <w:tr w:rsidR="00292BCA" w:rsidRPr="007F01DA" w14:paraId="7515ACBF" w14:textId="77777777" w:rsidTr="00437B19">
      <w:trPr>
        <w:trHeight w:val="391"/>
        <w:jc w:val="center"/>
      </w:trPr>
      <w:tc>
        <w:tcPr>
          <w:tcW w:w="1349" w:type="pct"/>
          <w:tcBorders>
            <w:bottom w:val="single" w:sz="8" w:space="0" w:color="215868" w:themeColor="accent5" w:themeShade="80"/>
          </w:tcBorders>
          <w:vAlign w:val="center"/>
        </w:tcPr>
        <w:p w14:paraId="6AD0A34E" w14:textId="77777777" w:rsidR="00292BCA" w:rsidRDefault="00292BCA" w:rsidP="00437B19">
          <w:pPr>
            <w:pStyle w:val="Header"/>
            <w:rPr>
              <w:b/>
              <w:color w:val="215868" w:themeColor="accent5" w:themeShade="80"/>
              <w:sz w:val="16"/>
              <w:szCs w:val="14"/>
            </w:rPr>
          </w:pPr>
          <w:r w:rsidRPr="00037726">
            <w:rPr>
              <w:noProof/>
            </w:rPr>
            <w:drawing>
              <wp:inline distT="0" distB="0" distL="0" distR="0" wp14:anchorId="0F003F41" wp14:editId="17874F39">
                <wp:extent cx="1041138" cy="540000"/>
                <wp:effectExtent l="0" t="0" r="6985" b="0"/>
                <wp:docPr id="12" name="Picture 12"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8" t="14750" r="33382" b="25445"/>
                        <a:stretch/>
                      </pic:blipFill>
                      <pic:spPr bwMode="auto">
                        <a:xfrm>
                          <a:off x="0" y="0"/>
                          <a:ext cx="1041138"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1" w:type="pct"/>
          <w:tcBorders>
            <w:bottom w:val="single" w:sz="8" w:space="0" w:color="215868" w:themeColor="accent5" w:themeShade="80"/>
          </w:tcBorders>
          <w:vAlign w:val="center"/>
        </w:tcPr>
        <w:p w14:paraId="6115DD7F" w14:textId="77777777" w:rsidR="00292BCA" w:rsidRPr="00F21903" w:rsidRDefault="00292BCA" w:rsidP="00F21903">
          <w:pPr>
            <w:pStyle w:val="Header"/>
            <w:spacing w:before="60"/>
            <w:jc w:val="right"/>
            <w:rPr>
              <w:b/>
              <w:sz w:val="16"/>
              <w:szCs w:val="14"/>
            </w:rPr>
          </w:pPr>
          <w:r w:rsidRPr="00F21903">
            <w:rPr>
              <w:b/>
              <w:sz w:val="16"/>
              <w:szCs w:val="14"/>
            </w:rPr>
            <w:t xml:space="preserve">ΕΝΔΙΑΜΕΣΗ ΑΞΙΟΛΟΓΗΣΗ ΤΟΥ ΕΠΙΧΕΙΡΗΣΙΑΚΟΥ ΠΡΟΓΡΑΜΜΑΤΟΣ </w:t>
          </w:r>
          <w:r w:rsidRPr="00F21903">
            <w:rPr>
              <w:b/>
              <w:sz w:val="16"/>
              <w:szCs w:val="14"/>
            </w:rPr>
            <w:br/>
            <w:t>«ΜΕΤΑΡΡΥΘΜΙΣΗ ΔΗΜΟΣΙΟΥ ΤΟΜΕΑ» ΚΑΤΑ ΤΟ ΕΤΟΣ 2018</w:t>
          </w:r>
        </w:p>
        <w:p w14:paraId="1EDF3C36" w14:textId="77777777" w:rsidR="00292BCA" w:rsidRPr="006578FB" w:rsidRDefault="00292BCA" w:rsidP="001F7FEB">
          <w:pPr>
            <w:pStyle w:val="Header"/>
            <w:spacing w:before="120" w:after="60"/>
            <w:jc w:val="right"/>
            <w:rPr>
              <w:b/>
              <w:i/>
              <w:color w:val="0070C0"/>
              <w:sz w:val="14"/>
              <w:szCs w:val="14"/>
            </w:rPr>
          </w:pPr>
          <w:r w:rsidRPr="00206ECA">
            <w:rPr>
              <w:b/>
              <w:i/>
              <w:color w:val="31849B" w:themeColor="accent5" w:themeShade="BF"/>
              <w:sz w:val="16"/>
              <w:szCs w:val="14"/>
            </w:rPr>
            <w:t>Παραδοτέο 2: Τεκμηρίωση Αναθεώρησης / Τροποποίησης ΕΠ ΜΔΤ</w:t>
          </w:r>
        </w:p>
      </w:tc>
    </w:tr>
  </w:tbl>
  <w:p w14:paraId="5B910004" w14:textId="77777777" w:rsidR="00292BCA" w:rsidRPr="007F01DA" w:rsidRDefault="00292BCA">
    <w:pPr>
      <w:pStyle w:val="Header"/>
      <w:rPr>
        <w:sz w:val="6"/>
        <w:szCs w:val="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0070C0"/>
      </w:tblBorders>
      <w:tblCellMar>
        <w:left w:w="0" w:type="dxa"/>
        <w:right w:w="0" w:type="dxa"/>
      </w:tblCellMar>
      <w:tblLook w:val="01E0" w:firstRow="1" w:lastRow="1" w:firstColumn="1" w:lastColumn="1" w:noHBand="0" w:noVBand="0"/>
    </w:tblPr>
    <w:tblGrid>
      <w:gridCol w:w="2447"/>
      <w:gridCol w:w="6623"/>
    </w:tblGrid>
    <w:tr w:rsidR="00292BCA" w:rsidRPr="007F01DA" w14:paraId="7077096C" w14:textId="77777777" w:rsidTr="00437B19">
      <w:trPr>
        <w:trHeight w:val="391"/>
        <w:jc w:val="center"/>
      </w:trPr>
      <w:tc>
        <w:tcPr>
          <w:tcW w:w="1349" w:type="pct"/>
          <w:tcBorders>
            <w:bottom w:val="single" w:sz="8" w:space="0" w:color="215868" w:themeColor="accent5" w:themeShade="80"/>
          </w:tcBorders>
          <w:vAlign w:val="center"/>
        </w:tcPr>
        <w:p w14:paraId="1998DDB7" w14:textId="77777777" w:rsidR="00292BCA" w:rsidRDefault="00292BCA" w:rsidP="00437B19">
          <w:pPr>
            <w:pStyle w:val="Header"/>
            <w:rPr>
              <w:b/>
              <w:color w:val="215868" w:themeColor="accent5" w:themeShade="80"/>
              <w:sz w:val="16"/>
              <w:szCs w:val="14"/>
            </w:rPr>
          </w:pPr>
          <w:r w:rsidRPr="00037726">
            <w:rPr>
              <w:noProof/>
            </w:rPr>
            <w:drawing>
              <wp:inline distT="0" distB="0" distL="0" distR="0" wp14:anchorId="12187ADF" wp14:editId="502E877D">
                <wp:extent cx="1041138" cy="540000"/>
                <wp:effectExtent l="0" t="0" r="6985" b="0"/>
                <wp:docPr id="336" name="Picture 336"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8" t="14750" r="33382" b="25445"/>
                        <a:stretch/>
                      </pic:blipFill>
                      <pic:spPr bwMode="auto">
                        <a:xfrm>
                          <a:off x="0" y="0"/>
                          <a:ext cx="1041138"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1" w:type="pct"/>
          <w:tcBorders>
            <w:bottom w:val="single" w:sz="8" w:space="0" w:color="215868" w:themeColor="accent5" w:themeShade="80"/>
          </w:tcBorders>
          <w:vAlign w:val="center"/>
        </w:tcPr>
        <w:p w14:paraId="187E6C41" w14:textId="77777777" w:rsidR="00292BCA" w:rsidRPr="00F21903" w:rsidRDefault="00292BCA" w:rsidP="00F21903">
          <w:pPr>
            <w:pStyle w:val="Header"/>
            <w:spacing w:before="60"/>
            <w:jc w:val="right"/>
            <w:rPr>
              <w:b/>
              <w:sz w:val="16"/>
              <w:szCs w:val="14"/>
            </w:rPr>
          </w:pPr>
          <w:r w:rsidRPr="00F21903">
            <w:rPr>
              <w:b/>
              <w:sz w:val="16"/>
              <w:szCs w:val="14"/>
            </w:rPr>
            <w:t xml:space="preserve">ΕΝΔΙΑΜΕΣΗ ΑΞΙΟΛΟΓΗΣΗ ΤΟΥ ΕΠΙΧΕΙΡΗΣΙΑΚΟΥ ΠΡΟΓΡΑΜΜΑΤΟΣ </w:t>
          </w:r>
          <w:r w:rsidRPr="00F21903">
            <w:rPr>
              <w:b/>
              <w:sz w:val="16"/>
              <w:szCs w:val="14"/>
            </w:rPr>
            <w:br/>
            <w:t>«ΜΕΤΑΡΡΥΘΜΙΣΗ ΔΗΜΟΣΙΟΥ ΤΟΜΕΑ» ΚΑΤΑ ΤΟ ΕΤΟΣ 2018</w:t>
          </w:r>
        </w:p>
        <w:p w14:paraId="450BCAFC" w14:textId="77777777" w:rsidR="00292BCA" w:rsidRPr="006578FB" w:rsidRDefault="00292BCA" w:rsidP="001F7FEB">
          <w:pPr>
            <w:pStyle w:val="Header"/>
            <w:spacing w:before="120" w:after="60"/>
            <w:jc w:val="right"/>
            <w:rPr>
              <w:b/>
              <w:i/>
              <w:color w:val="0070C0"/>
              <w:sz w:val="14"/>
              <w:szCs w:val="14"/>
            </w:rPr>
          </w:pPr>
          <w:r w:rsidRPr="00206ECA">
            <w:rPr>
              <w:b/>
              <w:i/>
              <w:color w:val="31849B" w:themeColor="accent5" w:themeShade="BF"/>
              <w:sz w:val="16"/>
              <w:szCs w:val="14"/>
            </w:rPr>
            <w:t>Παραδοτέο 2: Τεκμηρίωση Αναθεώρησης / Τροποποίησης ΕΠ ΜΔΤ</w:t>
          </w:r>
        </w:p>
      </w:tc>
    </w:tr>
  </w:tbl>
  <w:p w14:paraId="21B1794F" w14:textId="77777777" w:rsidR="00292BCA" w:rsidRPr="007F01DA" w:rsidRDefault="00292BCA">
    <w:pPr>
      <w:pStyle w:val="Header"/>
      <w:rPr>
        <w:sz w:val="6"/>
        <w:szCs w:val="6"/>
      </w:rPr>
    </w:pPr>
  </w:p>
  <w:p w14:paraId="308795F4" w14:textId="77777777" w:rsidR="00292BCA" w:rsidRDefault="00292B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0070C0"/>
      </w:tblBorders>
      <w:tblCellMar>
        <w:left w:w="0" w:type="dxa"/>
        <w:right w:w="0" w:type="dxa"/>
      </w:tblCellMar>
      <w:tblLook w:val="01E0" w:firstRow="1" w:lastRow="1" w:firstColumn="1" w:lastColumn="1" w:noHBand="0" w:noVBand="0"/>
    </w:tblPr>
    <w:tblGrid>
      <w:gridCol w:w="3778"/>
      <w:gridCol w:w="10224"/>
    </w:tblGrid>
    <w:tr w:rsidR="00292BCA" w:rsidRPr="007F01DA" w14:paraId="240A73FC" w14:textId="77777777" w:rsidTr="00437B19">
      <w:trPr>
        <w:trHeight w:val="391"/>
        <w:jc w:val="center"/>
      </w:trPr>
      <w:tc>
        <w:tcPr>
          <w:tcW w:w="1349" w:type="pct"/>
          <w:tcBorders>
            <w:bottom w:val="single" w:sz="8" w:space="0" w:color="215868" w:themeColor="accent5" w:themeShade="80"/>
          </w:tcBorders>
          <w:vAlign w:val="center"/>
        </w:tcPr>
        <w:p w14:paraId="1FFF7905" w14:textId="77777777" w:rsidR="00292BCA" w:rsidRDefault="00292BCA" w:rsidP="00437B19">
          <w:pPr>
            <w:pStyle w:val="Header"/>
            <w:rPr>
              <w:b/>
              <w:color w:val="215868" w:themeColor="accent5" w:themeShade="80"/>
              <w:sz w:val="16"/>
              <w:szCs w:val="14"/>
            </w:rPr>
          </w:pPr>
          <w:r w:rsidRPr="00037726">
            <w:rPr>
              <w:noProof/>
            </w:rPr>
            <w:drawing>
              <wp:inline distT="0" distB="0" distL="0" distR="0" wp14:anchorId="150A4111" wp14:editId="456EF035">
                <wp:extent cx="1041138" cy="540000"/>
                <wp:effectExtent l="0" t="0" r="6985" b="0"/>
                <wp:docPr id="28" name="Picture 28"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8" t="14750" r="33382" b="25445"/>
                        <a:stretch/>
                      </pic:blipFill>
                      <pic:spPr bwMode="auto">
                        <a:xfrm>
                          <a:off x="0" y="0"/>
                          <a:ext cx="1041138"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1" w:type="pct"/>
          <w:tcBorders>
            <w:bottom w:val="single" w:sz="8" w:space="0" w:color="215868" w:themeColor="accent5" w:themeShade="80"/>
          </w:tcBorders>
          <w:vAlign w:val="center"/>
        </w:tcPr>
        <w:p w14:paraId="26D26CF1" w14:textId="77777777" w:rsidR="00292BCA" w:rsidRPr="00F21903" w:rsidRDefault="00292BCA" w:rsidP="00F21903">
          <w:pPr>
            <w:pStyle w:val="Header"/>
            <w:spacing w:before="60"/>
            <w:jc w:val="right"/>
            <w:rPr>
              <w:b/>
              <w:sz w:val="16"/>
              <w:szCs w:val="14"/>
            </w:rPr>
          </w:pPr>
          <w:r w:rsidRPr="00F21903">
            <w:rPr>
              <w:b/>
              <w:sz w:val="16"/>
              <w:szCs w:val="14"/>
            </w:rPr>
            <w:t xml:space="preserve">ΕΝΔΙΑΜΕΣΗ ΑΞΙΟΛΟΓΗΣΗ ΤΟΥ ΕΠΙΧΕΙΡΗΣΙΑΚΟΥ ΠΡΟΓΡΑΜΜΑΤΟΣ </w:t>
          </w:r>
          <w:r w:rsidRPr="00F21903">
            <w:rPr>
              <w:b/>
              <w:sz w:val="16"/>
              <w:szCs w:val="14"/>
            </w:rPr>
            <w:br/>
            <w:t>«ΜΕΤΑΡΡΥΘΜΙΣΗ ΔΗΜΟΣΙΟΥ ΤΟΜΕΑ» ΚΑΤΑ ΤΟ ΕΤΟΣ 2018</w:t>
          </w:r>
        </w:p>
        <w:p w14:paraId="71AA0EE6" w14:textId="77777777" w:rsidR="00292BCA" w:rsidRPr="006578FB" w:rsidRDefault="00292BCA" w:rsidP="001F7FEB">
          <w:pPr>
            <w:pStyle w:val="Header"/>
            <w:spacing w:before="120" w:after="60"/>
            <w:jc w:val="right"/>
            <w:rPr>
              <w:b/>
              <w:i/>
              <w:color w:val="0070C0"/>
              <w:sz w:val="14"/>
              <w:szCs w:val="14"/>
            </w:rPr>
          </w:pPr>
          <w:r w:rsidRPr="00206ECA">
            <w:rPr>
              <w:b/>
              <w:i/>
              <w:color w:val="31849B" w:themeColor="accent5" w:themeShade="BF"/>
              <w:sz w:val="16"/>
              <w:szCs w:val="14"/>
            </w:rPr>
            <w:t>Παραδοτέο 2: Τεκμηρίωση Αναθεώρησης / Τροποποίησης ΕΠ ΜΔΤ</w:t>
          </w:r>
        </w:p>
      </w:tc>
    </w:tr>
  </w:tbl>
  <w:p w14:paraId="401049B6" w14:textId="77777777" w:rsidR="00292BCA" w:rsidRPr="007F01DA" w:rsidRDefault="00292BCA">
    <w:pPr>
      <w:pStyle w:val="Header"/>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0070C0"/>
      </w:tblBorders>
      <w:tblCellMar>
        <w:left w:w="0" w:type="dxa"/>
        <w:right w:w="0" w:type="dxa"/>
      </w:tblCellMar>
      <w:tblLook w:val="01E0" w:firstRow="1" w:lastRow="1" w:firstColumn="1" w:lastColumn="1" w:noHBand="0" w:noVBand="0"/>
    </w:tblPr>
    <w:tblGrid>
      <w:gridCol w:w="2447"/>
      <w:gridCol w:w="6623"/>
    </w:tblGrid>
    <w:tr w:rsidR="00292BCA" w:rsidRPr="007F01DA" w14:paraId="0DBE69CA" w14:textId="77777777" w:rsidTr="00437B19">
      <w:trPr>
        <w:trHeight w:val="391"/>
        <w:jc w:val="center"/>
      </w:trPr>
      <w:tc>
        <w:tcPr>
          <w:tcW w:w="1349" w:type="pct"/>
          <w:tcBorders>
            <w:bottom w:val="single" w:sz="8" w:space="0" w:color="215868" w:themeColor="accent5" w:themeShade="80"/>
          </w:tcBorders>
          <w:vAlign w:val="center"/>
        </w:tcPr>
        <w:p w14:paraId="0F48DEAA" w14:textId="77777777" w:rsidR="00292BCA" w:rsidRDefault="00292BCA" w:rsidP="00437B19">
          <w:pPr>
            <w:pStyle w:val="Header"/>
            <w:rPr>
              <w:b/>
              <w:color w:val="215868" w:themeColor="accent5" w:themeShade="80"/>
              <w:sz w:val="16"/>
              <w:szCs w:val="14"/>
            </w:rPr>
          </w:pPr>
          <w:r w:rsidRPr="00037726">
            <w:rPr>
              <w:noProof/>
            </w:rPr>
            <w:drawing>
              <wp:inline distT="0" distB="0" distL="0" distR="0" wp14:anchorId="5C2CC7C8" wp14:editId="3CF93759">
                <wp:extent cx="1041138" cy="540000"/>
                <wp:effectExtent l="0" t="0" r="6985" b="0"/>
                <wp:docPr id="29" name="Picture 29"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8" t="14750" r="33382" b="25445"/>
                        <a:stretch/>
                      </pic:blipFill>
                      <pic:spPr bwMode="auto">
                        <a:xfrm>
                          <a:off x="0" y="0"/>
                          <a:ext cx="1041138"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1" w:type="pct"/>
          <w:tcBorders>
            <w:bottom w:val="single" w:sz="8" w:space="0" w:color="215868" w:themeColor="accent5" w:themeShade="80"/>
          </w:tcBorders>
          <w:vAlign w:val="center"/>
        </w:tcPr>
        <w:p w14:paraId="7992C7C4" w14:textId="77777777" w:rsidR="00292BCA" w:rsidRPr="00F21903" w:rsidRDefault="00292BCA" w:rsidP="00F21903">
          <w:pPr>
            <w:pStyle w:val="Header"/>
            <w:spacing w:before="60"/>
            <w:jc w:val="right"/>
            <w:rPr>
              <w:b/>
              <w:sz w:val="16"/>
              <w:szCs w:val="14"/>
            </w:rPr>
          </w:pPr>
          <w:r w:rsidRPr="00F21903">
            <w:rPr>
              <w:b/>
              <w:sz w:val="16"/>
              <w:szCs w:val="14"/>
            </w:rPr>
            <w:t xml:space="preserve">ΕΝΔΙΑΜΕΣΗ ΑΞΙΟΛΟΓΗΣΗ ΤΟΥ ΕΠΙΧΕΙΡΗΣΙΑΚΟΥ ΠΡΟΓΡΑΜΜΑΤΟΣ </w:t>
          </w:r>
          <w:r w:rsidRPr="00F21903">
            <w:rPr>
              <w:b/>
              <w:sz w:val="16"/>
              <w:szCs w:val="14"/>
            </w:rPr>
            <w:br/>
            <w:t>«ΜΕΤΑΡΡΥΘΜΙΣΗ ΔΗΜΟΣΙΟΥ ΤΟΜΕΑ» ΚΑΤΑ ΤΟ ΕΤΟΣ 2018</w:t>
          </w:r>
        </w:p>
        <w:p w14:paraId="0F06AA42" w14:textId="77777777" w:rsidR="00292BCA" w:rsidRPr="006578FB" w:rsidRDefault="00292BCA" w:rsidP="001F7FEB">
          <w:pPr>
            <w:pStyle w:val="Header"/>
            <w:spacing w:before="120" w:after="60"/>
            <w:jc w:val="right"/>
            <w:rPr>
              <w:b/>
              <w:i/>
              <w:color w:val="0070C0"/>
              <w:sz w:val="14"/>
              <w:szCs w:val="14"/>
            </w:rPr>
          </w:pPr>
          <w:r w:rsidRPr="00206ECA">
            <w:rPr>
              <w:b/>
              <w:i/>
              <w:color w:val="31849B" w:themeColor="accent5" w:themeShade="BF"/>
              <w:sz w:val="16"/>
              <w:szCs w:val="14"/>
            </w:rPr>
            <w:t>Παραδοτέο 2: Τεκμηρίωση Αναθεώρησης / Τροποποίησης ΕΠ ΜΔΤ</w:t>
          </w:r>
        </w:p>
      </w:tc>
    </w:tr>
  </w:tbl>
  <w:p w14:paraId="5CED2C9E" w14:textId="77777777" w:rsidR="00292BCA" w:rsidRPr="007F01DA" w:rsidRDefault="00292BCA">
    <w:pPr>
      <w:pStyle w:val="Header"/>
      <w:rPr>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0070C0"/>
      </w:tblBorders>
      <w:tblCellMar>
        <w:left w:w="0" w:type="dxa"/>
        <w:right w:w="0" w:type="dxa"/>
      </w:tblCellMar>
      <w:tblLook w:val="01E0" w:firstRow="1" w:lastRow="1" w:firstColumn="1" w:lastColumn="1" w:noHBand="0" w:noVBand="0"/>
    </w:tblPr>
    <w:tblGrid>
      <w:gridCol w:w="3778"/>
      <w:gridCol w:w="10224"/>
    </w:tblGrid>
    <w:tr w:rsidR="00292BCA" w:rsidRPr="007F01DA" w14:paraId="19DEDBDB" w14:textId="77777777" w:rsidTr="00437B19">
      <w:trPr>
        <w:trHeight w:val="391"/>
        <w:jc w:val="center"/>
      </w:trPr>
      <w:tc>
        <w:tcPr>
          <w:tcW w:w="1349" w:type="pct"/>
          <w:tcBorders>
            <w:bottom w:val="single" w:sz="8" w:space="0" w:color="215868" w:themeColor="accent5" w:themeShade="80"/>
          </w:tcBorders>
          <w:vAlign w:val="center"/>
        </w:tcPr>
        <w:p w14:paraId="35550208" w14:textId="77777777" w:rsidR="00292BCA" w:rsidRDefault="00292BCA" w:rsidP="00437B19">
          <w:pPr>
            <w:pStyle w:val="Header"/>
            <w:rPr>
              <w:b/>
              <w:color w:val="215868" w:themeColor="accent5" w:themeShade="80"/>
              <w:sz w:val="16"/>
              <w:szCs w:val="14"/>
            </w:rPr>
          </w:pPr>
          <w:r w:rsidRPr="00037726">
            <w:rPr>
              <w:noProof/>
            </w:rPr>
            <w:drawing>
              <wp:inline distT="0" distB="0" distL="0" distR="0" wp14:anchorId="5B9B1D09" wp14:editId="68B5BAAF">
                <wp:extent cx="1041138" cy="540000"/>
                <wp:effectExtent l="0" t="0" r="6985" b="0"/>
                <wp:docPr id="332" name="Picture 332"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8" t="14750" r="33382" b="25445"/>
                        <a:stretch/>
                      </pic:blipFill>
                      <pic:spPr bwMode="auto">
                        <a:xfrm>
                          <a:off x="0" y="0"/>
                          <a:ext cx="1041138"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1" w:type="pct"/>
          <w:tcBorders>
            <w:bottom w:val="single" w:sz="8" w:space="0" w:color="215868" w:themeColor="accent5" w:themeShade="80"/>
          </w:tcBorders>
          <w:vAlign w:val="center"/>
        </w:tcPr>
        <w:p w14:paraId="193BC2A0" w14:textId="77777777" w:rsidR="00292BCA" w:rsidRPr="00F21903" w:rsidRDefault="00292BCA" w:rsidP="00F21903">
          <w:pPr>
            <w:pStyle w:val="Header"/>
            <w:spacing w:before="60"/>
            <w:jc w:val="right"/>
            <w:rPr>
              <w:b/>
              <w:sz w:val="16"/>
              <w:szCs w:val="14"/>
            </w:rPr>
          </w:pPr>
          <w:r w:rsidRPr="00F21903">
            <w:rPr>
              <w:b/>
              <w:sz w:val="16"/>
              <w:szCs w:val="14"/>
            </w:rPr>
            <w:t xml:space="preserve">ΕΝΔΙΑΜΕΣΗ ΑΞΙΟΛΟΓΗΣΗ ΤΟΥ ΕΠΙΧΕΙΡΗΣΙΑΚΟΥ ΠΡΟΓΡΑΜΜΑΤΟΣ </w:t>
          </w:r>
          <w:r w:rsidRPr="00F21903">
            <w:rPr>
              <w:b/>
              <w:sz w:val="16"/>
              <w:szCs w:val="14"/>
            </w:rPr>
            <w:br/>
            <w:t>«ΜΕΤΑΡΡΥΘΜΙΣΗ ΔΗΜΟΣΙΟΥ ΤΟΜΕΑ» ΚΑΤΑ ΤΟ ΕΤΟΣ 2018</w:t>
          </w:r>
        </w:p>
        <w:p w14:paraId="24A6462C" w14:textId="77777777" w:rsidR="00292BCA" w:rsidRPr="006578FB" w:rsidRDefault="00292BCA" w:rsidP="001F7FEB">
          <w:pPr>
            <w:pStyle w:val="Header"/>
            <w:spacing w:before="120" w:after="60"/>
            <w:jc w:val="right"/>
            <w:rPr>
              <w:b/>
              <w:i/>
              <w:color w:val="0070C0"/>
              <w:sz w:val="14"/>
              <w:szCs w:val="14"/>
            </w:rPr>
          </w:pPr>
          <w:r w:rsidRPr="00206ECA">
            <w:rPr>
              <w:b/>
              <w:i/>
              <w:color w:val="31849B" w:themeColor="accent5" w:themeShade="BF"/>
              <w:sz w:val="16"/>
              <w:szCs w:val="14"/>
            </w:rPr>
            <w:t>Παραδοτέο 2: Τεκμηρίωση Αναθεώρησης / Τροποποίησης ΕΠ ΜΔΤ</w:t>
          </w:r>
        </w:p>
      </w:tc>
    </w:tr>
  </w:tbl>
  <w:p w14:paraId="15A51A2E" w14:textId="77777777" w:rsidR="00292BCA" w:rsidRPr="007F01DA" w:rsidRDefault="00292BCA">
    <w:pPr>
      <w:pStyle w:val="Header"/>
      <w:rPr>
        <w:sz w:val="6"/>
        <w:szCs w:val="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0070C0"/>
      </w:tblBorders>
      <w:tblCellMar>
        <w:left w:w="0" w:type="dxa"/>
        <w:right w:w="0" w:type="dxa"/>
      </w:tblCellMar>
      <w:tblLook w:val="01E0" w:firstRow="1" w:lastRow="1" w:firstColumn="1" w:lastColumn="1" w:noHBand="0" w:noVBand="0"/>
    </w:tblPr>
    <w:tblGrid>
      <w:gridCol w:w="2447"/>
      <w:gridCol w:w="6623"/>
    </w:tblGrid>
    <w:tr w:rsidR="00292BCA" w:rsidRPr="007F01DA" w14:paraId="6E7C5568" w14:textId="77777777" w:rsidTr="00437B19">
      <w:trPr>
        <w:trHeight w:val="391"/>
        <w:jc w:val="center"/>
      </w:trPr>
      <w:tc>
        <w:tcPr>
          <w:tcW w:w="1349" w:type="pct"/>
          <w:tcBorders>
            <w:bottom w:val="single" w:sz="8" w:space="0" w:color="215868" w:themeColor="accent5" w:themeShade="80"/>
          </w:tcBorders>
          <w:vAlign w:val="center"/>
        </w:tcPr>
        <w:p w14:paraId="780CD47C" w14:textId="77777777" w:rsidR="00292BCA" w:rsidRDefault="00292BCA" w:rsidP="00437B19">
          <w:pPr>
            <w:pStyle w:val="Header"/>
            <w:rPr>
              <w:b/>
              <w:color w:val="215868" w:themeColor="accent5" w:themeShade="80"/>
              <w:sz w:val="16"/>
              <w:szCs w:val="14"/>
            </w:rPr>
          </w:pPr>
          <w:r w:rsidRPr="00037726">
            <w:rPr>
              <w:noProof/>
            </w:rPr>
            <w:drawing>
              <wp:inline distT="0" distB="0" distL="0" distR="0" wp14:anchorId="7919D44B" wp14:editId="6EF2299E">
                <wp:extent cx="1041138" cy="540000"/>
                <wp:effectExtent l="0" t="0" r="6985" b="0"/>
                <wp:docPr id="24" name="Picture 24"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8" t="14750" r="33382" b="25445"/>
                        <a:stretch/>
                      </pic:blipFill>
                      <pic:spPr bwMode="auto">
                        <a:xfrm>
                          <a:off x="0" y="0"/>
                          <a:ext cx="1041138"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1" w:type="pct"/>
          <w:tcBorders>
            <w:bottom w:val="single" w:sz="8" w:space="0" w:color="215868" w:themeColor="accent5" w:themeShade="80"/>
          </w:tcBorders>
          <w:vAlign w:val="center"/>
        </w:tcPr>
        <w:p w14:paraId="1F409415" w14:textId="77777777" w:rsidR="00292BCA" w:rsidRPr="00F21903" w:rsidRDefault="00292BCA" w:rsidP="00F21903">
          <w:pPr>
            <w:pStyle w:val="Header"/>
            <w:spacing w:before="60"/>
            <w:jc w:val="right"/>
            <w:rPr>
              <w:b/>
              <w:sz w:val="16"/>
              <w:szCs w:val="14"/>
            </w:rPr>
          </w:pPr>
          <w:r w:rsidRPr="00F21903">
            <w:rPr>
              <w:b/>
              <w:sz w:val="16"/>
              <w:szCs w:val="14"/>
            </w:rPr>
            <w:t xml:space="preserve">ΕΝΔΙΑΜΕΣΗ ΑΞΙΟΛΟΓΗΣΗ ΤΟΥ ΕΠΙΧΕΙΡΗΣΙΑΚΟΥ ΠΡΟΓΡΑΜΜΑΤΟΣ </w:t>
          </w:r>
          <w:r w:rsidRPr="00F21903">
            <w:rPr>
              <w:b/>
              <w:sz w:val="16"/>
              <w:szCs w:val="14"/>
            </w:rPr>
            <w:br/>
            <w:t>«ΜΕΤΑΡΡΥΘΜΙΣΗ ΔΗΜΟΣΙΟΥ ΤΟΜΕΑ» ΚΑΤΑ ΤΟ ΕΤΟΣ 2018</w:t>
          </w:r>
        </w:p>
        <w:p w14:paraId="0B7DA700" w14:textId="77777777" w:rsidR="00292BCA" w:rsidRPr="006578FB" w:rsidRDefault="00292BCA" w:rsidP="001F7FEB">
          <w:pPr>
            <w:pStyle w:val="Header"/>
            <w:spacing w:before="120" w:after="60"/>
            <w:jc w:val="right"/>
            <w:rPr>
              <w:b/>
              <w:i/>
              <w:color w:val="0070C0"/>
              <w:sz w:val="14"/>
              <w:szCs w:val="14"/>
            </w:rPr>
          </w:pPr>
          <w:r w:rsidRPr="00206ECA">
            <w:rPr>
              <w:b/>
              <w:i/>
              <w:color w:val="31849B" w:themeColor="accent5" w:themeShade="BF"/>
              <w:sz w:val="16"/>
              <w:szCs w:val="14"/>
            </w:rPr>
            <w:t>Παραδοτέο 2: Τεκμηρίωση Αναθεώρησης / Τροποποίησης ΕΠ ΜΔΤ</w:t>
          </w:r>
        </w:p>
      </w:tc>
    </w:tr>
  </w:tbl>
  <w:p w14:paraId="32E56FA4" w14:textId="77777777" w:rsidR="00292BCA" w:rsidRPr="007F01DA" w:rsidRDefault="00292BCA">
    <w:pPr>
      <w:pStyle w:val="Header"/>
      <w:rPr>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0070C0"/>
      </w:tblBorders>
      <w:tblCellMar>
        <w:left w:w="0" w:type="dxa"/>
        <w:right w:w="0" w:type="dxa"/>
      </w:tblCellMar>
      <w:tblLook w:val="01E0" w:firstRow="1" w:lastRow="1" w:firstColumn="1" w:lastColumn="1" w:noHBand="0" w:noVBand="0"/>
    </w:tblPr>
    <w:tblGrid>
      <w:gridCol w:w="3778"/>
      <w:gridCol w:w="10224"/>
    </w:tblGrid>
    <w:tr w:rsidR="00292BCA" w:rsidRPr="007F01DA" w14:paraId="7F505E7B" w14:textId="77777777" w:rsidTr="00437B19">
      <w:trPr>
        <w:trHeight w:val="391"/>
        <w:jc w:val="center"/>
      </w:trPr>
      <w:tc>
        <w:tcPr>
          <w:tcW w:w="1349" w:type="pct"/>
          <w:tcBorders>
            <w:bottom w:val="single" w:sz="8" w:space="0" w:color="215868" w:themeColor="accent5" w:themeShade="80"/>
          </w:tcBorders>
          <w:vAlign w:val="center"/>
        </w:tcPr>
        <w:p w14:paraId="54215789" w14:textId="77777777" w:rsidR="00292BCA" w:rsidRDefault="00292BCA" w:rsidP="00437B19">
          <w:pPr>
            <w:pStyle w:val="Header"/>
            <w:rPr>
              <w:b/>
              <w:color w:val="215868" w:themeColor="accent5" w:themeShade="80"/>
              <w:sz w:val="16"/>
              <w:szCs w:val="14"/>
            </w:rPr>
          </w:pPr>
          <w:r w:rsidRPr="00037726">
            <w:rPr>
              <w:noProof/>
            </w:rPr>
            <w:drawing>
              <wp:inline distT="0" distB="0" distL="0" distR="0" wp14:anchorId="6F510420" wp14:editId="12183557">
                <wp:extent cx="1041138" cy="540000"/>
                <wp:effectExtent l="0" t="0" r="6985" b="0"/>
                <wp:docPr id="26" name="Picture 26"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8" t="14750" r="33382" b="25445"/>
                        <a:stretch/>
                      </pic:blipFill>
                      <pic:spPr bwMode="auto">
                        <a:xfrm>
                          <a:off x="0" y="0"/>
                          <a:ext cx="1041138"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1" w:type="pct"/>
          <w:tcBorders>
            <w:bottom w:val="single" w:sz="8" w:space="0" w:color="215868" w:themeColor="accent5" w:themeShade="80"/>
          </w:tcBorders>
          <w:vAlign w:val="center"/>
        </w:tcPr>
        <w:p w14:paraId="1E27FD36" w14:textId="77777777" w:rsidR="00292BCA" w:rsidRPr="00F21903" w:rsidRDefault="00292BCA" w:rsidP="00F21903">
          <w:pPr>
            <w:pStyle w:val="Header"/>
            <w:spacing w:before="60"/>
            <w:jc w:val="right"/>
            <w:rPr>
              <w:b/>
              <w:sz w:val="16"/>
              <w:szCs w:val="14"/>
            </w:rPr>
          </w:pPr>
          <w:r w:rsidRPr="00F21903">
            <w:rPr>
              <w:b/>
              <w:sz w:val="16"/>
              <w:szCs w:val="14"/>
            </w:rPr>
            <w:t xml:space="preserve">ΕΝΔΙΑΜΕΣΗ ΑΞΙΟΛΟΓΗΣΗ ΤΟΥ ΕΠΙΧΕΙΡΗΣΙΑΚΟΥ ΠΡΟΓΡΑΜΜΑΤΟΣ </w:t>
          </w:r>
          <w:r w:rsidRPr="00F21903">
            <w:rPr>
              <w:b/>
              <w:sz w:val="16"/>
              <w:szCs w:val="14"/>
            </w:rPr>
            <w:br/>
            <w:t>«ΜΕΤΑΡΡΥΘΜΙΣΗ ΔΗΜΟΣΙΟΥ ΤΟΜΕΑ» ΚΑΤΑ ΤΟ ΕΤΟΣ 2018</w:t>
          </w:r>
        </w:p>
        <w:p w14:paraId="7F29BD4E" w14:textId="77777777" w:rsidR="00292BCA" w:rsidRPr="006578FB" w:rsidRDefault="00292BCA" w:rsidP="001F7FEB">
          <w:pPr>
            <w:pStyle w:val="Header"/>
            <w:spacing w:before="120" w:after="60"/>
            <w:jc w:val="right"/>
            <w:rPr>
              <w:b/>
              <w:i/>
              <w:color w:val="0070C0"/>
              <w:sz w:val="14"/>
              <w:szCs w:val="14"/>
            </w:rPr>
          </w:pPr>
          <w:r w:rsidRPr="00206ECA">
            <w:rPr>
              <w:b/>
              <w:i/>
              <w:color w:val="31849B" w:themeColor="accent5" w:themeShade="BF"/>
              <w:sz w:val="16"/>
              <w:szCs w:val="14"/>
            </w:rPr>
            <w:t>Παραδοτέο 2: Τεκμηρίωση Αναθεώρησης / Τροποποίησης ΕΠ ΜΔΤ</w:t>
          </w:r>
        </w:p>
      </w:tc>
    </w:tr>
  </w:tbl>
  <w:p w14:paraId="49458C58" w14:textId="77777777" w:rsidR="00292BCA" w:rsidRPr="007F01DA" w:rsidRDefault="00292BCA">
    <w:pPr>
      <w:pStyle w:val="Header"/>
      <w:rPr>
        <w:sz w:val="6"/>
        <w:szCs w:val="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0070C0"/>
      </w:tblBorders>
      <w:tblCellMar>
        <w:left w:w="0" w:type="dxa"/>
        <w:right w:w="0" w:type="dxa"/>
      </w:tblCellMar>
      <w:tblLook w:val="01E0" w:firstRow="1" w:lastRow="1" w:firstColumn="1" w:lastColumn="1" w:noHBand="0" w:noVBand="0"/>
    </w:tblPr>
    <w:tblGrid>
      <w:gridCol w:w="2447"/>
      <w:gridCol w:w="6623"/>
    </w:tblGrid>
    <w:tr w:rsidR="00292BCA" w:rsidRPr="007F01DA" w14:paraId="21D3042E" w14:textId="77777777" w:rsidTr="00437B19">
      <w:trPr>
        <w:trHeight w:val="391"/>
        <w:jc w:val="center"/>
      </w:trPr>
      <w:tc>
        <w:tcPr>
          <w:tcW w:w="1349" w:type="pct"/>
          <w:tcBorders>
            <w:bottom w:val="single" w:sz="8" w:space="0" w:color="215868" w:themeColor="accent5" w:themeShade="80"/>
          </w:tcBorders>
          <w:vAlign w:val="center"/>
        </w:tcPr>
        <w:p w14:paraId="70A1E78F" w14:textId="77777777" w:rsidR="00292BCA" w:rsidRDefault="00292BCA" w:rsidP="00437B19">
          <w:pPr>
            <w:pStyle w:val="Header"/>
            <w:rPr>
              <w:b/>
              <w:color w:val="215868" w:themeColor="accent5" w:themeShade="80"/>
              <w:sz w:val="16"/>
              <w:szCs w:val="14"/>
            </w:rPr>
          </w:pPr>
          <w:r w:rsidRPr="00037726">
            <w:rPr>
              <w:noProof/>
            </w:rPr>
            <w:drawing>
              <wp:inline distT="0" distB="0" distL="0" distR="0" wp14:anchorId="4ECAA83E" wp14:editId="4FA53F52">
                <wp:extent cx="1041138" cy="540000"/>
                <wp:effectExtent l="0" t="0" r="6985" b="0"/>
                <wp:docPr id="318" name="Picture 318"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8" t="14750" r="33382" b="25445"/>
                        <a:stretch/>
                      </pic:blipFill>
                      <pic:spPr bwMode="auto">
                        <a:xfrm>
                          <a:off x="0" y="0"/>
                          <a:ext cx="1041138"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1" w:type="pct"/>
          <w:tcBorders>
            <w:bottom w:val="single" w:sz="8" w:space="0" w:color="215868" w:themeColor="accent5" w:themeShade="80"/>
          </w:tcBorders>
          <w:vAlign w:val="center"/>
        </w:tcPr>
        <w:p w14:paraId="0E3D55DC" w14:textId="77777777" w:rsidR="00292BCA" w:rsidRPr="00F21903" w:rsidRDefault="00292BCA" w:rsidP="00F21903">
          <w:pPr>
            <w:pStyle w:val="Header"/>
            <w:spacing w:before="60"/>
            <w:jc w:val="right"/>
            <w:rPr>
              <w:b/>
              <w:sz w:val="16"/>
              <w:szCs w:val="14"/>
            </w:rPr>
          </w:pPr>
          <w:r w:rsidRPr="00F21903">
            <w:rPr>
              <w:b/>
              <w:sz w:val="16"/>
              <w:szCs w:val="14"/>
            </w:rPr>
            <w:t xml:space="preserve">ΕΝΔΙΑΜΕΣΗ ΑΞΙΟΛΟΓΗΣΗ ΤΟΥ ΕΠΙΧΕΙΡΗΣΙΑΚΟΥ ΠΡΟΓΡΑΜΜΑΤΟΣ </w:t>
          </w:r>
          <w:r w:rsidRPr="00F21903">
            <w:rPr>
              <w:b/>
              <w:sz w:val="16"/>
              <w:szCs w:val="14"/>
            </w:rPr>
            <w:br/>
            <w:t>«ΜΕΤΑΡΡΥΘΜΙΣΗ ΔΗΜΟΣΙΟΥ ΤΟΜΕΑ» ΚΑΤΑ ΤΟ ΕΤΟΣ 2018</w:t>
          </w:r>
        </w:p>
        <w:p w14:paraId="6213849A" w14:textId="77777777" w:rsidR="00292BCA" w:rsidRPr="006578FB" w:rsidRDefault="00292BCA" w:rsidP="001F7FEB">
          <w:pPr>
            <w:pStyle w:val="Header"/>
            <w:spacing w:before="120" w:after="60"/>
            <w:jc w:val="right"/>
            <w:rPr>
              <w:b/>
              <w:i/>
              <w:color w:val="0070C0"/>
              <w:sz w:val="14"/>
              <w:szCs w:val="14"/>
            </w:rPr>
          </w:pPr>
          <w:r w:rsidRPr="00206ECA">
            <w:rPr>
              <w:b/>
              <w:i/>
              <w:color w:val="31849B" w:themeColor="accent5" w:themeShade="BF"/>
              <w:sz w:val="16"/>
              <w:szCs w:val="14"/>
            </w:rPr>
            <w:t>Παραδοτέο 2: Τεκμηρίωση Αναθεώρησης / Τροποποίησης ΕΠ ΜΔΤ</w:t>
          </w:r>
        </w:p>
      </w:tc>
    </w:tr>
  </w:tbl>
  <w:p w14:paraId="37541255" w14:textId="77777777" w:rsidR="00292BCA" w:rsidRPr="007F01DA" w:rsidRDefault="00292BCA">
    <w:pPr>
      <w:pStyle w:val="Header"/>
      <w:rPr>
        <w:sz w:val="6"/>
        <w:szCs w:val="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0070C0"/>
      </w:tblBorders>
      <w:tblCellMar>
        <w:left w:w="0" w:type="dxa"/>
        <w:right w:w="0" w:type="dxa"/>
      </w:tblCellMar>
      <w:tblLook w:val="01E0" w:firstRow="1" w:lastRow="1" w:firstColumn="1" w:lastColumn="1" w:noHBand="0" w:noVBand="0"/>
    </w:tblPr>
    <w:tblGrid>
      <w:gridCol w:w="3778"/>
      <w:gridCol w:w="10224"/>
    </w:tblGrid>
    <w:tr w:rsidR="00292BCA" w:rsidRPr="007F01DA" w14:paraId="4E328989" w14:textId="77777777" w:rsidTr="00437B19">
      <w:trPr>
        <w:trHeight w:val="391"/>
        <w:jc w:val="center"/>
      </w:trPr>
      <w:tc>
        <w:tcPr>
          <w:tcW w:w="1349" w:type="pct"/>
          <w:tcBorders>
            <w:bottom w:val="single" w:sz="8" w:space="0" w:color="215868" w:themeColor="accent5" w:themeShade="80"/>
          </w:tcBorders>
          <w:vAlign w:val="center"/>
        </w:tcPr>
        <w:p w14:paraId="01ECDA3E" w14:textId="77777777" w:rsidR="00292BCA" w:rsidRDefault="00292BCA" w:rsidP="00437B19">
          <w:pPr>
            <w:pStyle w:val="Header"/>
            <w:rPr>
              <w:b/>
              <w:color w:val="215868" w:themeColor="accent5" w:themeShade="80"/>
              <w:sz w:val="16"/>
              <w:szCs w:val="14"/>
            </w:rPr>
          </w:pPr>
          <w:r w:rsidRPr="00037726">
            <w:rPr>
              <w:noProof/>
            </w:rPr>
            <w:drawing>
              <wp:inline distT="0" distB="0" distL="0" distR="0" wp14:anchorId="1E2204B8" wp14:editId="1A1BC9FB">
                <wp:extent cx="1041138" cy="540000"/>
                <wp:effectExtent l="0" t="0" r="6985" b="0"/>
                <wp:docPr id="320" name="Picture 320"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8" t="14750" r="33382" b="25445"/>
                        <a:stretch/>
                      </pic:blipFill>
                      <pic:spPr bwMode="auto">
                        <a:xfrm>
                          <a:off x="0" y="0"/>
                          <a:ext cx="1041138"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1" w:type="pct"/>
          <w:tcBorders>
            <w:bottom w:val="single" w:sz="8" w:space="0" w:color="215868" w:themeColor="accent5" w:themeShade="80"/>
          </w:tcBorders>
          <w:vAlign w:val="center"/>
        </w:tcPr>
        <w:p w14:paraId="767D1E77" w14:textId="77777777" w:rsidR="00292BCA" w:rsidRPr="00F21903" w:rsidRDefault="00292BCA" w:rsidP="00F21903">
          <w:pPr>
            <w:pStyle w:val="Header"/>
            <w:spacing w:before="60"/>
            <w:jc w:val="right"/>
            <w:rPr>
              <w:b/>
              <w:sz w:val="16"/>
              <w:szCs w:val="14"/>
            </w:rPr>
          </w:pPr>
          <w:r w:rsidRPr="00F21903">
            <w:rPr>
              <w:b/>
              <w:sz w:val="16"/>
              <w:szCs w:val="14"/>
            </w:rPr>
            <w:t xml:space="preserve">ΕΝΔΙΑΜΕΣΗ ΑΞΙΟΛΟΓΗΣΗ ΤΟΥ ΕΠΙΧΕΙΡΗΣΙΑΚΟΥ ΠΡΟΓΡΑΜΜΑΤΟΣ </w:t>
          </w:r>
          <w:r w:rsidRPr="00F21903">
            <w:rPr>
              <w:b/>
              <w:sz w:val="16"/>
              <w:szCs w:val="14"/>
            </w:rPr>
            <w:br/>
            <w:t>«ΜΕΤΑΡΡΥΘΜΙΣΗ ΔΗΜΟΣΙΟΥ ΤΟΜΕΑ» ΚΑΤΑ ΤΟ ΕΤΟΣ 2018</w:t>
          </w:r>
        </w:p>
        <w:p w14:paraId="39069FF0" w14:textId="77777777" w:rsidR="00292BCA" w:rsidRPr="006578FB" w:rsidRDefault="00292BCA" w:rsidP="001F7FEB">
          <w:pPr>
            <w:pStyle w:val="Header"/>
            <w:spacing w:before="120" w:after="60"/>
            <w:jc w:val="right"/>
            <w:rPr>
              <w:b/>
              <w:i/>
              <w:color w:val="0070C0"/>
              <w:sz w:val="14"/>
              <w:szCs w:val="14"/>
            </w:rPr>
          </w:pPr>
          <w:r w:rsidRPr="00206ECA">
            <w:rPr>
              <w:b/>
              <w:i/>
              <w:color w:val="31849B" w:themeColor="accent5" w:themeShade="BF"/>
              <w:sz w:val="16"/>
              <w:szCs w:val="14"/>
            </w:rPr>
            <w:t>Παραδοτέο 2: Τεκμηρίωση Αναθεώρησης / Τροποποίησης ΕΠ ΜΔΤ</w:t>
          </w:r>
        </w:p>
      </w:tc>
    </w:tr>
  </w:tbl>
  <w:p w14:paraId="03D33453" w14:textId="77777777" w:rsidR="00292BCA" w:rsidRPr="007F01DA" w:rsidRDefault="00292BCA">
    <w:pPr>
      <w:pStyle w:val="Header"/>
      <w:rPr>
        <w:sz w:val="6"/>
        <w:szCs w:val="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0070C0"/>
      </w:tblBorders>
      <w:tblCellMar>
        <w:left w:w="0" w:type="dxa"/>
        <w:right w:w="0" w:type="dxa"/>
      </w:tblCellMar>
      <w:tblLook w:val="01E0" w:firstRow="1" w:lastRow="1" w:firstColumn="1" w:lastColumn="1" w:noHBand="0" w:noVBand="0"/>
    </w:tblPr>
    <w:tblGrid>
      <w:gridCol w:w="2447"/>
      <w:gridCol w:w="6623"/>
    </w:tblGrid>
    <w:tr w:rsidR="00292BCA" w:rsidRPr="007F01DA" w14:paraId="6C9A6D28" w14:textId="77777777" w:rsidTr="00437B19">
      <w:trPr>
        <w:trHeight w:val="391"/>
        <w:jc w:val="center"/>
      </w:trPr>
      <w:tc>
        <w:tcPr>
          <w:tcW w:w="1349" w:type="pct"/>
          <w:tcBorders>
            <w:bottom w:val="single" w:sz="8" w:space="0" w:color="215868" w:themeColor="accent5" w:themeShade="80"/>
          </w:tcBorders>
          <w:vAlign w:val="center"/>
        </w:tcPr>
        <w:p w14:paraId="390DF19D" w14:textId="77777777" w:rsidR="00292BCA" w:rsidRDefault="00292BCA" w:rsidP="00437B19">
          <w:pPr>
            <w:pStyle w:val="Header"/>
            <w:rPr>
              <w:b/>
              <w:color w:val="215868" w:themeColor="accent5" w:themeShade="80"/>
              <w:sz w:val="16"/>
              <w:szCs w:val="14"/>
            </w:rPr>
          </w:pPr>
          <w:r w:rsidRPr="00037726">
            <w:rPr>
              <w:noProof/>
            </w:rPr>
            <w:drawing>
              <wp:inline distT="0" distB="0" distL="0" distR="0" wp14:anchorId="1D2B6995" wp14:editId="257E3DD7">
                <wp:extent cx="1041138" cy="540000"/>
                <wp:effectExtent l="0" t="0" r="6985" b="0"/>
                <wp:docPr id="322" name="Picture 322"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8" t="14750" r="33382" b="25445"/>
                        <a:stretch/>
                      </pic:blipFill>
                      <pic:spPr bwMode="auto">
                        <a:xfrm>
                          <a:off x="0" y="0"/>
                          <a:ext cx="1041138"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1" w:type="pct"/>
          <w:tcBorders>
            <w:bottom w:val="single" w:sz="8" w:space="0" w:color="215868" w:themeColor="accent5" w:themeShade="80"/>
          </w:tcBorders>
          <w:vAlign w:val="center"/>
        </w:tcPr>
        <w:p w14:paraId="66FAD9B7" w14:textId="77777777" w:rsidR="00292BCA" w:rsidRPr="00F21903" w:rsidRDefault="00292BCA" w:rsidP="00F21903">
          <w:pPr>
            <w:pStyle w:val="Header"/>
            <w:spacing w:before="60"/>
            <w:jc w:val="right"/>
            <w:rPr>
              <w:b/>
              <w:sz w:val="16"/>
              <w:szCs w:val="14"/>
            </w:rPr>
          </w:pPr>
          <w:r w:rsidRPr="00F21903">
            <w:rPr>
              <w:b/>
              <w:sz w:val="16"/>
              <w:szCs w:val="14"/>
            </w:rPr>
            <w:t xml:space="preserve">ΕΝΔΙΑΜΕΣΗ ΑΞΙΟΛΟΓΗΣΗ ΤΟΥ ΕΠΙΧΕΙΡΗΣΙΑΚΟΥ ΠΡΟΓΡΑΜΜΑΤΟΣ </w:t>
          </w:r>
          <w:r w:rsidRPr="00F21903">
            <w:rPr>
              <w:b/>
              <w:sz w:val="16"/>
              <w:szCs w:val="14"/>
            </w:rPr>
            <w:br/>
            <w:t>«ΜΕΤΑΡΡΥΘΜΙΣΗ ΔΗΜΟΣΙΟΥ ΤΟΜΕΑ» ΚΑΤΑ ΤΟ ΕΤΟΣ 2018</w:t>
          </w:r>
        </w:p>
        <w:p w14:paraId="407F3ED6" w14:textId="77777777" w:rsidR="00292BCA" w:rsidRPr="006578FB" w:rsidRDefault="00292BCA" w:rsidP="001F7FEB">
          <w:pPr>
            <w:pStyle w:val="Header"/>
            <w:spacing w:before="120" w:after="60"/>
            <w:jc w:val="right"/>
            <w:rPr>
              <w:b/>
              <w:i/>
              <w:color w:val="0070C0"/>
              <w:sz w:val="14"/>
              <w:szCs w:val="14"/>
            </w:rPr>
          </w:pPr>
          <w:r w:rsidRPr="00206ECA">
            <w:rPr>
              <w:b/>
              <w:i/>
              <w:color w:val="31849B" w:themeColor="accent5" w:themeShade="BF"/>
              <w:sz w:val="16"/>
              <w:szCs w:val="14"/>
            </w:rPr>
            <w:t>Παραδοτέο 2: Τεκμηρίωση Αναθεώρησης / Τροποποίησης ΕΠ ΜΔΤ</w:t>
          </w:r>
        </w:p>
      </w:tc>
    </w:tr>
  </w:tbl>
  <w:p w14:paraId="7B5A9A6D" w14:textId="77777777" w:rsidR="00292BCA" w:rsidRPr="007F01DA" w:rsidRDefault="00292BCA">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45B7"/>
      </v:shape>
    </w:pict>
  </w:numPicBullet>
  <w:abstractNum w:abstractNumId="0" w15:restartNumberingAfterBreak="0">
    <w:nsid w:val="006C5B83"/>
    <w:multiLevelType w:val="hybridMultilevel"/>
    <w:tmpl w:val="6E589C06"/>
    <w:lvl w:ilvl="0" w:tplc="00EC9AD0">
      <w:numFmt w:val="bullet"/>
      <w:lvlText w:val="-"/>
      <w:lvlJc w:val="left"/>
      <w:pPr>
        <w:ind w:left="720" w:hanging="360"/>
      </w:pPr>
      <w:rPr>
        <w:rFonts w:ascii="Arial" w:eastAsia="Times New Roman"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96411B"/>
    <w:multiLevelType w:val="multilevel"/>
    <w:tmpl w:val="3B3A7852"/>
    <w:lvl w:ilvl="0">
      <w:start w:val="1"/>
      <w:numFmt w:val="decimal"/>
      <w:pStyle w:val="HEADINGALEVEL1"/>
      <w:lvlText w:val="Α.%1"/>
      <w:lvlJc w:val="left"/>
      <w:pPr>
        <w:ind w:left="432" w:hanging="432"/>
      </w:pPr>
      <w:rPr>
        <w:rFonts w:hint="default"/>
      </w:rPr>
    </w:lvl>
    <w:lvl w:ilvl="1">
      <w:start w:val="1"/>
      <w:numFmt w:val="decimal"/>
      <w:pStyle w:val="HEADINGALEVEL1"/>
      <w:lvlText w:val="Α.%1.%2."/>
      <w:lvlJc w:val="left"/>
      <w:pPr>
        <w:ind w:left="576" w:hanging="576"/>
      </w:pPr>
      <w:rPr>
        <w:rFonts w:hint="default"/>
      </w:rPr>
    </w:lvl>
    <w:lvl w:ilvl="2">
      <w:start w:val="1"/>
      <w:numFmt w:val="decimal"/>
      <w:lvlText w:val="Α.%1.%2.%3."/>
      <w:lvlJc w:val="left"/>
      <w:pPr>
        <w:ind w:left="1146" w:hanging="720"/>
      </w:pPr>
      <w:rPr>
        <w:rFonts w:hint="default"/>
        <w:b/>
        <w:sz w:val="22"/>
        <w:szCs w:val="22"/>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88510A3"/>
    <w:multiLevelType w:val="hybridMultilevel"/>
    <w:tmpl w:val="47086C92"/>
    <w:lvl w:ilvl="0" w:tplc="AF40D9E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9D19C0"/>
    <w:multiLevelType w:val="hybridMultilevel"/>
    <w:tmpl w:val="5AE098E8"/>
    <w:lvl w:ilvl="0" w:tplc="6C707E1E">
      <w:start w:val="1"/>
      <w:numFmt w:val="bullet"/>
      <w:pStyle w:val="Bullet1"/>
      <w:lvlText w:val=""/>
      <w:lvlJc w:val="left"/>
      <w:pPr>
        <w:ind w:left="1077" w:hanging="360"/>
      </w:pPr>
      <w:rPr>
        <w:rFonts w:ascii="Symbol" w:hAnsi="Symbol" w:hint="default"/>
        <w:b w:val="0"/>
        <w:bCs w:val="0"/>
        <w:i w:val="0"/>
        <w:strike w:val="0"/>
        <w:color w:val="0070C0"/>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4" w15:restartNumberingAfterBreak="0">
    <w:nsid w:val="0D4F3A4B"/>
    <w:multiLevelType w:val="hybridMultilevel"/>
    <w:tmpl w:val="C76AA824"/>
    <w:lvl w:ilvl="0" w:tplc="C2BC39DC">
      <w:start w:val="1"/>
      <w:numFmt w:val="bullet"/>
      <w:lvlText w:val=""/>
      <w:lvlJc w:val="left"/>
      <w:pPr>
        <w:ind w:left="720" w:hanging="360"/>
      </w:pPr>
      <w:rPr>
        <w:rFonts w:ascii="Wingdings" w:hAnsi="Wingdings"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C301B6"/>
    <w:multiLevelType w:val="hybridMultilevel"/>
    <w:tmpl w:val="8B0A844E"/>
    <w:lvl w:ilvl="0" w:tplc="0CE8725E">
      <w:start w:val="1"/>
      <w:numFmt w:val="bullet"/>
      <w:lvlText w:val=""/>
      <w:lvlJc w:val="left"/>
      <w:pPr>
        <w:ind w:left="767" w:hanging="360"/>
      </w:pPr>
      <w:rPr>
        <w:rFonts w:ascii="Wingdings 3" w:hAnsi="Wingdings 3" w:hint="default"/>
        <w:color w:val="E36C0A"/>
      </w:rPr>
    </w:lvl>
    <w:lvl w:ilvl="1" w:tplc="04080005">
      <w:start w:val="1"/>
      <w:numFmt w:val="bullet"/>
      <w:lvlText w:val=""/>
      <w:lvlJc w:val="left"/>
      <w:pPr>
        <w:ind w:left="1487" w:hanging="360"/>
      </w:pPr>
      <w:rPr>
        <w:rFonts w:ascii="Wingdings" w:hAnsi="Wingdings"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6" w15:restartNumberingAfterBreak="0">
    <w:nsid w:val="15A4576C"/>
    <w:multiLevelType w:val="hybridMultilevel"/>
    <w:tmpl w:val="460EF4C0"/>
    <w:lvl w:ilvl="0" w:tplc="0CE8725E">
      <w:start w:val="1"/>
      <w:numFmt w:val="bullet"/>
      <w:lvlText w:val=""/>
      <w:lvlJc w:val="left"/>
      <w:pPr>
        <w:ind w:left="720" w:hanging="360"/>
      </w:pPr>
      <w:rPr>
        <w:rFonts w:ascii="Wingdings 3" w:hAnsi="Wingdings 3" w:hint="default"/>
        <w:color w:val="E36C0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984F37"/>
    <w:multiLevelType w:val="hybridMultilevel"/>
    <w:tmpl w:val="7782554C"/>
    <w:lvl w:ilvl="0" w:tplc="A26C9EE0">
      <w:start w:val="1"/>
      <w:numFmt w:val="decimal"/>
      <w:pStyle w:val="List1"/>
      <w:lvlText w:val="%1."/>
      <w:lvlJc w:val="left"/>
      <w:pPr>
        <w:ind w:left="720" w:hanging="360"/>
      </w:pPr>
    </w:lvl>
    <w:lvl w:ilvl="1" w:tplc="F030F35E">
      <w:start w:val="1"/>
      <w:numFmt w:val="bullet"/>
      <w:lvlText w:val=""/>
      <w:lvlJc w:val="left"/>
      <w:pPr>
        <w:ind w:left="1440" w:hanging="360"/>
      </w:pPr>
      <w:rPr>
        <w:rFonts w:ascii="Wingdings" w:hAnsi="Wingdings" w:hint="default"/>
        <w:b/>
        <w:bCs w:val="0"/>
        <w:i w:val="0"/>
        <w:color w:val="00B050"/>
        <w:sz w:val="2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507194A"/>
    <w:multiLevelType w:val="hybridMultilevel"/>
    <w:tmpl w:val="D99487A8"/>
    <w:lvl w:ilvl="0" w:tplc="50F06462">
      <w:start w:val="1"/>
      <w:numFmt w:val="bullet"/>
      <w:lvlText w:val=""/>
      <w:lvlJc w:val="left"/>
      <w:pPr>
        <w:ind w:left="720" w:hanging="360"/>
      </w:pPr>
      <w:rPr>
        <w:rFonts w:ascii="Wingdings" w:hAnsi="Wingdings" w:hint="default"/>
        <w:color w:val="00B05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64B18CB"/>
    <w:multiLevelType w:val="hybridMultilevel"/>
    <w:tmpl w:val="B86EFD80"/>
    <w:lvl w:ilvl="0" w:tplc="EF64715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9D728EC"/>
    <w:multiLevelType w:val="hybridMultilevel"/>
    <w:tmpl w:val="31D8AE86"/>
    <w:lvl w:ilvl="0" w:tplc="7F6A9400">
      <w:start w:val="1"/>
      <w:numFmt w:val="bullet"/>
      <w:lvlText w:val=""/>
      <w:lvlJc w:val="left"/>
      <w:pPr>
        <w:ind w:left="720" w:hanging="360"/>
      </w:pPr>
      <w:rPr>
        <w:rFonts w:ascii="Wingdings" w:hAnsi="Wingdings" w:hint="default"/>
        <w:color w:val="E36C0A"/>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BCC396B"/>
    <w:multiLevelType w:val="hybridMultilevel"/>
    <w:tmpl w:val="EC2E2AD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D6C2AD7"/>
    <w:multiLevelType w:val="hybridMultilevel"/>
    <w:tmpl w:val="B4E076D8"/>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13" w15:restartNumberingAfterBreak="0">
    <w:nsid w:val="40B06532"/>
    <w:multiLevelType w:val="hybridMultilevel"/>
    <w:tmpl w:val="70CCC7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15D428B"/>
    <w:multiLevelType w:val="hybridMultilevel"/>
    <w:tmpl w:val="0700E1BA"/>
    <w:lvl w:ilvl="0" w:tplc="42F669F0">
      <w:start w:val="1"/>
      <w:numFmt w:val="bullet"/>
      <w:pStyle w:val="Bullets12"/>
      <w:lvlText w:val=""/>
      <w:lvlJc w:val="left"/>
      <w:pPr>
        <w:ind w:left="1074" w:hanging="360"/>
      </w:pPr>
      <w:rPr>
        <w:rFonts w:ascii="Symbol" w:hAnsi="Symbol" w:hint="default"/>
        <w:b/>
        <w:color w:val="00B0F0"/>
        <w:sz w:val="20"/>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5" w15:restartNumberingAfterBreak="0">
    <w:nsid w:val="42D2428A"/>
    <w:multiLevelType w:val="hybridMultilevel"/>
    <w:tmpl w:val="28BAB2E8"/>
    <w:lvl w:ilvl="0" w:tplc="EC181A3A">
      <w:start w:val="1"/>
      <w:numFmt w:val="bullet"/>
      <w:pStyle w:val="Bullets1"/>
      <w:lvlText w:val="-"/>
      <w:lvlJc w:val="left"/>
      <w:pPr>
        <w:ind w:left="1074" w:hanging="360"/>
      </w:pPr>
      <w:rPr>
        <w:rFonts w:hint="default"/>
        <w:b/>
        <w:color w:val="00B050"/>
        <w:sz w:val="20"/>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6" w15:restartNumberingAfterBreak="0">
    <w:nsid w:val="42F43A99"/>
    <w:multiLevelType w:val="hybridMultilevel"/>
    <w:tmpl w:val="39165454"/>
    <w:lvl w:ilvl="0" w:tplc="7BCCCAFA">
      <w:start w:val="1"/>
      <w:numFmt w:val="bullet"/>
      <w:pStyle w:val="Bullets3"/>
      <w:lvlText w:val=""/>
      <w:lvlJc w:val="left"/>
      <w:pPr>
        <w:ind w:left="717" w:hanging="360"/>
      </w:pPr>
      <w:rPr>
        <w:rFonts w:ascii="Symbol" w:hAnsi="Symbol" w:hint="default"/>
        <w:b w:val="0"/>
        <w:bCs w:val="0"/>
        <w:i w:val="0"/>
        <w:color w:val="92D05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48B3DEB"/>
    <w:multiLevelType w:val="hybridMultilevel"/>
    <w:tmpl w:val="334EC836"/>
    <w:lvl w:ilvl="0" w:tplc="0CE8725E">
      <w:start w:val="1"/>
      <w:numFmt w:val="bullet"/>
      <w:lvlText w:val=""/>
      <w:lvlJc w:val="left"/>
      <w:pPr>
        <w:ind w:left="720" w:hanging="360"/>
      </w:pPr>
      <w:rPr>
        <w:rFonts w:ascii="Wingdings 3" w:hAnsi="Wingdings 3" w:hint="default"/>
        <w:color w:val="E36C0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E87157"/>
    <w:multiLevelType w:val="hybridMultilevel"/>
    <w:tmpl w:val="C85AB9EC"/>
    <w:lvl w:ilvl="0" w:tplc="50F06462">
      <w:start w:val="1"/>
      <w:numFmt w:val="bullet"/>
      <w:lvlText w:val=""/>
      <w:lvlJc w:val="left"/>
      <w:pPr>
        <w:ind w:left="720" w:hanging="360"/>
      </w:pPr>
      <w:rPr>
        <w:rFonts w:ascii="Wingdings" w:hAnsi="Wingdings" w:hint="default"/>
        <w:color w:val="00B05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76709C6"/>
    <w:multiLevelType w:val="hybridMultilevel"/>
    <w:tmpl w:val="2ADED862"/>
    <w:lvl w:ilvl="0" w:tplc="52920B60">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E9159F4"/>
    <w:multiLevelType w:val="hybridMultilevel"/>
    <w:tmpl w:val="9B164502"/>
    <w:lvl w:ilvl="0" w:tplc="0408000F">
      <w:start w:val="1"/>
      <w:numFmt w:val="decimal"/>
      <w:lvlText w:val="%1."/>
      <w:lvlJc w:val="left"/>
      <w:pPr>
        <w:ind w:left="720" w:hanging="360"/>
      </w:pPr>
    </w:lvl>
    <w:lvl w:ilvl="1" w:tplc="04080005">
      <w:start w:val="1"/>
      <w:numFmt w:val="bullet"/>
      <w:lvlText w:val=""/>
      <w:lvlJc w:val="left"/>
      <w:pPr>
        <w:ind w:left="1440" w:hanging="360"/>
      </w:pPr>
      <w:rPr>
        <w:rFonts w:ascii="Wingdings" w:hAnsi="Wingdings" w:hint="default"/>
      </w:rPr>
    </w:lvl>
    <w:lvl w:ilvl="2" w:tplc="04080003">
      <w:start w:val="1"/>
      <w:numFmt w:val="bullet"/>
      <w:lvlText w:val="o"/>
      <w:lvlJc w:val="left"/>
      <w:pPr>
        <w:ind w:left="2160" w:hanging="180"/>
      </w:pPr>
      <w:rPr>
        <w:rFonts w:ascii="Courier New" w:hAnsi="Courier New" w:cs="Courier New"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7FC366C"/>
    <w:multiLevelType w:val="hybridMultilevel"/>
    <w:tmpl w:val="28E2BB20"/>
    <w:lvl w:ilvl="0" w:tplc="7F6A9400">
      <w:start w:val="1"/>
      <w:numFmt w:val="bullet"/>
      <w:lvlText w:val=""/>
      <w:lvlJc w:val="left"/>
      <w:pPr>
        <w:ind w:left="720" w:hanging="360"/>
      </w:pPr>
      <w:rPr>
        <w:rFonts w:ascii="Wingdings" w:hAnsi="Wingdings" w:hint="default"/>
        <w:color w:val="E36C0A"/>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7FF15FB"/>
    <w:multiLevelType w:val="hybridMultilevel"/>
    <w:tmpl w:val="0F522738"/>
    <w:lvl w:ilvl="0" w:tplc="F37C70EE">
      <w:start w:val="1"/>
      <w:numFmt w:val="bullet"/>
      <w:pStyle w:val="a"/>
      <w:lvlText w:val=""/>
      <w:lvlJc w:val="left"/>
      <w:pPr>
        <w:ind w:left="720" w:hanging="360"/>
      </w:pPr>
      <w:rPr>
        <w:rFonts w:ascii="Wingdings" w:hAnsi="Wingdings" w:hint="default"/>
        <w:b/>
        <w:bCs w:val="0"/>
        <w:i w:val="0"/>
        <w:color w:val="00B050"/>
        <w:sz w:val="24"/>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A331170"/>
    <w:multiLevelType w:val="hybridMultilevel"/>
    <w:tmpl w:val="221A8086"/>
    <w:lvl w:ilvl="0" w:tplc="305483F6">
      <w:start w:val="1"/>
      <w:numFmt w:val="bullet"/>
      <w:pStyle w:val="Bullets2"/>
      <w:lvlText w:val=""/>
      <w:lvlJc w:val="left"/>
      <w:pPr>
        <w:ind w:left="1080" w:hanging="360"/>
      </w:pPr>
      <w:rPr>
        <w:rFonts w:ascii="Wingdings" w:hAnsi="Wingdings" w:hint="default"/>
        <w:color w:val="31849B" w:themeColor="accent5" w:themeShade="BF"/>
        <w:sz w:val="12"/>
        <w:szCs w:val="12"/>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60C94379"/>
    <w:multiLevelType w:val="hybridMultilevel"/>
    <w:tmpl w:val="0D70E390"/>
    <w:lvl w:ilvl="0" w:tplc="9BBAADE4">
      <w:start w:val="1"/>
      <w:numFmt w:val="bullet"/>
      <w:pStyle w:val="Bullets4"/>
      <w:lvlText w:val=""/>
      <w:lvlPicBulletId w:val="0"/>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25" w15:restartNumberingAfterBreak="0">
    <w:nsid w:val="62D13434"/>
    <w:multiLevelType w:val="hybridMultilevel"/>
    <w:tmpl w:val="D46A5C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39752F8"/>
    <w:multiLevelType w:val="hybridMultilevel"/>
    <w:tmpl w:val="7C7E4C14"/>
    <w:lvl w:ilvl="0" w:tplc="0CE8725E">
      <w:start w:val="1"/>
      <w:numFmt w:val="bullet"/>
      <w:lvlText w:val=""/>
      <w:lvlJc w:val="left"/>
      <w:pPr>
        <w:ind w:left="720" w:hanging="360"/>
      </w:pPr>
      <w:rPr>
        <w:rFonts w:ascii="Wingdings 3" w:hAnsi="Wingdings 3"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35DE6"/>
    <w:multiLevelType w:val="hybridMultilevel"/>
    <w:tmpl w:val="AD3C5A30"/>
    <w:lvl w:ilvl="0" w:tplc="5DE6D10C">
      <w:start w:val="1"/>
      <w:numFmt w:val="bullet"/>
      <w:pStyle w:val="a0"/>
      <w:lvlText w:val=""/>
      <w:lvlJc w:val="left"/>
      <w:pPr>
        <w:ind w:left="1146" w:hanging="360"/>
      </w:pPr>
      <w:rPr>
        <w:rFonts w:ascii="Wingdings" w:hAnsi="Wingdings" w:hint="default"/>
        <w:b/>
        <w:bCs w:val="0"/>
        <w:i w:val="0"/>
        <w:color w:val="0070C0"/>
        <w:sz w:val="22"/>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8" w15:restartNumberingAfterBreak="0">
    <w:nsid w:val="76AB48A1"/>
    <w:multiLevelType w:val="hybridMultilevel"/>
    <w:tmpl w:val="15ACDF0A"/>
    <w:lvl w:ilvl="0" w:tplc="0CE8725E">
      <w:start w:val="1"/>
      <w:numFmt w:val="bullet"/>
      <w:lvlText w:val=""/>
      <w:lvlJc w:val="left"/>
      <w:pPr>
        <w:ind w:left="720" w:hanging="360"/>
      </w:pPr>
      <w:rPr>
        <w:rFonts w:ascii="Wingdings 3" w:hAnsi="Wingdings 3" w:hint="default"/>
        <w:color w:val="E36C0A"/>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7302D41"/>
    <w:multiLevelType w:val="multilevel"/>
    <w:tmpl w:val="F76C7336"/>
    <w:lvl w:ilvl="0">
      <w:start w:val="1"/>
      <w:numFmt w:val="decimal"/>
      <w:pStyle w:val="Heading1"/>
      <w:lvlText w:val="%1."/>
      <w:lvlJc w:val="left"/>
      <w:pPr>
        <w:ind w:left="716" w:hanging="432"/>
      </w:pPr>
      <w:rPr>
        <w:rFonts w:hint="default"/>
        <w:b/>
        <w:i w:val="0"/>
        <w:color w:val="FFFFFF" w:themeColor="background1"/>
        <w:sz w:val="24"/>
      </w:rPr>
    </w:lvl>
    <w:lvl w:ilvl="1">
      <w:start w:val="1"/>
      <w:numFmt w:val="decimal"/>
      <w:pStyle w:val="Heading2"/>
      <w:lvlText w:val="%1.%2."/>
      <w:lvlJc w:val="left"/>
      <w:pPr>
        <w:ind w:left="576" w:hanging="576"/>
      </w:pPr>
      <w:rPr>
        <w:rFonts w:hint="default"/>
        <w:b/>
        <w:i w:val="0"/>
        <w:color w:val="215868" w:themeColor="accent5" w:themeShade="80"/>
        <w:sz w:val="22"/>
      </w:rPr>
    </w:lvl>
    <w:lvl w:ilvl="2">
      <w:start w:val="1"/>
      <w:numFmt w:val="decimal"/>
      <w:pStyle w:val="Heading3"/>
      <w:lvlText w:val="%1.%2.%3."/>
      <w:lvlJc w:val="left"/>
      <w:pPr>
        <w:ind w:left="720" w:hanging="720"/>
      </w:pPr>
      <w:rPr>
        <w:rFonts w:hint="default"/>
        <w:b/>
        <w:i w:val="0"/>
        <w:color w:val="31849B" w:themeColor="accent5" w:themeShade="BF"/>
        <w:sz w:val="22"/>
        <w:szCs w:val="20"/>
      </w:rPr>
    </w:lvl>
    <w:lvl w:ilvl="3">
      <w:start w:val="1"/>
      <w:numFmt w:val="decimal"/>
      <w:pStyle w:val="Heading4"/>
      <w:lvlText w:val="%1.%2.%3.%4."/>
      <w:lvlJc w:val="left"/>
      <w:pPr>
        <w:ind w:left="4267" w:hanging="864"/>
      </w:pPr>
      <w:rPr>
        <w:b w:val="0"/>
        <w:bCs w:val="0"/>
        <w:i/>
        <w:iCs w:val="0"/>
        <w:caps w:val="0"/>
        <w:smallCaps w:val="0"/>
        <w:strike w:val="0"/>
        <w:dstrike w:val="0"/>
        <w:outline w:val="0"/>
        <w:shadow w:val="0"/>
        <w:emboss w:val="0"/>
        <w:imprint w:val="0"/>
        <w:noProof w:val="0"/>
        <w:vanish w:val="0"/>
        <w:color w:val="31849B" w:themeColor="accent5"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77891F0F"/>
    <w:multiLevelType w:val="hybridMultilevel"/>
    <w:tmpl w:val="5FBE53CA"/>
    <w:lvl w:ilvl="0" w:tplc="920C71C0">
      <w:start w:val="1"/>
      <w:numFmt w:val="bullet"/>
      <w:lvlText w:val=""/>
      <w:lvlJc w:val="left"/>
      <w:pPr>
        <w:ind w:left="720" w:hanging="360"/>
      </w:pPr>
      <w:rPr>
        <w:rFonts w:ascii="Wingdings" w:hAnsi="Wingdings" w:hint="default"/>
        <w:color w:val="31849B" w:themeColor="accent5"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F0B13B5"/>
    <w:multiLevelType w:val="hybridMultilevel"/>
    <w:tmpl w:val="73B429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3"/>
  </w:num>
  <w:num w:numId="2">
    <w:abstractNumId w:val="15"/>
  </w:num>
  <w:num w:numId="3">
    <w:abstractNumId w:val="16"/>
  </w:num>
  <w:num w:numId="4">
    <w:abstractNumId w:val="24"/>
  </w:num>
  <w:num w:numId="5">
    <w:abstractNumId w:val="29"/>
  </w:num>
  <w:num w:numId="6">
    <w:abstractNumId w:val="7"/>
  </w:num>
  <w:num w:numId="7">
    <w:abstractNumId w:val="27"/>
  </w:num>
  <w:num w:numId="8">
    <w:abstractNumId w:val="1"/>
  </w:num>
  <w:num w:numId="9">
    <w:abstractNumId w:val="13"/>
  </w:num>
  <w:num w:numId="10">
    <w:abstractNumId w:val="22"/>
  </w:num>
  <w:num w:numId="11">
    <w:abstractNumId w:val="3"/>
  </w:num>
  <w:num w:numId="12">
    <w:abstractNumId w:val="14"/>
  </w:num>
  <w:num w:numId="13">
    <w:abstractNumId w:val="5"/>
  </w:num>
  <w:num w:numId="14">
    <w:abstractNumId w:val="10"/>
  </w:num>
  <w:num w:numId="15">
    <w:abstractNumId w:val="30"/>
  </w:num>
  <w:num w:numId="16">
    <w:abstractNumId w:val="2"/>
  </w:num>
  <w:num w:numId="17">
    <w:abstractNumId w:val="28"/>
  </w:num>
  <w:num w:numId="18">
    <w:abstractNumId w:val="8"/>
  </w:num>
  <w:num w:numId="19">
    <w:abstractNumId w:val="4"/>
  </w:num>
  <w:num w:numId="20">
    <w:abstractNumId w:val="0"/>
  </w:num>
  <w:num w:numId="21">
    <w:abstractNumId w:val="11"/>
  </w:num>
  <w:num w:numId="22">
    <w:abstractNumId w:val="25"/>
  </w:num>
  <w:num w:numId="23">
    <w:abstractNumId w:val="19"/>
  </w:num>
  <w:num w:numId="24">
    <w:abstractNumId w:val="31"/>
  </w:num>
  <w:num w:numId="25">
    <w:abstractNumId w:val="9"/>
  </w:num>
  <w:num w:numId="26">
    <w:abstractNumId w:val="17"/>
  </w:num>
  <w:num w:numId="27">
    <w:abstractNumId w:val="20"/>
  </w:num>
  <w:num w:numId="28">
    <w:abstractNumId w:val="18"/>
  </w:num>
  <w:num w:numId="29">
    <w:abstractNumId w:val="21"/>
  </w:num>
  <w:num w:numId="30">
    <w:abstractNumId w:val="12"/>
  </w:num>
  <w:num w:numId="31">
    <w:abstractNumId w:val="26"/>
  </w:num>
  <w:num w:numId="3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o:colormru v:ext="edit" colors="#f3f9f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4F"/>
    <w:rsid w:val="000003EA"/>
    <w:rsid w:val="00001374"/>
    <w:rsid w:val="000016CB"/>
    <w:rsid w:val="00001FA4"/>
    <w:rsid w:val="000028E9"/>
    <w:rsid w:val="00002DD6"/>
    <w:rsid w:val="000043B3"/>
    <w:rsid w:val="000065CE"/>
    <w:rsid w:val="00007084"/>
    <w:rsid w:val="00011416"/>
    <w:rsid w:val="0001153E"/>
    <w:rsid w:val="00011B37"/>
    <w:rsid w:val="00012B8D"/>
    <w:rsid w:val="000135FD"/>
    <w:rsid w:val="000137CE"/>
    <w:rsid w:val="00013859"/>
    <w:rsid w:val="000144A1"/>
    <w:rsid w:val="00014D50"/>
    <w:rsid w:val="00015521"/>
    <w:rsid w:val="00015874"/>
    <w:rsid w:val="0001591C"/>
    <w:rsid w:val="000162C1"/>
    <w:rsid w:val="0001688A"/>
    <w:rsid w:val="00016959"/>
    <w:rsid w:val="000169E6"/>
    <w:rsid w:val="000175CA"/>
    <w:rsid w:val="000177BF"/>
    <w:rsid w:val="000201B8"/>
    <w:rsid w:val="00020852"/>
    <w:rsid w:val="00020F13"/>
    <w:rsid w:val="000224FA"/>
    <w:rsid w:val="00022E33"/>
    <w:rsid w:val="00023D5B"/>
    <w:rsid w:val="000241E3"/>
    <w:rsid w:val="000248E2"/>
    <w:rsid w:val="000252D1"/>
    <w:rsid w:val="00025B72"/>
    <w:rsid w:val="000261FA"/>
    <w:rsid w:val="00026692"/>
    <w:rsid w:val="00026A78"/>
    <w:rsid w:val="00026FCE"/>
    <w:rsid w:val="00027964"/>
    <w:rsid w:val="00030931"/>
    <w:rsid w:val="00030C16"/>
    <w:rsid w:val="00030CF4"/>
    <w:rsid w:val="000324E5"/>
    <w:rsid w:val="0003281B"/>
    <w:rsid w:val="0003321B"/>
    <w:rsid w:val="000345AE"/>
    <w:rsid w:val="00035BA8"/>
    <w:rsid w:val="00035E82"/>
    <w:rsid w:val="0003697A"/>
    <w:rsid w:val="00036BC3"/>
    <w:rsid w:val="00037A41"/>
    <w:rsid w:val="00040371"/>
    <w:rsid w:val="0004060E"/>
    <w:rsid w:val="000407E0"/>
    <w:rsid w:val="00041117"/>
    <w:rsid w:val="000415A3"/>
    <w:rsid w:val="00042075"/>
    <w:rsid w:val="000424F8"/>
    <w:rsid w:val="00042AC3"/>
    <w:rsid w:val="00044FC9"/>
    <w:rsid w:val="00045B1E"/>
    <w:rsid w:val="0004670F"/>
    <w:rsid w:val="000467F7"/>
    <w:rsid w:val="00046BEC"/>
    <w:rsid w:val="00047ED0"/>
    <w:rsid w:val="0005021D"/>
    <w:rsid w:val="00050BE0"/>
    <w:rsid w:val="00051038"/>
    <w:rsid w:val="00051046"/>
    <w:rsid w:val="0005146E"/>
    <w:rsid w:val="0005173D"/>
    <w:rsid w:val="00051881"/>
    <w:rsid w:val="0005482D"/>
    <w:rsid w:val="00054E46"/>
    <w:rsid w:val="000564AD"/>
    <w:rsid w:val="000576E9"/>
    <w:rsid w:val="000577F9"/>
    <w:rsid w:val="00060282"/>
    <w:rsid w:val="00060C27"/>
    <w:rsid w:val="000613FC"/>
    <w:rsid w:val="0006170A"/>
    <w:rsid w:val="00061B12"/>
    <w:rsid w:val="00062FCF"/>
    <w:rsid w:val="0006360F"/>
    <w:rsid w:val="00063D20"/>
    <w:rsid w:val="00063FE8"/>
    <w:rsid w:val="0006452B"/>
    <w:rsid w:val="00064A10"/>
    <w:rsid w:val="00065A86"/>
    <w:rsid w:val="00066585"/>
    <w:rsid w:val="000668B8"/>
    <w:rsid w:val="000668FC"/>
    <w:rsid w:val="00066AA0"/>
    <w:rsid w:val="00066E50"/>
    <w:rsid w:val="00066E8B"/>
    <w:rsid w:val="00067430"/>
    <w:rsid w:val="00067601"/>
    <w:rsid w:val="00067980"/>
    <w:rsid w:val="00071845"/>
    <w:rsid w:val="00071B8A"/>
    <w:rsid w:val="00072149"/>
    <w:rsid w:val="000732F2"/>
    <w:rsid w:val="00073340"/>
    <w:rsid w:val="000741A1"/>
    <w:rsid w:val="0007488B"/>
    <w:rsid w:val="00074E15"/>
    <w:rsid w:val="000752DC"/>
    <w:rsid w:val="0007556C"/>
    <w:rsid w:val="000758EB"/>
    <w:rsid w:val="000760DD"/>
    <w:rsid w:val="000767D7"/>
    <w:rsid w:val="00076B0A"/>
    <w:rsid w:val="00076C59"/>
    <w:rsid w:val="00076D4C"/>
    <w:rsid w:val="000802EF"/>
    <w:rsid w:val="00081750"/>
    <w:rsid w:val="00081794"/>
    <w:rsid w:val="000818DE"/>
    <w:rsid w:val="000828B7"/>
    <w:rsid w:val="0008292C"/>
    <w:rsid w:val="00082DF1"/>
    <w:rsid w:val="00082EEB"/>
    <w:rsid w:val="00083C38"/>
    <w:rsid w:val="0008449E"/>
    <w:rsid w:val="0008504A"/>
    <w:rsid w:val="00085515"/>
    <w:rsid w:val="00087239"/>
    <w:rsid w:val="000874D6"/>
    <w:rsid w:val="00091161"/>
    <w:rsid w:val="000914EC"/>
    <w:rsid w:val="000923E0"/>
    <w:rsid w:val="0009299C"/>
    <w:rsid w:val="00092A8B"/>
    <w:rsid w:val="00093568"/>
    <w:rsid w:val="000939E2"/>
    <w:rsid w:val="000940D5"/>
    <w:rsid w:val="00094B2F"/>
    <w:rsid w:val="000963C3"/>
    <w:rsid w:val="000977FD"/>
    <w:rsid w:val="00097EE1"/>
    <w:rsid w:val="000A0498"/>
    <w:rsid w:val="000A06EC"/>
    <w:rsid w:val="000A0C11"/>
    <w:rsid w:val="000A17AF"/>
    <w:rsid w:val="000A1EE8"/>
    <w:rsid w:val="000A209B"/>
    <w:rsid w:val="000A28A4"/>
    <w:rsid w:val="000A2B84"/>
    <w:rsid w:val="000A3E66"/>
    <w:rsid w:val="000A41D7"/>
    <w:rsid w:val="000A57E1"/>
    <w:rsid w:val="000A592D"/>
    <w:rsid w:val="000A5FD4"/>
    <w:rsid w:val="000A642E"/>
    <w:rsid w:val="000A688B"/>
    <w:rsid w:val="000A6E67"/>
    <w:rsid w:val="000A75E2"/>
    <w:rsid w:val="000B00E5"/>
    <w:rsid w:val="000B0D82"/>
    <w:rsid w:val="000B11CF"/>
    <w:rsid w:val="000B14D2"/>
    <w:rsid w:val="000B1588"/>
    <w:rsid w:val="000B1F2A"/>
    <w:rsid w:val="000B2132"/>
    <w:rsid w:val="000B22C1"/>
    <w:rsid w:val="000B2870"/>
    <w:rsid w:val="000B2D05"/>
    <w:rsid w:val="000B3BDA"/>
    <w:rsid w:val="000B467F"/>
    <w:rsid w:val="000B4A14"/>
    <w:rsid w:val="000B4DAE"/>
    <w:rsid w:val="000B5D2F"/>
    <w:rsid w:val="000B5FFD"/>
    <w:rsid w:val="000B6188"/>
    <w:rsid w:val="000B67A1"/>
    <w:rsid w:val="000B756F"/>
    <w:rsid w:val="000B75CC"/>
    <w:rsid w:val="000B7D35"/>
    <w:rsid w:val="000C0DE8"/>
    <w:rsid w:val="000C174F"/>
    <w:rsid w:val="000C20EF"/>
    <w:rsid w:val="000C2CB3"/>
    <w:rsid w:val="000C2DD6"/>
    <w:rsid w:val="000C3878"/>
    <w:rsid w:val="000C5072"/>
    <w:rsid w:val="000C5ED1"/>
    <w:rsid w:val="000C6245"/>
    <w:rsid w:val="000C66FB"/>
    <w:rsid w:val="000C7022"/>
    <w:rsid w:val="000C73ED"/>
    <w:rsid w:val="000C7503"/>
    <w:rsid w:val="000C7587"/>
    <w:rsid w:val="000C7A4B"/>
    <w:rsid w:val="000D0652"/>
    <w:rsid w:val="000D11BD"/>
    <w:rsid w:val="000D19BF"/>
    <w:rsid w:val="000D2211"/>
    <w:rsid w:val="000D278D"/>
    <w:rsid w:val="000D2C06"/>
    <w:rsid w:val="000D4617"/>
    <w:rsid w:val="000D46A4"/>
    <w:rsid w:val="000D4E29"/>
    <w:rsid w:val="000D516B"/>
    <w:rsid w:val="000D533C"/>
    <w:rsid w:val="000D5C76"/>
    <w:rsid w:val="000D67C4"/>
    <w:rsid w:val="000D6B78"/>
    <w:rsid w:val="000D7BAF"/>
    <w:rsid w:val="000D7EF4"/>
    <w:rsid w:val="000E1048"/>
    <w:rsid w:val="000E10B7"/>
    <w:rsid w:val="000E16AA"/>
    <w:rsid w:val="000E1784"/>
    <w:rsid w:val="000E1A9C"/>
    <w:rsid w:val="000E2178"/>
    <w:rsid w:val="000E265A"/>
    <w:rsid w:val="000E3EF0"/>
    <w:rsid w:val="000E4006"/>
    <w:rsid w:val="000E4281"/>
    <w:rsid w:val="000E45C9"/>
    <w:rsid w:val="000E47F7"/>
    <w:rsid w:val="000E4F5D"/>
    <w:rsid w:val="000E56F4"/>
    <w:rsid w:val="000E5CE2"/>
    <w:rsid w:val="000E6631"/>
    <w:rsid w:val="000E680F"/>
    <w:rsid w:val="000E6907"/>
    <w:rsid w:val="000E6E9A"/>
    <w:rsid w:val="000E700D"/>
    <w:rsid w:val="000E7B31"/>
    <w:rsid w:val="000F0746"/>
    <w:rsid w:val="000F16DC"/>
    <w:rsid w:val="000F18BE"/>
    <w:rsid w:val="000F1A33"/>
    <w:rsid w:val="000F4767"/>
    <w:rsid w:val="000F517C"/>
    <w:rsid w:val="000F51A3"/>
    <w:rsid w:val="000F644F"/>
    <w:rsid w:val="000F6749"/>
    <w:rsid w:val="000F6F7F"/>
    <w:rsid w:val="00100189"/>
    <w:rsid w:val="00100C6F"/>
    <w:rsid w:val="00100FE2"/>
    <w:rsid w:val="00101199"/>
    <w:rsid w:val="00101546"/>
    <w:rsid w:val="001018A3"/>
    <w:rsid w:val="00101902"/>
    <w:rsid w:val="00101CC2"/>
    <w:rsid w:val="0010228F"/>
    <w:rsid w:val="00103450"/>
    <w:rsid w:val="00103DAE"/>
    <w:rsid w:val="00104798"/>
    <w:rsid w:val="00104A78"/>
    <w:rsid w:val="00104C2E"/>
    <w:rsid w:val="00105932"/>
    <w:rsid w:val="001059A4"/>
    <w:rsid w:val="001079E3"/>
    <w:rsid w:val="0011022E"/>
    <w:rsid w:val="00110711"/>
    <w:rsid w:val="001111ED"/>
    <w:rsid w:val="0011131A"/>
    <w:rsid w:val="001119DF"/>
    <w:rsid w:val="00111A8E"/>
    <w:rsid w:val="00111EF1"/>
    <w:rsid w:val="00111FA6"/>
    <w:rsid w:val="00112745"/>
    <w:rsid w:val="0011357C"/>
    <w:rsid w:val="00113876"/>
    <w:rsid w:val="001139F2"/>
    <w:rsid w:val="00114B20"/>
    <w:rsid w:val="00115C6E"/>
    <w:rsid w:val="00115DA9"/>
    <w:rsid w:val="0011612E"/>
    <w:rsid w:val="00116F5A"/>
    <w:rsid w:val="00121751"/>
    <w:rsid w:val="00121EBC"/>
    <w:rsid w:val="001236D4"/>
    <w:rsid w:val="00124000"/>
    <w:rsid w:val="00124393"/>
    <w:rsid w:val="00124B2A"/>
    <w:rsid w:val="0012671B"/>
    <w:rsid w:val="00126849"/>
    <w:rsid w:val="0013016A"/>
    <w:rsid w:val="00131A5C"/>
    <w:rsid w:val="00131C98"/>
    <w:rsid w:val="00131D87"/>
    <w:rsid w:val="00132020"/>
    <w:rsid w:val="001323F5"/>
    <w:rsid w:val="00132903"/>
    <w:rsid w:val="00133868"/>
    <w:rsid w:val="00133A90"/>
    <w:rsid w:val="00134BC8"/>
    <w:rsid w:val="001350FB"/>
    <w:rsid w:val="00135B3C"/>
    <w:rsid w:val="00135C0D"/>
    <w:rsid w:val="00135FED"/>
    <w:rsid w:val="0013693A"/>
    <w:rsid w:val="00136BEA"/>
    <w:rsid w:val="00137090"/>
    <w:rsid w:val="001370CF"/>
    <w:rsid w:val="001371AA"/>
    <w:rsid w:val="00137963"/>
    <w:rsid w:val="00140F0D"/>
    <w:rsid w:val="00140FB7"/>
    <w:rsid w:val="001411F4"/>
    <w:rsid w:val="00141233"/>
    <w:rsid w:val="0014235D"/>
    <w:rsid w:val="00143201"/>
    <w:rsid w:val="00143839"/>
    <w:rsid w:val="001444A2"/>
    <w:rsid w:val="00144793"/>
    <w:rsid w:val="00145375"/>
    <w:rsid w:val="0014542D"/>
    <w:rsid w:val="00145A12"/>
    <w:rsid w:val="001460AD"/>
    <w:rsid w:val="00146D4F"/>
    <w:rsid w:val="00147C8D"/>
    <w:rsid w:val="00150614"/>
    <w:rsid w:val="00150B07"/>
    <w:rsid w:val="00150B2D"/>
    <w:rsid w:val="00151344"/>
    <w:rsid w:val="0015233B"/>
    <w:rsid w:val="00152D0B"/>
    <w:rsid w:val="001538F3"/>
    <w:rsid w:val="00155092"/>
    <w:rsid w:val="00155554"/>
    <w:rsid w:val="001561A9"/>
    <w:rsid w:val="001562AB"/>
    <w:rsid w:val="00157589"/>
    <w:rsid w:val="001577DC"/>
    <w:rsid w:val="001579A9"/>
    <w:rsid w:val="001602A5"/>
    <w:rsid w:val="00161915"/>
    <w:rsid w:val="00161DE9"/>
    <w:rsid w:val="001622A0"/>
    <w:rsid w:val="00163AC0"/>
    <w:rsid w:val="00164CD3"/>
    <w:rsid w:val="00164FA6"/>
    <w:rsid w:val="0016507F"/>
    <w:rsid w:val="0016534C"/>
    <w:rsid w:val="0016538A"/>
    <w:rsid w:val="001655F2"/>
    <w:rsid w:val="001662D4"/>
    <w:rsid w:val="00166E04"/>
    <w:rsid w:val="00167C4C"/>
    <w:rsid w:val="00167DA2"/>
    <w:rsid w:val="00171456"/>
    <w:rsid w:val="00171D00"/>
    <w:rsid w:val="00172BA0"/>
    <w:rsid w:val="00172F2F"/>
    <w:rsid w:val="00173A65"/>
    <w:rsid w:val="00173B02"/>
    <w:rsid w:val="001740BC"/>
    <w:rsid w:val="0017433A"/>
    <w:rsid w:val="001756D7"/>
    <w:rsid w:val="001757DE"/>
    <w:rsid w:val="00175963"/>
    <w:rsid w:val="00175EF4"/>
    <w:rsid w:val="001764B3"/>
    <w:rsid w:val="00176CAC"/>
    <w:rsid w:val="0017734C"/>
    <w:rsid w:val="00177B59"/>
    <w:rsid w:val="001800A7"/>
    <w:rsid w:val="001808F6"/>
    <w:rsid w:val="00181260"/>
    <w:rsid w:val="001812EA"/>
    <w:rsid w:val="001815C2"/>
    <w:rsid w:val="00182143"/>
    <w:rsid w:val="00182A67"/>
    <w:rsid w:val="00182E18"/>
    <w:rsid w:val="001841CE"/>
    <w:rsid w:val="00184A5E"/>
    <w:rsid w:val="00185192"/>
    <w:rsid w:val="00185806"/>
    <w:rsid w:val="00185D2E"/>
    <w:rsid w:val="001864A0"/>
    <w:rsid w:val="00186764"/>
    <w:rsid w:val="001869C1"/>
    <w:rsid w:val="00190C03"/>
    <w:rsid w:val="00191B83"/>
    <w:rsid w:val="00191F7C"/>
    <w:rsid w:val="00192543"/>
    <w:rsid w:val="00192BF2"/>
    <w:rsid w:val="00192FF8"/>
    <w:rsid w:val="00193075"/>
    <w:rsid w:val="001943A7"/>
    <w:rsid w:val="00194C24"/>
    <w:rsid w:val="00194C9C"/>
    <w:rsid w:val="00195088"/>
    <w:rsid w:val="00195524"/>
    <w:rsid w:val="0019554D"/>
    <w:rsid w:val="00195A4F"/>
    <w:rsid w:val="00195C18"/>
    <w:rsid w:val="001962A3"/>
    <w:rsid w:val="001969CB"/>
    <w:rsid w:val="0019750D"/>
    <w:rsid w:val="001A068A"/>
    <w:rsid w:val="001A0C5C"/>
    <w:rsid w:val="001A0F44"/>
    <w:rsid w:val="001A19E0"/>
    <w:rsid w:val="001A1C6D"/>
    <w:rsid w:val="001A3E10"/>
    <w:rsid w:val="001A40C5"/>
    <w:rsid w:val="001A521D"/>
    <w:rsid w:val="001A6513"/>
    <w:rsid w:val="001A6C47"/>
    <w:rsid w:val="001A6FD3"/>
    <w:rsid w:val="001A77F4"/>
    <w:rsid w:val="001A7AA7"/>
    <w:rsid w:val="001A7AB3"/>
    <w:rsid w:val="001B0062"/>
    <w:rsid w:val="001B0CB6"/>
    <w:rsid w:val="001B0E39"/>
    <w:rsid w:val="001B1BBF"/>
    <w:rsid w:val="001B22E7"/>
    <w:rsid w:val="001B2566"/>
    <w:rsid w:val="001B271E"/>
    <w:rsid w:val="001B2CCC"/>
    <w:rsid w:val="001B33EF"/>
    <w:rsid w:val="001B3747"/>
    <w:rsid w:val="001B48EF"/>
    <w:rsid w:val="001B4A89"/>
    <w:rsid w:val="001B4E47"/>
    <w:rsid w:val="001B5284"/>
    <w:rsid w:val="001B5A98"/>
    <w:rsid w:val="001B63B0"/>
    <w:rsid w:val="001B7433"/>
    <w:rsid w:val="001B76E8"/>
    <w:rsid w:val="001B787E"/>
    <w:rsid w:val="001B7909"/>
    <w:rsid w:val="001B7BEF"/>
    <w:rsid w:val="001B7C3B"/>
    <w:rsid w:val="001B7CE6"/>
    <w:rsid w:val="001C0401"/>
    <w:rsid w:val="001C0C80"/>
    <w:rsid w:val="001C1504"/>
    <w:rsid w:val="001C1CD3"/>
    <w:rsid w:val="001C1D32"/>
    <w:rsid w:val="001C1EBB"/>
    <w:rsid w:val="001C20FB"/>
    <w:rsid w:val="001C2107"/>
    <w:rsid w:val="001C252E"/>
    <w:rsid w:val="001C265C"/>
    <w:rsid w:val="001C29FB"/>
    <w:rsid w:val="001C2BC1"/>
    <w:rsid w:val="001C3190"/>
    <w:rsid w:val="001C360D"/>
    <w:rsid w:val="001C3B61"/>
    <w:rsid w:val="001C3F40"/>
    <w:rsid w:val="001C3F98"/>
    <w:rsid w:val="001C462E"/>
    <w:rsid w:val="001C5213"/>
    <w:rsid w:val="001C5A70"/>
    <w:rsid w:val="001C5A80"/>
    <w:rsid w:val="001C5F6B"/>
    <w:rsid w:val="001C6579"/>
    <w:rsid w:val="001C7486"/>
    <w:rsid w:val="001C76FE"/>
    <w:rsid w:val="001C7773"/>
    <w:rsid w:val="001D046B"/>
    <w:rsid w:val="001D0634"/>
    <w:rsid w:val="001D0ACA"/>
    <w:rsid w:val="001D0FE8"/>
    <w:rsid w:val="001D3454"/>
    <w:rsid w:val="001D3F61"/>
    <w:rsid w:val="001D40D5"/>
    <w:rsid w:val="001D45A9"/>
    <w:rsid w:val="001D4A02"/>
    <w:rsid w:val="001D4AC6"/>
    <w:rsid w:val="001D589F"/>
    <w:rsid w:val="001D5AAF"/>
    <w:rsid w:val="001D5D31"/>
    <w:rsid w:val="001D6278"/>
    <w:rsid w:val="001D6357"/>
    <w:rsid w:val="001D64E1"/>
    <w:rsid w:val="001E039C"/>
    <w:rsid w:val="001E08DF"/>
    <w:rsid w:val="001E1036"/>
    <w:rsid w:val="001E10FB"/>
    <w:rsid w:val="001E14FB"/>
    <w:rsid w:val="001E17D7"/>
    <w:rsid w:val="001E308A"/>
    <w:rsid w:val="001E33B4"/>
    <w:rsid w:val="001E3511"/>
    <w:rsid w:val="001E3A5C"/>
    <w:rsid w:val="001E47DD"/>
    <w:rsid w:val="001E4AB1"/>
    <w:rsid w:val="001E50DF"/>
    <w:rsid w:val="001E5941"/>
    <w:rsid w:val="001E6BA1"/>
    <w:rsid w:val="001E6EA6"/>
    <w:rsid w:val="001E7317"/>
    <w:rsid w:val="001E74B5"/>
    <w:rsid w:val="001E79A3"/>
    <w:rsid w:val="001E7AB1"/>
    <w:rsid w:val="001F1363"/>
    <w:rsid w:val="001F24BB"/>
    <w:rsid w:val="001F2A54"/>
    <w:rsid w:val="001F2E08"/>
    <w:rsid w:val="001F4CBA"/>
    <w:rsid w:val="001F4E46"/>
    <w:rsid w:val="001F55F3"/>
    <w:rsid w:val="001F58D4"/>
    <w:rsid w:val="001F5E36"/>
    <w:rsid w:val="001F6CB9"/>
    <w:rsid w:val="001F6D73"/>
    <w:rsid w:val="001F6DAE"/>
    <w:rsid w:val="001F78BB"/>
    <w:rsid w:val="001F7FEB"/>
    <w:rsid w:val="002003D4"/>
    <w:rsid w:val="00200428"/>
    <w:rsid w:val="002008E6"/>
    <w:rsid w:val="00200A9B"/>
    <w:rsid w:val="00202080"/>
    <w:rsid w:val="00202528"/>
    <w:rsid w:val="0020260C"/>
    <w:rsid w:val="002026C4"/>
    <w:rsid w:val="0020273F"/>
    <w:rsid w:val="002032A0"/>
    <w:rsid w:val="0020344C"/>
    <w:rsid w:val="0020383F"/>
    <w:rsid w:val="00203999"/>
    <w:rsid w:val="00203F0D"/>
    <w:rsid w:val="00204EDB"/>
    <w:rsid w:val="002050AA"/>
    <w:rsid w:val="00205711"/>
    <w:rsid w:val="00206B7B"/>
    <w:rsid w:val="00206ECA"/>
    <w:rsid w:val="00207135"/>
    <w:rsid w:val="00207B0B"/>
    <w:rsid w:val="00207B86"/>
    <w:rsid w:val="002106F1"/>
    <w:rsid w:val="002113D7"/>
    <w:rsid w:val="00211452"/>
    <w:rsid w:val="002130E9"/>
    <w:rsid w:val="0021347A"/>
    <w:rsid w:val="00213D06"/>
    <w:rsid w:val="002140B3"/>
    <w:rsid w:val="00215082"/>
    <w:rsid w:val="00215548"/>
    <w:rsid w:val="00215A3A"/>
    <w:rsid w:val="00217411"/>
    <w:rsid w:val="0021758F"/>
    <w:rsid w:val="0021786F"/>
    <w:rsid w:val="0022135B"/>
    <w:rsid w:val="00221577"/>
    <w:rsid w:val="002216B1"/>
    <w:rsid w:val="0022172F"/>
    <w:rsid w:val="002217AE"/>
    <w:rsid w:val="0022194B"/>
    <w:rsid w:val="00223606"/>
    <w:rsid w:val="0022378C"/>
    <w:rsid w:val="00223B9C"/>
    <w:rsid w:val="00223E2E"/>
    <w:rsid w:val="00224F10"/>
    <w:rsid w:val="00224FA8"/>
    <w:rsid w:val="00225C44"/>
    <w:rsid w:val="00225E2D"/>
    <w:rsid w:val="002265FE"/>
    <w:rsid w:val="00226D01"/>
    <w:rsid w:val="00226FC2"/>
    <w:rsid w:val="0022719C"/>
    <w:rsid w:val="0022779D"/>
    <w:rsid w:val="002300CF"/>
    <w:rsid w:val="0023014E"/>
    <w:rsid w:val="0023033F"/>
    <w:rsid w:val="002303A6"/>
    <w:rsid w:val="0023081C"/>
    <w:rsid w:val="00231162"/>
    <w:rsid w:val="00231249"/>
    <w:rsid w:val="002315A5"/>
    <w:rsid w:val="00231CF1"/>
    <w:rsid w:val="00232108"/>
    <w:rsid w:val="002322CE"/>
    <w:rsid w:val="00232FC7"/>
    <w:rsid w:val="00233CFF"/>
    <w:rsid w:val="00234C4B"/>
    <w:rsid w:val="00234D17"/>
    <w:rsid w:val="00235DF4"/>
    <w:rsid w:val="0023689E"/>
    <w:rsid w:val="00236CA5"/>
    <w:rsid w:val="00240A6A"/>
    <w:rsid w:val="00240C75"/>
    <w:rsid w:val="002412F6"/>
    <w:rsid w:val="002413AE"/>
    <w:rsid w:val="0024196A"/>
    <w:rsid w:val="002419BF"/>
    <w:rsid w:val="00241B3E"/>
    <w:rsid w:val="002424D1"/>
    <w:rsid w:val="00242500"/>
    <w:rsid w:val="00242629"/>
    <w:rsid w:val="002448EC"/>
    <w:rsid w:val="00244CDF"/>
    <w:rsid w:val="0024537E"/>
    <w:rsid w:val="002459AA"/>
    <w:rsid w:val="00246988"/>
    <w:rsid w:val="00246A91"/>
    <w:rsid w:val="00246BA7"/>
    <w:rsid w:val="00247813"/>
    <w:rsid w:val="00247865"/>
    <w:rsid w:val="00247ECA"/>
    <w:rsid w:val="002500ED"/>
    <w:rsid w:val="0025062B"/>
    <w:rsid w:val="00250F41"/>
    <w:rsid w:val="00251A51"/>
    <w:rsid w:val="00251EB4"/>
    <w:rsid w:val="002520D0"/>
    <w:rsid w:val="0025217F"/>
    <w:rsid w:val="00252BE5"/>
    <w:rsid w:val="00253DF2"/>
    <w:rsid w:val="0025627F"/>
    <w:rsid w:val="00256355"/>
    <w:rsid w:val="002565F8"/>
    <w:rsid w:val="0025707C"/>
    <w:rsid w:val="00257C6E"/>
    <w:rsid w:val="002604FE"/>
    <w:rsid w:val="002606A6"/>
    <w:rsid w:val="002607FF"/>
    <w:rsid w:val="00260C83"/>
    <w:rsid w:val="002611C0"/>
    <w:rsid w:val="00261211"/>
    <w:rsid w:val="00261EAC"/>
    <w:rsid w:val="00261FC6"/>
    <w:rsid w:val="002622EA"/>
    <w:rsid w:val="002629AB"/>
    <w:rsid w:val="00262CAF"/>
    <w:rsid w:val="00262E28"/>
    <w:rsid w:val="002634D6"/>
    <w:rsid w:val="00263928"/>
    <w:rsid w:val="0026537A"/>
    <w:rsid w:val="00265505"/>
    <w:rsid w:val="0026582C"/>
    <w:rsid w:val="0026618B"/>
    <w:rsid w:val="00270267"/>
    <w:rsid w:val="00270AE2"/>
    <w:rsid w:val="00271B86"/>
    <w:rsid w:val="00271CD1"/>
    <w:rsid w:val="00271D5E"/>
    <w:rsid w:val="002729B6"/>
    <w:rsid w:val="00272A1A"/>
    <w:rsid w:val="002736AB"/>
    <w:rsid w:val="00273758"/>
    <w:rsid w:val="002740E3"/>
    <w:rsid w:val="00274935"/>
    <w:rsid w:val="00274F6E"/>
    <w:rsid w:val="00275326"/>
    <w:rsid w:val="0027538D"/>
    <w:rsid w:val="002756BB"/>
    <w:rsid w:val="002757DA"/>
    <w:rsid w:val="0027591F"/>
    <w:rsid w:val="002759E9"/>
    <w:rsid w:val="002759F4"/>
    <w:rsid w:val="002760AA"/>
    <w:rsid w:val="00276E08"/>
    <w:rsid w:val="00276EC6"/>
    <w:rsid w:val="002771F9"/>
    <w:rsid w:val="00277352"/>
    <w:rsid w:val="00277424"/>
    <w:rsid w:val="00277902"/>
    <w:rsid w:val="00277FD4"/>
    <w:rsid w:val="0028024E"/>
    <w:rsid w:val="00280944"/>
    <w:rsid w:val="0028162B"/>
    <w:rsid w:val="00281C61"/>
    <w:rsid w:val="0028235C"/>
    <w:rsid w:val="00283516"/>
    <w:rsid w:val="00283CA5"/>
    <w:rsid w:val="00284C68"/>
    <w:rsid w:val="0028796F"/>
    <w:rsid w:val="00287B9B"/>
    <w:rsid w:val="00287DBB"/>
    <w:rsid w:val="00290052"/>
    <w:rsid w:val="0029055C"/>
    <w:rsid w:val="002920FB"/>
    <w:rsid w:val="00292BCA"/>
    <w:rsid w:val="00292DB9"/>
    <w:rsid w:val="00293BB5"/>
    <w:rsid w:val="00294DEF"/>
    <w:rsid w:val="002957CA"/>
    <w:rsid w:val="00295C0C"/>
    <w:rsid w:val="0029604B"/>
    <w:rsid w:val="002962AB"/>
    <w:rsid w:val="00296AE7"/>
    <w:rsid w:val="00297202"/>
    <w:rsid w:val="0029777E"/>
    <w:rsid w:val="00297C2F"/>
    <w:rsid w:val="00297DAC"/>
    <w:rsid w:val="002A0731"/>
    <w:rsid w:val="002A0CAA"/>
    <w:rsid w:val="002A0D86"/>
    <w:rsid w:val="002A1EA3"/>
    <w:rsid w:val="002A20DE"/>
    <w:rsid w:val="002A2799"/>
    <w:rsid w:val="002A37F1"/>
    <w:rsid w:val="002A3830"/>
    <w:rsid w:val="002A3E1F"/>
    <w:rsid w:val="002A4F9E"/>
    <w:rsid w:val="002A5201"/>
    <w:rsid w:val="002A57CB"/>
    <w:rsid w:val="002A6837"/>
    <w:rsid w:val="002A6C14"/>
    <w:rsid w:val="002A72F2"/>
    <w:rsid w:val="002A75A5"/>
    <w:rsid w:val="002A77A1"/>
    <w:rsid w:val="002A7863"/>
    <w:rsid w:val="002B0138"/>
    <w:rsid w:val="002B04A5"/>
    <w:rsid w:val="002B0785"/>
    <w:rsid w:val="002B0E6A"/>
    <w:rsid w:val="002B1955"/>
    <w:rsid w:val="002B2574"/>
    <w:rsid w:val="002B277F"/>
    <w:rsid w:val="002B2B95"/>
    <w:rsid w:val="002B322F"/>
    <w:rsid w:val="002B41E5"/>
    <w:rsid w:val="002B43A4"/>
    <w:rsid w:val="002B4555"/>
    <w:rsid w:val="002B487D"/>
    <w:rsid w:val="002B4D54"/>
    <w:rsid w:val="002B586C"/>
    <w:rsid w:val="002B6593"/>
    <w:rsid w:val="002B73A3"/>
    <w:rsid w:val="002C0BF2"/>
    <w:rsid w:val="002C0E6A"/>
    <w:rsid w:val="002C1482"/>
    <w:rsid w:val="002C2DD3"/>
    <w:rsid w:val="002C39AC"/>
    <w:rsid w:val="002C3B37"/>
    <w:rsid w:val="002C40DE"/>
    <w:rsid w:val="002C4187"/>
    <w:rsid w:val="002C4AE2"/>
    <w:rsid w:val="002C4AF0"/>
    <w:rsid w:val="002C55F8"/>
    <w:rsid w:val="002C5CC6"/>
    <w:rsid w:val="002C5D3D"/>
    <w:rsid w:val="002C63AD"/>
    <w:rsid w:val="002C640D"/>
    <w:rsid w:val="002C7049"/>
    <w:rsid w:val="002C726D"/>
    <w:rsid w:val="002C7F00"/>
    <w:rsid w:val="002D098E"/>
    <w:rsid w:val="002D105B"/>
    <w:rsid w:val="002D16A1"/>
    <w:rsid w:val="002D1B62"/>
    <w:rsid w:val="002D1F03"/>
    <w:rsid w:val="002D248A"/>
    <w:rsid w:val="002D4299"/>
    <w:rsid w:val="002D4DC9"/>
    <w:rsid w:val="002D4E99"/>
    <w:rsid w:val="002D5BED"/>
    <w:rsid w:val="002E053D"/>
    <w:rsid w:val="002E1579"/>
    <w:rsid w:val="002E2062"/>
    <w:rsid w:val="002E28E9"/>
    <w:rsid w:val="002E298C"/>
    <w:rsid w:val="002E2994"/>
    <w:rsid w:val="002E5082"/>
    <w:rsid w:val="002E53C4"/>
    <w:rsid w:val="002E5E32"/>
    <w:rsid w:val="002E6879"/>
    <w:rsid w:val="002E6CA5"/>
    <w:rsid w:val="002E6E8C"/>
    <w:rsid w:val="002E6F67"/>
    <w:rsid w:val="002E747B"/>
    <w:rsid w:val="002E778E"/>
    <w:rsid w:val="002F0319"/>
    <w:rsid w:val="002F03D9"/>
    <w:rsid w:val="002F0AAA"/>
    <w:rsid w:val="002F0BB2"/>
    <w:rsid w:val="002F1979"/>
    <w:rsid w:val="002F2938"/>
    <w:rsid w:val="002F2D3E"/>
    <w:rsid w:val="002F38F5"/>
    <w:rsid w:val="002F3E12"/>
    <w:rsid w:val="002F3FB9"/>
    <w:rsid w:val="002F3FD3"/>
    <w:rsid w:val="002F437B"/>
    <w:rsid w:val="002F520F"/>
    <w:rsid w:val="002F6270"/>
    <w:rsid w:val="002F68DB"/>
    <w:rsid w:val="003001A0"/>
    <w:rsid w:val="0030029E"/>
    <w:rsid w:val="00301B04"/>
    <w:rsid w:val="00302A21"/>
    <w:rsid w:val="00302C6D"/>
    <w:rsid w:val="00302DA1"/>
    <w:rsid w:val="003035AB"/>
    <w:rsid w:val="003037FA"/>
    <w:rsid w:val="00303B4F"/>
    <w:rsid w:val="00303CC5"/>
    <w:rsid w:val="00304482"/>
    <w:rsid w:val="00304764"/>
    <w:rsid w:val="00304C19"/>
    <w:rsid w:val="00304E10"/>
    <w:rsid w:val="003054BF"/>
    <w:rsid w:val="003054DA"/>
    <w:rsid w:val="003059F5"/>
    <w:rsid w:val="00305CB5"/>
    <w:rsid w:val="0030623E"/>
    <w:rsid w:val="00307421"/>
    <w:rsid w:val="003074DA"/>
    <w:rsid w:val="00307DA6"/>
    <w:rsid w:val="00310BDF"/>
    <w:rsid w:val="00310DAE"/>
    <w:rsid w:val="00311AE1"/>
    <w:rsid w:val="003129EC"/>
    <w:rsid w:val="00312FC2"/>
    <w:rsid w:val="0031385C"/>
    <w:rsid w:val="00313A7C"/>
    <w:rsid w:val="00314022"/>
    <w:rsid w:val="00314C4B"/>
    <w:rsid w:val="00314C50"/>
    <w:rsid w:val="003154D4"/>
    <w:rsid w:val="003157A7"/>
    <w:rsid w:val="00315832"/>
    <w:rsid w:val="00315FFA"/>
    <w:rsid w:val="0031629F"/>
    <w:rsid w:val="003162A4"/>
    <w:rsid w:val="0031704B"/>
    <w:rsid w:val="00317F0F"/>
    <w:rsid w:val="00320032"/>
    <w:rsid w:val="003223D0"/>
    <w:rsid w:val="0032253A"/>
    <w:rsid w:val="0032267D"/>
    <w:rsid w:val="00322BCE"/>
    <w:rsid w:val="00323728"/>
    <w:rsid w:val="00324B61"/>
    <w:rsid w:val="00326DA9"/>
    <w:rsid w:val="00327557"/>
    <w:rsid w:val="00327775"/>
    <w:rsid w:val="0032795D"/>
    <w:rsid w:val="00327F90"/>
    <w:rsid w:val="00330E7A"/>
    <w:rsid w:val="00331AA8"/>
    <w:rsid w:val="00332280"/>
    <w:rsid w:val="003328FF"/>
    <w:rsid w:val="00332E49"/>
    <w:rsid w:val="003360E9"/>
    <w:rsid w:val="00336886"/>
    <w:rsid w:val="00336B00"/>
    <w:rsid w:val="00336CD5"/>
    <w:rsid w:val="0033756B"/>
    <w:rsid w:val="00337A7F"/>
    <w:rsid w:val="00337AB3"/>
    <w:rsid w:val="00340D45"/>
    <w:rsid w:val="0034148A"/>
    <w:rsid w:val="00341A62"/>
    <w:rsid w:val="00344754"/>
    <w:rsid w:val="00344CE1"/>
    <w:rsid w:val="00344F74"/>
    <w:rsid w:val="003454B5"/>
    <w:rsid w:val="003461A9"/>
    <w:rsid w:val="0034660E"/>
    <w:rsid w:val="00347CE9"/>
    <w:rsid w:val="003504D5"/>
    <w:rsid w:val="003509EB"/>
    <w:rsid w:val="0035179B"/>
    <w:rsid w:val="00351B2D"/>
    <w:rsid w:val="00352144"/>
    <w:rsid w:val="00352569"/>
    <w:rsid w:val="00352F53"/>
    <w:rsid w:val="003543F6"/>
    <w:rsid w:val="003545D3"/>
    <w:rsid w:val="00354D73"/>
    <w:rsid w:val="00354F1B"/>
    <w:rsid w:val="00355AA9"/>
    <w:rsid w:val="003563B4"/>
    <w:rsid w:val="003563D0"/>
    <w:rsid w:val="00356E5F"/>
    <w:rsid w:val="003570FF"/>
    <w:rsid w:val="0035774D"/>
    <w:rsid w:val="00357B6E"/>
    <w:rsid w:val="00357CCD"/>
    <w:rsid w:val="00357FA8"/>
    <w:rsid w:val="0036094B"/>
    <w:rsid w:val="00360C32"/>
    <w:rsid w:val="00361279"/>
    <w:rsid w:val="003619E0"/>
    <w:rsid w:val="00361CD6"/>
    <w:rsid w:val="00361E77"/>
    <w:rsid w:val="00362286"/>
    <w:rsid w:val="0036234C"/>
    <w:rsid w:val="0036265B"/>
    <w:rsid w:val="0036272C"/>
    <w:rsid w:val="00362A3D"/>
    <w:rsid w:val="00363A5C"/>
    <w:rsid w:val="00363E64"/>
    <w:rsid w:val="00363EAA"/>
    <w:rsid w:val="003645E4"/>
    <w:rsid w:val="00364AA7"/>
    <w:rsid w:val="00364C54"/>
    <w:rsid w:val="00365236"/>
    <w:rsid w:val="00366612"/>
    <w:rsid w:val="0036693D"/>
    <w:rsid w:val="00366C0D"/>
    <w:rsid w:val="00366E7E"/>
    <w:rsid w:val="00367136"/>
    <w:rsid w:val="00367370"/>
    <w:rsid w:val="0036756F"/>
    <w:rsid w:val="00367A67"/>
    <w:rsid w:val="00367C3F"/>
    <w:rsid w:val="0037100A"/>
    <w:rsid w:val="003711CD"/>
    <w:rsid w:val="00371279"/>
    <w:rsid w:val="00371314"/>
    <w:rsid w:val="0037304F"/>
    <w:rsid w:val="0037401D"/>
    <w:rsid w:val="00374474"/>
    <w:rsid w:val="00374BDD"/>
    <w:rsid w:val="00374CAC"/>
    <w:rsid w:val="00374E1C"/>
    <w:rsid w:val="003761DB"/>
    <w:rsid w:val="0037657E"/>
    <w:rsid w:val="00376A77"/>
    <w:rsid w:val="0038005B"/>
    <w:rsid w:val="0038199E"/>
    <w:rsid w:val="00382879"/>
    <w:rsid w:val="00383139"/>
    <w:rsid w:val="00383FA2"/>
    <w:rsid w:val="0038407D"/>
    <w:rsid w:val="003849D6"/>
    <w:rsid w:val="00385746"/>
    <w:rsid w:val="00385B61"/>
    <w:rsid w:val="0038669A"/>
    <w:rsid w:val="00386B02"/>
    <w:rsid w:val="00387A0D"/>
    <w:rsid w:val="0039064C"/>
    <w:rsid w:val="00390CE8"/>
    <w:rsid w:val="00391067"/>
    <w:rsid w:val="00391184"/>
    <w:rsid w:val="0039123C"/>
    <w:rsid w:val="003917D9"/>
    <w:rsid w:val="00391C40"/>
    <w:rsid w:val="00391E81"/>
    <w:rsid w:val="003927BA"/>
    <w:rsid w:val="00392826"/>
    <w:rsid w:val="00392B2B"/>
    <w:rsid w:val="0039370B"/>
    <w:rsid w:val="003944C2"/>
    <w:rsid w:val="00395741"/>
    <w:rsid w:val="00395FD0"/>
    <w:rsid w:val="003978B3"/>
    <w:rsid w:val="003A04D2"/>
    <w:rsid w:val="003A08C0"/>
    <w:rsid w:val="003A0909"/>
    <w:rsid w:val="003A0BA9"/>
    <w:rsid w:val="003A0BC9"/>
    <w:rsid w:val="003A0ED4"/>
    <w:rsid w:val="003A1444"/>
    <w:rsid w:val="003A14A8"/>
    <w:rsid w:val="003A15DF"/>
    <w:rsid w:val="003A1CC9"/>
    <w:rsid w:val="003A30EC"/>
    <w:rsid w:val="003A3163"/>
    <w:rsid w:val="003A369D"/>
    <w:rsid w:val="003A3FCD"/>
    <w:rsid w:val="003A4C7B"/>
    <w:rsid w:val="003A4DFD"/>
    <w:rsid w:val="003A5285"/>
    <w:rsid w:val="003A5A41"/>
    <w:rsid w:val="003A639A"/>
    <w:rsid w:val="003A6BF5"/>
    <w:rsid w:val="003A7068"/>
    <w:rsid w:val="003B0292"/>
    <w:rsid w:val="003B04F0"/>
    <w:rsid w:val="003B0AA6"/>
    <w:rsid w:val="003B2D08"/>
    <w:rsid w:val="003B3E9B"/>
    <w:rsid w:val="003B4263"/>
    <w:rsid w:val="003B492C"/>
    <w:rsid w:val="003B4965"/>
    <w:rsid w:val="003B4E55"/>
    <w:rsid w:val="003B5059"/>
    <w:rsid w:val="003B5F5C"/>
    <w:rsid w:val="003B61EB"/>
    <w:rsid w:val="003B799D"/>
    <w:rsid w:val="003C1590"/>
    <w:rsid w:val="003C1ABB"/>
    <w:rsid w:val="003C1D76"/>
    <w:rsid w:val="003C1EE3"/>
    <w:rsid w:val="003C1F57"/>
    <w:rsid w:val="003C35C7"/>
    <w:rsid w:val="003C3D0E"/>
    <w:rsid w:val="003C40C7"/>
    <w:rsid w:val="003C41B4"/>
    <w:rsid w:val="003C439A"/>
    <w:rsid w:val="003C45D0"/>
    <w:rsid w:val="003C5630"/>
    <w:rsid w:val="003C666A"/>
    <w:rsid w:val="003C6817"/>
    <w:rsid w:val="003C717D"/>
    <w:rsid w:val="003C7C9A"/>
    <w:rsid w:val="003C7CCB"/>
    <w:rsid w:val="003C7D03"/>
    <w:rsid w:val="003D0610"/>
    <w:rsid w:val="003D08A1"/>
    <w:rsid w:val="003D0BD7"/>
    <w:rsid w:val="003D120F"/>
    <w:rsid w:val="003D2883"/>
    <w:rsid w:val="003D35BF"/>
    <w:rsid w:val="003D36BB"/>
    <w:rsid w:val="003D432D"/>
    <w:rsid w:val="003D4F3B"/>
    <w:rsid w:val="003D51BF"/>
    <w:rsid w:val="003D547D"/>
    <w:rsid w:val="003D55AB"/>
    <w:rsid w:val="003D5FA7"/>
    <w:rsid w:val="003D6DAC"/>
    <w:rsid w:val="003D6EB1"/>
    <w:rsid w:val="003D7C24"/>
    <w:rsid w:val="003D7CBB"/>
    <w:rsid w:val="003D7D20"/>
    <w:rsid w:val="003E0957"/>
    <w:rsid w:val="003E09F2"/>
    <w:rsid w:val="003E0B70"/>
    <w:rsid w:val="003E0E7C"/>
    <w:rsid w:val="003E175A"/>
    <w:rsid w:val="003E1A6C"/>
    <w:rsid w:val="003E1B0E"/>
    <w:rsid w:val="003E3597"/>
    <w:rsid w:val="003E3D0B"/>
    <w:rsid w:val="003E4F02"/>
    <w:rsid w:val="003E577D"/>
    <w:rsid w:val="003E5E71"/>
    <w:rsid w:val="003E77C3"/>
    <w:rsid w:val="003F023A"/>
    <w:rsid w:val="003F0B98"/>
    <w:rsid w:val="003F1027"/>
    <w:rsid w:val="003F21DD"/>
    <w:rsid w:val="003F2375"/>
    <w:rsid w:val="003F25CE"/>
    <w:rsid w:val="003F501D"/>
    <w:rsid w:val="003F53B6"/>
    <w:rsid w:val="003F53FB"/>
    <w:rsid w:val="003F54CC"/>
    <w:rsid w:val="003F556B"/>
    <w:rsid w:val="003F6B98"/>
    <w:rsid w:val="003F6C55"/>
    <w:rsid w:val="003F6F7A"/>
    <w:rsid w:val="00400058"/>
    <w:rsid w:val="00400B77"/>
    <w:rsid w:val="00401508"/>
    <w:rsid w:val="00401AD3"/>
    <w:rsid w:val="00402380"/>
    <w:rsid w:val="00402840"/>
    <w:rsid w:val="00402E9A"/>
    <w:rsid w:val="00403322"/>
    <w:rsid w:val="00404712"/>
    <w:rsid w:val="004047C6"/>
    <w:rsid w:val="00404CBE"/>
    <w:rsid w:val="00404D9B"/>
    <w:rsid w:val="004068C2"/>
    <w:rsid w:val="00406D4F"/>
    <w:rsid w:val="00407C95"/>
    <w:rsid w:val="00410772"/>
    <w:rsid w:val="00411671"/>
    <w:rsid w:val="00411BF5"/>
    <w:rsid w:val="004120C8"/>
    <w:rsid w:val="00412767"/>
    <w:rsid w:val="00412D8D"/>
    <w:rsid w:val="00413711"/>
    <w:rsid w:val="00413765"/>
    <w:rsid w:val="00413F8B"/>
    <w:rsid w:val="00414795"/>
    <w:rsid w:val="00415346"/>
    <w:rsid w:val="004153FB"/>
    <w:rsid w:val="00415D48"/>
    <w:rsid w:val="004164FA"/>
    <w:rsid w:val="00416A7D"/>
    <w:rsid w:val="00416B1C"/>
    <w:rsid w:val="004174F1"/>
    <w:rsid w:val="00417645"/>
    <w:rsid w:val="00417920"/>
    <w:rsid w:val="00420067"/>
    <w:rsid w:val="004210A2"/>
    <w:rsid w:val="004223E6"/>
    <w:rsid w:val="004224A1"/>
    <w:rsid w:val="00422675"/>
    <w:rsid w:val="004226C0"/>
    <w:rsid w:val="004231AF"/>
    <w:rsid w:val="00423F5E"/>
    <w:rsid w:val="0042420D"/>
    <w:rsid w:val="00424D0A"/>
    <w:rsid w:val="00424EDF"/>
    <w:rsid w:val="004252A1"/>
    <w:rsid w:val="004257CB"/>
    <w:rsid w:val="00425A48"/>
    <w:rsid w:val="00426C0F"/>
    <w:rsid w:val="0042722D"/>
    <w:rsid w:val="00427D83"/>
    <w:rsid w:val="004301A8"/>
    <w:rsid w:val="00430355"/>
    <w:rsid w:val="00430D1E"/>
    <w:rsid w:val="0043226E"/>
    <w:rsid w:val="004323CE"/>
    <w:rsid w:val="00435163"/>
    <w:rsid w:val="00435664"/>
    <w:rsid w:val="00436B23"/>
    <w:rsid w:val="0043782D"/>
    <w:rsid w:val="00437B19"/>
    <w:rsid w:val="00437F64"/>
    <w:rsid w:val="0044012B"/>
    <w:rsid w:val="00440935"/>
    <w:rsid w:val="004413C1"/>
    <w:rsid w:val="004414DD"/>
    <w:rsid w:val="00442461"/>
    <w:rsid w:val="004437C3"/>
    <w:rsid w:val="00444590"/>
    <w:rsid w:val="00444629"/>
    <w:rsid w:val="00444A61"/>
    <w:rsid w:val="00445A20"/>
    <w:rsid w:val="004466BC"/>
    <w:rsid w:val="00446D36"/>
    <w:rsid w:val="00446D4A"/>
    <w:rsid w:val="00447284"/>
    <w:rsid w:val="004472AB"/>
    <w:rsid w:val="00450F03"/>
    <w:rsid w:val="004511BE"/>
    <w:rsid w:val="0045153E"/>
    <w:rsid w:val="00452037"/>
    <w:rsid w:val="0045228B"/>
    <w:rsid w:val="00452297"/>
    <w:rsid w:val="0045242C"/>
    <w:rsid w:val="00452618"/>
    <w:rsid w:val="00452C4A"/>
    <w:rsid w:val="00453970"/>
    <w:rsid w:val="00454446"/>
    <w:rsid w:val="00454862"/>
    <w:rsid w:val="0045536C"/>
    <w:rsid w:val="00455691"/>
    <w:rsid w:val="0045577D"/>
    <w:rsid w:val="004574E6"/>
    <w:rsid w:val="00457C97"/>
    <w:rsid w:val="0046048D"/>
    <w:rsid w:val="00460E99"/>
    <w:rsid w:val="004611C1"/>
    <w:rsid w:val="00461C08"/>
    <w:rsid w:val="00461CEC"/>
    <w:rsid w:val="0046274B"/>
    <w:rsid w:val="00462B17"/>
    <w:rsid w:val="00463044"/>
    <w:rsid w:val="004631AA"/>
    <w:rsid w:val="00463C2F"/>
    <w:rsid w:val="00464421"/>
    <w:rsid w:val="004651B9"/>
    <w:rsid w:val="00465FD4"/>
    <w:rsid w:val="00466017"/>
    <w:rsid w:val="004662E7"/>
    <w:rsid w:val="00466C69"/>
    <w:rsid w:val="00466FFA"/>
    <w:rsid w:val="004671A1"/>
    <w:rsid w:val="004700EB"/>
    <w:rsid w:val="00470981"/>
    <w:rsid w:val="004732BD"/>
    <w:rsid w:val="00473342"/>
    <w:rsid w:val="0047340C"/>
    <w:rsid w:val="00473550"/>
    <w:rsid w:val="00473A7D"/>
    <w:rsid w:val="00473DE1"/>
    <w:rsid w:val="004740E7"/>
    <w:rsid w:val="0047516D"/>
    <w:rsid w:val="00475924"/>
    <w:rsid w:val="004763C6"/>
    <w:rsid w:val="00476526"/>
    <w:rsid w:val="00477E14"/>
    <w:rsid w:val="00480AD2"/>
    <w:rsid w:val="00480CDA"/>
    <w:rsid w:val="0048177F"/>
    <w:rsid w:val="00481905"/>
    <w:rsid w:val="00482C28"/>
    <w:rsid w:val="0048335B"/>
    <w:rsid w:val="00484C81"/>
    <w:rsid w:val="00484CBF"/>
    <w:rsid w:val="00485403"/>
    <w:rsid w:val="00485734"/>
    <w:rsid w:val="004859E8"/>
    <w:rsid w:val="004862C2"/>
    <w:rsid w:val="00486FC5"/>
    <w:rsid w:val="00490880"/>
    <w:rsid w:val="00490CF1"/>
    <w:rsid w:val="00490DFA"/>
    <w:rsid w:val="004914A6"/>
    <w:rsid w:val="004919FC"/>
    <w:rsid w:val="00491ABB"/>
    <w:rsid w:val="00492ACC"/>
    <w:rsid w:val="004931E9"/>
    <w:rsid w:val="00493CF3"/>
    <w:rsid w:val="00494655"/>
    <w:rsid w:val="0049503E"/>
    <w:rsid w:val="004966E7"/>
    <w:rsid w:val="00496941"/>
    <w:rsid w:val="0049694F"/>
    <w:rsid w:val="00496AA8"/>
    <w:rsid w:val="00497D82"/>
    <w:rsid w:val="00497D93"/>
    <w:rsid w:val="004A0296"/>
    <w:rsid w:val="004A0726"/>
    <w:rsid w:val="004A0DDB"/>
    <w:rsid w:val="004A1430"/>
    <w:rsid w:val="004A1878"/>
    <w:rsid w:val="004A1B9D"/>
    <w:rsid w:val="004A24A0"/>
    <w:rsid w:val="004A2667"/>
    <w:rsid w:val="004A2EAB"/>
    <w:rsid w:val="004A2FC9"/>
    <w:rsid w:val="004A3CCC"/>
    <w:rsid w:val="004A3F44"/>
    <w:rsid w:val="004A4467"/>
    <w:rsid w:val="004A4810"/>
    <w:rsid w:val="004A6192"/>
    <w:rsid w:val="004A6239"/>
    <w:rsid w:val="004A63CE"/>
    <w:rsid w:val="004A67D0"/>
    <w:rsid w:val="004A69A9"/>
    <w:rsid w:val="004A77D9"/>
    <w:rsid w:val="004B0820"/>
    <w:rsid w:val="004B0B23"/>
    <w:rsid w:val="004B1B66"/>
    <w:rsid w:val="004B1D15"/>
    <w:rsid w:val="004B1D1E"/>
    <w:rsid w:val="004B2785"/>
    <w:rsid w:val="004B34EB"/>
    <w:rsid w:val="004B3DFE"/>
    <w:rsid w:val="004B44DF"/>
    <w:rsid w:val="004B4742"/>
    <w:rsid w:val="004B54CB"/>
    <w:rsid w:val="004B66F4"/>
    <w:rsid w:val="004C2763"/>
    <w:rsid w:val="004C2FD8"/>
    <w:rsid w:val="004C341A"/>
    <w:rsid w:val="004C3692"/>
    <w:rsid w:val="004C3DB4"/>
    <w:rsid w:val="004C437C"/>
    <w:rsid w:val="004C44DE"/>
    <w:rsid w:val="004C4722"/>
    <w:rsid w:val="004C4CC8"/>
    <w:rsid w:val="004C51BA"/>
    <w:rsid w:val="004C6A49"/>
    <w:rsid w:val="004C77A4"/>
    <w:rsid w:val="004C7C61"/>
    <w:rsid w:val="004D007D"/>
    <w:rsid w:val="004D01EB"/>
    <w:rsid w:val="004D0830"/>
    <w:rsid w:val="004D0E09"/>
    <w:rsid w:val="004D1610"/>
    <w:rsid w:val="004D1849"/>
    <w:rsid w:val="004D19D9"/>
    <w:rsid w:val="004D1AE1"/>
    <w:rsid w:val="004D26D4"/>
    <w:rsid w:val="004D2CD1"/>
    <w:rsid w:val="004D2DF2"/>
    <w:rsid w:val="004D2E10"/>
    <w:rsid w:val="004D3985"/>
    <w:rsid w:val="004D44F9"/>
    <w:rsid w:val="004D48DC"/>
    <w:rsid w:val="004D4CD9"/>
    <w:rsid w:val="004D542A"/>
    <w:rsid w:val="004D572F"/>
    <w:rsid w:val="004D5E63"/>
    <w:rsid w:val="004D6369"/>
    <w:rsid w:val="004D64FC"/>
    <w:rsid w:val="004D65A7"/>
    <w:rsid w:val="004D7105"/>
    <w:rsid w:val="004D76D3"/>
    <w:rsid w:val="004E06E7"/>
    <w:rsid w:val="004E0722"/>
    <w:rsid w:val="004E074C"/>
    <w:rsid w:val="004E20C5"/>
    <w:rsid w:val="004E2783"/>
    <w:rsid w:val="004E33F5"/>
    <w:rsid w:val="004E3C05"/>
    <w:rsid w:val="004E4326"/>
    <w:rsid w:val="004E438A"/>
    <w:rsid w:val="004E459F"/>
    <w:rsid w:val="004E56E5"/>
    <w:rsid w:val="004E5B94"/>
    <w:rsid w:val="004E6A89"/>
    <w:rsid w:val="004E7459"/>
    <w:rsid w:val="004E7533"/>
    <w:rsid w:val="004E78D8"/>
    <w:rsid w:val="004F0235"/>
    <w:rsid w:val="004F0541"/>
    <w:rsid w:val="004F0E7C"/>
    <w:rsid w:val="004F1106"/>
    <w:rsid w:val="004F1B08"/>
    <w:rsid w:val="004F203D"/>
    <w:rsid w:val="004F26D9"/>
    <w:rsid w:val="004F2A79"/>
    <w:rsid w:val="004F32F4"/>
    <w:rsid w:val="004F3499"/>
    <w:rsid w:val="004F36E7"/>
    <w:rsid w:val="004F3778"/>
    <w:rsid w:val="004F389E"/>
    <w:rsid w:val="004F4BDD"/>
    <w:rsid w:val="004F5273"/>
    <w:rsid w:val="004F5542"/>
    <w:rsid w:val="004F5DC6"/>
    <w:rsid w:val="004F60D6"/>
    <w:rsid w:val="004F61C2"/>
    <w:rsid w:val="004F7255"/>
    <w:rsid w:val="004F7752"/>
    <w:rsid w:val="004F799D"/>
    <w:rsid w:val="00500E96"/>
    <w:rsid w:val="00502B14"/>
    <w:rsid w:val="00502CF6"/>
    <w:rsid w:val="00503081"/>
    <w:rsid w:val="005031D4"/>
    <w:rsid w:val="005042E7"/>
    <w:rsid w:val="0050454D"/>
    <w:rsid w:val="005045F0"/>
    <w:rsid w:val="0050486D"/>
    <w:rsid w:val="0050537E"/>
    <w:rsid w:val="005057C9"/>
    <w:rsid w:val="00505807"/>
    <w:rsid w:val="00505878"/>
    <w:rsid w:val="00505B69"/>
    <w:rsid w:val="005062D3"/>
    <w:rsid w:val="00506D66"/>
    <w:rsid w:val="005071AC"/>
    <w:rsid w:val="00507AF3"/>
    <w:rsid w:val="005103F5"/>
    <w:rsid w:val="005106D7"/>
    <w:rsid w:val="00510780"/>
    <w:rsid w:val="00510834"/>
    <w:rsid w:val="00511417"/>
    <w:rsid w:val="00511E76"/>
    <w:rsid w:val="00511F50"/>
    <w:rsid w:val="005139A9"/>
    <w:rsid w:val="00513FC6"/>
    <w:rsid w:val="00516EF3"/>
    <w:rsid w:val="0051727A"/>
    <w:rsid w:val="00517871"/>
    <w:rsid w:val="005200B0"/>
    <w:rsid w:val="005204E8"/>
    <w:rsid w:val="005204EC"/>
    <w:rsid w:val="00520E39"/>
    <w:rsid w:val="0052124A"/>
    <w:rsid w:val="005214DF"/>
    <w:rsid w:val="005215F8"/>
    <w:rsid w:val="0052465E"/>
    <w:rsid w:val="00525433"/>
    <w:rsid w:val="00526087"/>
    <w:rsid w:val="00526D47"/>
    <w:rsid w:val="00526D7D"/>
    <w:rsid w:val="00526EA2"/>
    <w:rsid w:val="005272E9"/>
    <w:rsid w:val="00530003"/>
    <w:rsid w:val="005304FA"/>
    <w:rsid w:val="005307BF"/>
    <w:rsid w:val="00530C1E"/>
    <w:rsid w:val="005311B1"/>
    <w:rsid w:val="0053126F"/>
    <w:rsid w:val="005328CD"/>
    <w:rsid w:val="00534442"/>
    <w:rsid w:val="00534B7B"/>
    <w:rsid w:val="005352EE"/>
    <w:rsid w:val="00535747"/>
    <w:rsid w:val="005365E1"/>
    <w:rsid w:val="00536715"/>
    <w:rsid w:val="00536BAA"/>
    <w:rsid w:val="00537CBE"/>
    <w:rsid w:val="005400CD"/>
    <w:rsid w:val="00540160"/>
    <w:rsid w:val="005402F3"/>
    <w:rsid w:val="00540309"/>
    <w:rsid w:val="00540344"/>
    <w:rsid w:val="0054041B"/>
    <w:rsid w:val="00541874"/>
    <w:rsid w:val="00542166"/>
    <w:rsid w:val="005429C7"/>
    <w:rsid w:val="00543278"/>
    <w:rsid w:val="0054342A"/>
    <w:rsid w:val="00545637"/>
    <w:rsid w:val="00546330"/>
    <w:rsid w:val="005469A2"/>
    <w:rsid w:val="00546DCC"/>
    <w:rsid w:val="005473B1"/>
    <w:rsid w:val="00547B52"/>
    <w:rsid w:val="00551228"/>
    <w:rsid w:val="005513A9"/>
    <w:rsid w:val="00552C3E"/>
    <w:rsid w:val="00552E40"/>
    <w:rsid w:val="00552EA8"/>
    <w:rsid w:val="0055347D"/>
    <w:rsid w:val="00554A4A"/>
    <w:rsid w:val="00554E9E"/>
    <w:rsid w:val="0055526A"/>
    <w:rsid w:val="005555F7"/>
    <w:rsid w:val="00555E92"/>
    <w:rsid w:val="005567C1"/>
    <w:rsid w:val="00557116"/>
    <w:rsid w:val="00557241"/>
    <w:rsid w:val="0055739F"/>
    <w:rsid w:val="0056191D"/>
    <w:rsid w:val="00561F78"/>
    <w:rsid w:val="0056233F"/>
    <w:rsid w:val="00563108"/>
    <w:rsid w:val="005651E8"/>
    <w:rsid w:val="00566105"/>
    <w:rsid w:val="0056610B"/>
    <w:rsid w:val="005666BD"/>
    <w:rsid w:val="0056676B"/>
    <w:rsid w:val="0056717D"/>
    <w:rsid w:val="00567499"/>
    <w:rsid w:val="00567692"/>
    <w:rsid w:val="00567BD9"/>
    <w:rsid w:val="00570C04"/>
    <w:rsid w:val="00571743"/>
    <w:rsid w:val="00571E60"/>
    <w:rsid w:val="00572666"/>
    <w:rsid w:val="005726CE"/>
    <w:rsid w:val="00572950"/>
    <w:rsid w:val="00572A20"/>
    <w:rsid w:val="00572EF9"/>
    <w:rsid w:val="00572FFC"/>
    <w:rsid w:val="00573064"/>
    <w:rsid w:val="005730AA"/>
    <w:rsid w:val="0057333B"/>
    <w:rsid w:val="0057357C"/>
    <w:rsid w:val="0057386C"/>
    <w:rsid w:val="00574B59"/>
    <w:rsid w:val="00575241"/>
    <w:rsid w:val="00575E24"/>
    <w:rsid w:val="00576027"/>
    <w:rsid w:val="00576707"/>
    <w:rsid w:val="0058055B"/>
    <w:rsid w:val="00580886"/>
    <w:rsid w:val="005813FD"/>
    <w:rsid w:val="00581F95"/>
    <w:rsid w:val="00583A8E"/>
    <w:rsid w:val="00583AF2"/>
    <w:rsid w:val="00584354"/>
    <w:rsid w:val="005843A7"/>
    <w:rsid w:val="00584D41"/>
    <w:rsid w:val="00584D85"/>
    <w:rsid w:val="00584E70"/>
    <w:rsid w:val="00585180"/>
    <w:rsid w:val="005857D2"/>
    <w:rsid w:val="00585C5D"/>
    <w:rsid w:val="00586BE6"/>
    <w:rsid w:val="0058758C"/>
    <w:rsid w:val="005901CB"/>
    <w:rsid w:val="00590304"/>
    <w:rsid w:val="00590E21"/>
    <w:rsid w:val="005916CC"/>
    <w:rsid w:val="00591CCC"/>
    <w:rsid w:val="0059266B"/>
    <w:rsid w:val="0059359B"/>
    <w:rsid w:val="00594D94"/>
    <w:rsid w:val="00594D97"/>
    <w:rsid w:val="00594F32"/>
    <w:rsid w:val="00595B37"/>
    <w:rsid w:val="00595F3A"/>
    <w:rsid w:val="0059709E"/>
    <w:rsid w:val="005A07E7"/>
    <w:rsid w:val="005A0B67"/>
    <w:rsid w:val="005A1C9A"/>
    <w:rsid w:val="005A1DD4"/>
    <w:rsid w:val="005A3BDD"/>
    <w:rsid w:val="005A4953"/>
    <w:rsid w:val="005A4BB6"/>
    <w:rsid w:val="005A4E11"/>
    <w:rsid w:val="005A6308"/>
    <w:rsid w:val="005A63A0"/>
    <w:rsid w:val="005A68F5"/>
    <w:rsid w:val="005A6FDA"/>
    <w:rsid w:val="005A7048"/>
    <w:rsid w:val="005B06AB"/>
    <w:rsid w:val="005B07B1"/>
    <w:rsid w:val="005B1715"/>
    <w:rsid w:val="005B198F"/>
    <w:rsid w:val="005B27AB"/>
    <w:rsid w:val="005B29BB"/>
    <w:rsid w:val="005B3E6D"/>
    <w:rsid w:val="005B45B3"/>
    <w:rsid w:val="005B48E4"/>
    <w:rsid w:val="005B534B"/>
    <w:rsid w:val="005B552C"/>
    <w:rsid w:val="005B5B14"/>
    <w:rsid w:val="005B6426"/>
    <w:rsid w:val="005B6F9D"/>
    <w:rsid w:val="005B72F4"/>
    <w:rsid w:val="005B7515"/>
    <w:rsid w:val="005C0E27"/>
    <w:rsid w:val="005C1B18"/>
    <w:rsid w:val="005C1FE9"/>
    <w:rsid w:val="005C2DEC"/>
    <w:rsid w:val="005C311B"/>
    <w:rsid w:val="005C37F0"/>
    <w:rsid w:val="005C3E6C"/>
    <w:rsid w:val="005C447E"/>
    <w:rsid w:val="005C45F6"/>
    <w:rsid w:val="005C4A3A"/>
    <w:rsid w:val="005C573F"/>
    <w:rsid w:val="005C5741"/>
    <w:rsid w:val="005C5911"/>
    <w:rsid w:val="005C71BA"/>
    <w:rsid w:val="005C7346"/>
    <w:rsid w:val="005D0475"/>
    <w:rsid w:val="005D04F1"/>
    <w:rsid w:val="005D2AFC"/>
    <w:rsid w:val="005D44B2"/>
    <w:rsid w:val="005D4912"/>
    <w:rsid w:val="005D4A93"/>
    <w:rsid w:val="005D650E"/>
    <w:rsid w:val="005D743E"/>
    <w:rsid w:val="005D752E"/>
    <w:rsid w:val="005E09C9"/>
    <w:rsid w:val="005E1AD0"/>
    <w:rsid w:val="005E1DA6"/>
    <w:rsid w:val="005E2982"/>
    <w:rsid w:val="005E3779"/>
    <w:rsid w:val="005E4224"/>
    <w:rsid w:val="005E4733"/>
    <w:rsid w:val="005E4E59"/>
    <w:rsid w:val="005E4EB9"/>
    <w:rsid w:val="005E4F41"/>
    <w:rsid w:val="005E557F"/>
    <w:rsid w:val="005E59B7"/>
    <w:rsid w:val="005E5D4F"/>
    <w:rsid w:val="005E6218"/>
    <w:rsid w:val="005E6310"/>
    <w:rsid w:val="005E72DF"/>
    <w:rsid w:val="005E7538"/>
    <w:rsid w:val="005E761A"/>
    <w:rsid w:val="005E78D7"/>
    <w:rsid w:val="005E7931"/>
    <w:rsid w:val="005E7AF3"/>
    <w:rsid w:val="005F08DC"/>
    <w:rsid w:val="005F1F4F"/>
    <w:rsid w:val="005F24F3"/>
    <w:rsid w:val="005F37A6"/>
    <w:rsid w:val="005F392F"/>
    <w:rsid w:val="005F44AF"/>
    <w:rsid w:val="005F5D54"/>
    <w:rsid w:val="005F7A69"/>
    <w:rsid w:val="005F7CDB"/>
    <w:rsid w:val="005F7DFB"/>
    <w:rsid w:val="00601404"/>
    <w:rsid w:val="00602386"/>
    <w:rsid w:val="00602410"/>
    <w:rsid w:val="006025F9"/>
    <w:rsid w:val="00602657"/>
    <w:rsid w:val="0060297D"/>
    <w:rsid w:val="00602E09"/>
    <w:rsid w:val="0060307A"/>
    <w:rsid w:val="00604643"/>
    <w:rsid w:val="0060481D"/>
    <w:rsid w:val="0060496B"/>
    <w:rsid w:val="006057A4"/>
    <w:rsid w:val="00605CD3"/>
    <w:rsid w:val="00606436"/>
    <w:rsid w:val="006064C0"/>
    <w:rsid w:val="006066B1"/>
    <w:rsid w:val="0060723E"/>
    <w:rsid w:val="00607860"/>
    <w:rsid w:val="00607D1C"/>
    <w:rsid w:val="00607E16"/>
    <w:rsid w:val="00610552"/>
    <w:rsid w:val="006111C3"/>
    <w:rsid w:val="00611F3F"/>
    <w:rsid w:val="00612998"/>
    <w:rsid w:val="00612E8C"/>
    <w:rsid w:val="00612FCA"/>
    <w:rsid w:val="0061365B"/>
    <w:rsid w:val="00613D8C"/>
    <w:rsid w:val="00613E47"/>
    <w:rsid w:val="00614710"/>
    <w:rsid w:val="00614D62"/>
    <w:rsid w:val="00615092"/>
    <w:rsid w:val="0061514B"/>
    <w:rsid w:val="00615184"/>
    <w:rsid w:val="00615815"/>
    <w:rsid w:val="006158E4"/>
    <w:rsid w:val="00615A79"/>
    <w:rsid w:val="0061721F"/>
    <w:rsid w:val="00617CFC"/>
    <w:rsid w:val="00617EC1"/>
    <w:rsid w:val="006206A7"/>
    <w:rsid w:val="00620E00"/>
    <w:rsid w:val="00620FC5"/>
    <w:rsid w:val="0062174D"/>
    <w:rsid w:val="00621FA0"/>
    <w:rsid w:val="00622150"/>
    <w:rsid w:val="00623437"/>
    <w:rsid w:val="006235E8"/>
    <w:rsid w:val="00623964"/>
    <w:rsid w:val="006260EC"/>
    <w:rsid w:val="00626346"/>
    <w:rsid w:val="00626A41"/>
    <w:rsid w:val="0062776A"/>
    <w:rsid w:val="006279B5"/>
    <w:rsid w:val="00627C2C"/>
    <w:rsid w:val="00627D94"/>
    <w:rsid w:val="00627E32"/>
    <w:rsid w:val="006308F3"/>
    <w:rsid w:val="00632172"/>
    <w:rsid w:val="0063244A"/>
    <w:rsid w:val="00632B6C"/>
    <w:rsid w:val="00633A29"/>
    <w:rsid w:val="00634D5F"/>
    <w:rsid w:val="00635EEE"/>
    <w:rsid w:val="0063667C"/>
    <w:rsid w:val="00636811"/>
    <w:rsid w:val="00636B9D"/>
    <w:rsid w:val="006374E0"/>
    <w:rsid w:val="00637C6C"/>
    <w:rsid w:val="00641748"/>
    <w:rsid w:val="00641E6F"/>
    <w:rsid w:val="00641F4A"/>
    <w:rsid w:val="00642086"/>
    <w:rsid w:val="0064291B"/>
    <w:rsid w:val="0064300D"/>
    <w:rsid w:val="00643A7C"/>
    <w:rsid w:val="006444B8"/>
    <w:rsid w:val="006447A9"/>
    <w:rsid w:val="00644C21"/>
    <w:rsid w:val="00644E33"/>
    <w:rsid w:val="00645A94"/>
    <w:rsid w:val="00645AFF"/>
    <w:rsid w:val="00645C54"/>
    <w:rsid w:val="0064621D"/>
    <w:rsid w:val="006466B4"/>
    <w:rsid w:val="00646E37"/>
    <w:rsid w:val="006475AD"/>
    <w:rsid w:val="00647C5C"/>
    <w:rsid w:val="0065040C"/>
    <w:rsid w:val="00650B4B"/>
    <w:rsid w:val="00650C7E"/>
    <w:rsid w:val="00651981"/>
    <w:rsid w:val="0065199D"/>
    <w:rsid w:val="00651EF8"/>
    <w:rsid w:val="00651F25"/>
    <w:rsid w:val="00652124"/>
    <w:rsid w:val="00652310"/>
    <w:rsid w:val="006527CF"/>
    <w:rsid w:val="0065333F"/>
    <w:rsid w:val="00653B0D"/>
    <w:rsid w:val="0065562A"/>
    <w:rsid w:val="00655F5A"/>
    <w:rsid w:val="00657024"/>
    <w:rsid w:val="006575F0"/>
    <w:rsid w:val="0065778A"/>
    <w:rsid w:val="006578FB"/>
    <w:rsid w:val="0066006D"/>
    <w:rsid w:val="006600DB"/>
    <w:rsid w:val="006618AC"/>
    <w:rsid w:val="00662617"/>
    <w:rsid w:val="00662C10"/>
    <w:rsid w:val="00662C79"/>
    <w:rsid w:val="006632F1"/>
    <w:rsid w:val="0066386F"/>
    <w:rsid w:val="0066427C"/>
    <w:rsid w:val="00664770"/>
    <w:rsid w:val="00664EBC"/>
    <w:rsid w:val="006656DA"/>
    <w:rsid w:val="006658F9"/>
    <w:rsid w:val="006663FB"/>
    <w:rsid w:val="00666C6B"/>
    <w:rsid w:val="00666F4D"/>
    <w:rsid w:val="00667AF9"/>
    <w:rsid w:val="00670158"/>
    <w:rsid w:val="006702EA"/>
    <w:rsid w:val="006708C7"/>
    <w:rsid w:val="00670D7A"/>
    <w:rsid w:val="00670D8F"/>
    <w:rsid w:val="00670FBF"/>
    <w:rsid w:val="00671275"/>
    <w:rsid w:val="00671637"/>
    <w:rsid w:val="00671731"/>
    <w:rsid w:val="00671D18"/>
    <w:rsid w:val="00673730"/>
    <w:rsid w:val="006738DA"/>
    <w:rsid w:val="006742A7"/>
    <w:rsid w:val="00674E62"/>
    <w:rsid w:val="00674E77"/>
    <w:rsid w:val="006751A4"/>
    <w:rsid w:val="00675400"/>
    <w:rsid w:val="00675DD4"/>
    <w:rsid w:val="00675F08"/>
    <w:rsid w:val="006762B3"/>
    <w:rsid w:val="00676C1A"/>
    <w:rsid w:val="00677009"/>
    <w:rsid w:val="0067723B"/>
    <w:rsid w:val="0068008E"/>
    <w:rsid w:val="0068032F"/>
    <w:rsid w:val="006819C9"/>
    <w:rsid w:val="00681B8C"/>
    <w:rsid w:val="006829A3"/>
    <w:rsid w:val="00683734"/>
    <w:rsid w:val="006837AB"/>
    <w:rsid w:val="00683892"/>
    <w:rsid w:val="006840A5"/>
    <w:rsid w:val="00684612"/>
    <w:rsid w:val="006861EB"/>
    <w:rsid w:val="00686681"/>
    <w:rsid w:val="006867BB"/>
    <w:rsid w:val="00686FF3"/>
    <w:rsid w:val="00687291"/>
    <w:rsid w:val="00687304"/>
    <w:rsid w:val="00687DE0"/>
    <w:rsid w:val="0069006F"/>
    <w:rsid w:val="006900B4"/>
    <w:rsid w:val="00690339"/>
    <w:rsid w:val="0069067A"/>
    <w:rsid w:val="00692508"/>
    <w:rsid w:val="00692597"/>
    <w:rsid w:val="006926BD"/>
    <w:rsid w:val="00692E8C"/>
    <w:rsid w:val="00693A4E"/>
    <w:rsid w:val="00693A8C"/>
    <w:rsid w:val="00695CAA"/>
    <w:rsid w:val="006A0D6D"/>
    <w:rsid w:val="006A11F6"/>
    <w:rsid w:val="006A1287"/>
    <w:rsid w:val="006A15F8"/>
    <w:rsid w:val="006A19FD"/>
    <w:rsid w:val="006A1ED8"/>
    <w:rsid w:val="006A2FFF"/>
    <w:rsid w:val="006A37A2"/>
    <w:rsid w:val="006A4552"/>
    <w:rsid w:val="006A45DB"/>
    <w:rsid w:val="006A4905"/>
    <w:rsid w:val="006A5352"/>
    <w:rsid w:val="006A5F6D"/>
    <w:rsid w:val="006A62DC"/>
    <w:rsid w:val="006A67F3"/>
    <w:rsid w:val="006A67FD"/>
    <w:rsid w:val="006A7001"/>
    <w:rsid w:val="006A710F"/>
    <w:rsid w:val="006A713A"/>
    <w:rsid w:val="006A748C"/>
    <w:rsid w:val="006A7558"/>
    <w:rsid w:val="006B0327"/>
    <w:rsid w:val="006B0773"/>
    <w:rsid w:val="006B0979"/>
    <w:rsid w:val="006B0D9B"/>
    <w:rsid w:val="006B0F4F"/>
    <w:rsid w:val="006B1281"/>
    <w:rsid w:val="006B1793"/>
    <w:rsid w:val="006B1E42"/>
    <w:rsid w:val="006B21C8"/>
    <w:rsid w:val="006B2294"/>
    <w:rsid w:val="006B22D3"/>
    <w:rsid w:val="006B2A4F"/>
    <w:rsid w:val="006B2A60"/>
    <w:rsid w:val="006B402F"/>
    <w:rsid w:val="006B4B84"/>
    <w:rsid w:val="006B518F"/>
    <w:rsid w:val="006B5D4E"/>
    <w:rsid w:val="006B6489"/>
    <w:rsid w:val="006B7879"/>
    <w:rsid w:val="006B7A23"/>
    <w:rsid w:val="006B7A94"/>
    <w:rsid w:val="006C0107"/>
    <w:rsid w:val="006C01C3"/>
    <w:rsid w:val="006C1539"/>
    <w:rsid w:val="006C1C7D"/>
    <w:rsid w:val="006C2347"/>
    <w:rsid w:val="006C2522"/>
    <w:rsid w:val="006C2C0A"/>
    <w:rsid w:val="006C3422"/>
    <w:rsid w:val="006C4766"/>
    <w:rsid w:val="006C4B51"/>
    <w:rsid w:val="006C5358"/>
    <w:rsid w:val="006C6292"/>
    <w:rsid w:val="006C6D85"/>
    <w:rsid w:val="006D0773"/>
    <w:rsid w:val="006D0C35"/>
    <w:rsid w:val="006D176C"/>
    <w:rsid w:val="006D1991"/>
    <w:rsid w:val="006D37DF"/>
    <w:rsid w:val="006D5F0D"/>
    <w:rsid w:val="006D61CB"/>
    <w:rsid w:val="006D6211"/>
    <w:rsid w:val="006D647A"/>
    <w:rsid w:val="006D684B"/>
    <w:rsid w:val="006D6B81"/>
    <w:rsid w:val="006D7AD8"/>
    <w:rsid w:val="006E041B"/>
    <w:rsid w:val="006E04BC"/>
    <w:rsid w:val="006E1A5C"/>
    <w:rsid w:val="006E1BE9"/>
    <w:rsid w:val="006E28E9"/>
    <w:rsid w:val="006E2DBA"/>
    <w:rsid w:val="006E2F7D"/>
    <w:rsid w:val="006E3AAD"/>
    <w:rsid w:val="006E43C6"/>
    <w:rsid w:val="006E48D7"/>
    <w:rsid w:val="006E5B8F"/>
    <w:rsid w:val="006E63D4"/>
    <w:rsid w:val="006E6550"/>
    <w:rsid w:val="006E66F6"/>
    <w:rsid w:val="006E680B"/>
    <w:rsid w:val="006E6D86"/>
    <w:rsid w:val="006E7399"/>
    <w:rsid w:val="006F04FA"/>
    <w:rsid w:val="006F06CF"/>
    <w:rsid w:val="006F0E45"/>
    <w:rsid w:val="006F0E84"/>
    <w:rsid w:val="006F0E89"/>
    <w:rsid w:val="006F0EA9"/>
    <w:rsid w:val="006F176A"/>
    <w:rsid w:val="006F17FC"/>
    <w:rsid w:val="006F29FB"/>
    <w:rsid w:val="006F2EDE"/>
    <w:rsid w:val="006F396A"/>
    <w:rsid w:val="006F40DF"/>
    <w:rsid w:val="006F435C"/>
    <w:rsid w:val="006F4835"/>
    <w:rsid w:val="006F50E5"/>
    <w:rsid w:val="006F5994"/>
    <w:rsid w:val="006F6950"/>
    <w:rsid w:val="006F6ECF"/>
    <w:rsid w:val="006F7460"/>
    <w:rsid w:val="006F7B56"/>
    <w:rsid w:val="00700A58"/>
    <w:rsid w:val="00700E2D"/>
    <w:rsid w:val="0070117F"/>
    <w:rsid w:val="007016E7"/>
    <w:rsid w:val="00701919"/>
    <w:rsid w:val="00701B45"/>
    <w:rsid w:val="00701BBD"/>
    <w:rsid w:val="00702A8D"/>
    <w:rsid w:val="00702CC9"/>
    <w:rsid w:val="0070493A"/>
    <w:rsid w:val="00704995"/>
    <w:rsid w:val="00704E63"/>
    <w:rsid w:val="00705DF8"/>
    <w:rsid w:val="00706441"/>
    <w:rsid w:val="00706C72"/>
    <w:rsid w:val="007100F3"/>
    <w:rsid w:val="007104B6"/>
    <w:rsid w:val="0071098B"/>
    <w:rsid w:val="00710A00"/>
    <w:rsid w:val="00711120"/>
    <w:rsid w:val="00711701"/>
    <w:rsid w:val="007117EA"/>
    <w:rsid w:val="00711A6A"/>
    <w:rsid w:val="00711AEF"/>
    <w:rsid w:val="0071213B"/>
    <w:rsid w:val="00712C8A"/>
    <w:rsid w:val="00713441"/>
    <w:rsid w:val="007138B2"/>
    <w:rsid w:val="00714550"/>
    <w:rsid w:val="00715595"/>
    <w:rsid w:val="00715E78"/>
    <w:rsid w:val="007162AD"/>
    <w:rsid w:val="00716405"/>
    <w:rsid w:val="007164CC"/>
    <w:rsid w:val="00717027"/>
    <w:rsid w:val="00717619"/>
    <w:rsid w:val="00720358"/>
    <w:rsid w:val="007206CE"/>
    <w:rsid w:val="007215D2"/>
    <w:rsid w:val="007218AA"/>
    <w:rsid w:val="00721B4A"/>
    <w:rsid w:val="007238E1"/>
    <w:rsid w:val="00725574"/>
    <w:rsid w:val="007255C6"/>
    <w:rsid w:val="007256CC"/>
    <w:rsid w:val="00725B6F"/>
    <w:rsid w:val="0072633D"/>
    <w:rsid w:val="00726BEF"/>
    <w:rsid w:val="00726DB3"/>
    <w:rsid w:val="00726E51"/>
    <w:rsid w:val="00726FB9"/>
    <w:rsid w:val="00726FC1"/>
    <w:rsid w:val="00727B50"/>
    <w:rsid w:val="007312D9"/>
    <w:rsid w:val="00731931"/>
    <w:rsid w:val="00731B3A"/>
    <w:rsid w:val="007326E9"/>
    <w:rsid w:val="00732F87"/>
    <w:rsid w:val="00733098"/>
    <w:rsid w:val="00733137"/>
    <w:rsid w:val="00733988"/>
    <w:rsid w:val="00733D53"/>
    <w:rsid w:val="00734CE5"/>
    <w:rsid w:val="00735022"/>
    <w:rsid w:val="00735A51"/>
    <w:rsid w:val="00736270"/>
    <w:rsid w:val="007365C3"/>
    <w:rsid w:val="007367AF"/>
    <w:rsid w:val="00736D77"/>
    <w:rsid w:val="00736F35"/>
    <w:rsid w:val="00736F64"/>
    <w:rsid w:val="00737FAD"/>
    <w:rsid w:val="00740029"/>
    <w:rsid w:val="0074076E"/>
    <w:rsid w:val="00741911"/>
    <w:rsid w:val="00741979"/>
    <w:rsid w:val="00741D55"/>
    <w:rsid w:val="007421FD"/>
    <w:rsid w:val="007422FD"/>
    <w:rsid w:val="00743351"/>
    <w:rsid w:val="00744DD0"/>
    <w:rsid w:val="007454AD"/>
    <w:rsid w:val="00745971"/>
    <w:rsid w:val="007459D2"/>
    <w:rsid w:val="00745ECC"/>
    <w:rsid w:val="007461E1"/>
    <w:rsid w:val="00746615"/>
    <w:rsid w:val="00746A1E"/>
    <w:rsid w:val="007476A6"/>
    <w:rsid w:val="0075011D"/>
    <w:rsid w:val="007502B3"/>
    <w:rsid w:val="0075042C"/>
    <w:rsid w:val="00751716"/>
    <w:rsid w:val="00751B42"/>
    <w:rsid w:val="00751BD1"/>
    <w:rsid w:val="00752078"/>
    <w:rsid w:val="0075245A"/>
    <w:rsid w:val="00752B5E"/>
    <w:rsid w:val="00752D97"/>
    <w:rsid w:val="007530B4"/>
    <w:rsid w:val="007537C7"/>
    <w:rsid w:val="00753EF3"/>
    <w:rsid w:val="00754BF3"/>
    <w:rsid w:val="007560B1"/>
    <w:rsid w:val="00756308"/>
    <w:rsid w:val="00757200"/>
    <w:rsid w:val="0076080B"/>
    <w:rsid w:val="007614A1"/>
    <w:rsid w:val="00761685"/>
    <w:rsid w:val="0076179C"/>
    <w:rsid w:val="00761840"/>
    <w:rsid w:val="00761F63"/>
    <w:rsid w:val="0076215B"/>
    <w:rsid w:val="007628ED"/>
    <w:rsid w:val="00762B15"/>
    <w:rsid w:val="00763099"/>
    <w:rsid w:val="007632A7"/>
    <w:rsid w:val="007636F6"/>
    <w:rsid w:val="007637FF"/>
    <w:rsid w:val="0076443A"/>
    <w:rsid w:val="00765E90"/>
    <w:rsid w:val="0076688C"/>
    <w:rsid w:val="00766C48"/>
    <w:rsid w:val="007672DF"/>
    <w:rsid w:val="00767B42"/>
    <w:rsid w:val="007709D0"/>
    <w:rsid w:val="0077136D"/>
    <w:rsid w:val="0077213F"/>
    <w:rsid w:val="00772825"/>
    <w:rsid w:val="007730F8"/>
    <w:rsid w:val="00774246"/>
    <w:rsid w:val="00774651"/>
    <w:rsid w:val="00776A88"/>
    <w:rsid w:val="00776E5B"/>
    <w:rsid w:val="00777039"/>
    <w:rsid w:val="00777846"/>
    <w:rsid w:val="007801EC"/>
    <w:rsid w:val="00780C54"/>
    <w:rsid w:val="00781D1A"/>
    <w:rsid w:val="00782851"/>
    <w:rsid w:val="00782933"/>
    <w:rsid w:val="00783445"/>
    <w:rsid w:val="00783768"/>
    <w:rsid w:val="00783D0D"/>
    <w:rsid w:val="0078462D"/>
    <w:rsid w:val="007855E4"/>
    <w:rsid w:val="007861C7"/>
    <w:rsid w:val="00786533"/>
    <w:rsid w:val="00786818"/>
    <w:rsid w:val="0078727F"/>
    <w:rsid w:val="00787B71"/>
    <w:rsid w:val="0079018C"/>
    <w:rsid w:val="00790BF4"/>
    <w:rsid w:val="007914D1"/>
    <w:rsid w:val="007915FC"/>
    <w:rsid w:val="00791A39"/>
    <w:rsid w:val="00792322"/>
    <w:rsid w:val="007924B5"/>
    <w:rsid w:val="0079389F"/>
    <w:rsid w:val="0079420A"/>
    <w:rsid w:val="007945A5"/>
    <w:rsid w:val="007945E2"/>
    <w:rsid w:val="00794895"/>
    <w:rsid w:val="0079489E"/>
    <w:rsid w:val="00794A46"/>
    <w:rsid w:val="00794C99"/>
    <w:rsid w:val="00795242"/>
    <w:rsid w:val="0079557D"/>
    <w:rsid w:val="00795AD6"/>
    <w:rsid w:val="00795BDC"/>
    <w:rsid w:val="007963F7"/>
    <w:rsid w:val="0079650C"/>
    <w:rsid w:val="0079691D"/>
    <w:rsid w:val="00796B71"/>
    <w:rsid w:val="007A0074"/>
    <w:rsid w:val="007A1431"/>
    <w:rsid w:val="007A18A8"/>
    <w:rsid w:val="007A1E7A"/>
    <w:rsid w:val="007A2577"/>
    <w:rsid w:val="007A293A"/>
    <w:rsid w:val="007A3621"/>
    <w:rsid w:val="007A543A"/>
    <w:rsid w:val="007A57C0"/>
    <w:rsid w:val="007A624C"/>
    <w:rsid w:val="007A6623"/>
    <w:rsid w:val="007A73C4"/>
    <w:rsid w:val="007A7A71"/>
    <w:rsid w:val="007A7E78"/>
    <w:rsid w:val="007B03EF"/>
    <w:rsid w:val="007B042A"/>
    <w:rsid w:val="007B0E63"/>
    <w:rsid w:val="007B1847"/>
    <w:rsid w:val="007B18B4"/>
    <w:rsid w:val="007B2DCC"/>
    <w:rsid w:val="007B4260"/>
    <w:rsid w:val="007B51B5"/>
    <w:rsid w:val="007B546E"/>
    <w:rsid w:val="007B54B4"/>
    <w:rsid w:val="007B5531"/>
    <w:rsid w:val="007B5758"/>
    <w:rsid w:val="007B58F6"/>
    <w:rsid w:val="007B5937"/>
    <w:rsid w:val="007B5B99"/>
    <w:rsid w:val="007B7DAA"/>
    <w:rsid w:val="007B7DBC"/>
    <w:rsid w:val="007B7F38"/>
    <w:rsid w:val="007C0722"/>
    <w:rsid w:val="007C0906"/>
    <w:rsid w:val="007C0C5D"/>
    <w:rsid w:val="007C2419"/>
    <w:rsid w:val="007C2EA9"/>
    <w:rsid w:val="007C3BCB"/>
    <w:rsid w:val="007C4246"/>
    <w:rsid w:val="007C46F3"/>
    <w:rsid w:val="007C4A17"/>
    <w:rsid w:val="007C5434"/>
    <w:rsid w:val="007C5D5C"/>
    <w:rsid w:val="007C652A"/>
    <w:rsid w:val="007C6A28"/>
    <w:rsid w:val="007C7054"/>
    <w:rsid w:val="007C7584"/>
    <w:rsid w:val="007D0726"/>
    <w:rsid w:val="007D14A1"/>
    <w:rsid w:val="007D189B"/>
    <w:rsid w:val="007D2307"/>
    <w:rsid w:val="007D239F"/>
    <w:rsid w:val="007D2828"/>
    <w:rsid w:val="007D2CCF"/>
    <w:rsid w:val="007D3F8D"/>
    <w:rsid w:val="007D4CAA"/>
    <w:rsid w:val="007D534B"/>
    <w:rsid w:val="007D58E9"/>
    <w:rsid w:val="007D5929"/>
    <w:rsid w:val="007D5FD4"/>
    <w:rsid w:val="007D6378"/>
    <w:rsid w:val="007D63AB"/>
    <w:rsid w:val="007D6B13"/>
    <w:rsid w:val="007D768A"/>
    <w:rsid w:val="007D7828"/>
    <w:rsid w:val="007E062F"/>
    <w:rsid w:val="007E07B4"/>
    <w:rsid w:val="007E07FE"/>
    <w:rsid w:val="007E0EEF"/>
    <w:rsid w:val="007E19B1"/>
    <w:rsid w:val="007E1E22"/>
    <w:rsid w:val="007E238B"/>
    <w:rsid w:val="007E2730"/>
    <w:rsid w:val="007E2995"/>
    <w:rsid w:val="007E35C8"/>
    <w:rsid w:val="007E3806"/>
    <w:rsid w:val="007E3A62"/>
    <w:rsid w:val="007E414F"/>
    <w:rsid w:val="007E4C97"/>
    <w:rsid w:val="007E4CE1"/>
    <w:rsid w:val="007E60EF"/>
    <w:rsid w:val="007E63D0"/>
    <w:rsid w:val="007E7111"/>
    <w:rsid w:val="007F01DA"/>
    <w:rsid w:val="007F036B"/>
    <w:rsid w:val="007F0E3F"/>
    <w:rsid w:val="007F180B"/>
    <w:rsid w:val="007F18E6"/>
    <w:rsid w:val="007F2CB4"/>
    <w:rsid w:val="007F3033"/>
    <w:rsid w:val="007F38E0"/>
    <w:rsid w:val="007F3A8A"/>
    <w:rsid w:val="007F3E07"/>
    <w:rsid w:val="007F45F5"/>
    <w:rsid w:val="007F5636"/>
    <w:rsid w:val="007F5B17"/>
    <w:rsid w:val="007F652A"/>
    <w:rsid w:val="007F69E7"/>
    <w:rsid w:val="007F7073"/>
    <w:rsid w:val="007F70B9"/>
    <w:rsid w:val="007F7AB4"/>
    <w:rsid w:val="007F7C05"/>
    <w:rsid w:val="00800143"/>
    <w:rsid w:val="00800591"/>
    <w:rsid w:val="00800982"/>
    <w:rsid w:val="008010B2"/>
    <w:rsid w:val="00801434"/>
    <w:rsid w:val="00801702"/>
    <w:rsid w:val="00802357"/>
    <w:rsid w:val="008034FC"/>
    <w:rsid w:val="008037C2"/>
    <w:rsid w:val="008047AE"/>
    <w:rsid w:val="00804ABF"/>
    <w:rsid w:val="00805192"/>
    <w:rsid w:val="008057BF"/>
    <w:rsid w:val="00806668"/>
    <w:rsid w:val="0080696B"/>
    <w:rsid w:val="00806E52"/>
    <w:rsid w:val="00807061"/>
    <w:rsid w:val="00807A02"/>
    <w:rsid w:val="00807B12"/>
    <w:rsid w:val="00810213"/>
    <w:rsid w:val="00810318"/>
    <w:rsid w:val="00810F8F"/>
    <w:rsid w:val="008113E8"/>
    <w:rsid w:val="0081174B"/>
    <w:rsid w:val="008117C1"/>
    <w:rsid w:val="0081202B"/>
    <w:rsid w:val="0081302E"/>
    <w:rsid w:val="0081360F"/>
    <w:rsid w:val="00813663"/>
    <w:rsid w:val="00813780"/>
    <w:rsid w:val="008139EF"/>
    <w:rsid w:val="00813CEF"/>
    <w:rsid w:val="00815551"/>
    <w:rsid w:val="00815C35"/>
    <w:rsid w:val="00815C53"/>
    <w:rsid w:val="008163A2"/>
    <w:rsid w:val="00816F13"/>
    <w:rsid w:val="008177D1"/>
    <w:rsid w:val="00817EFC"/>
    <w:rsid w:val="008202B5"/>
    <w:rsid w:val="00822DA8"/>
    <w:rsid w:val="0082313D"/>
    <w:rsid w:val="00823370"/>
    <w:rsid w:val="00824CE1"/>
    <w:rsid w:val="008258B6"/>
    <w:rsid w:val="00825C0C"/>
    <w:rsid w:val="0082623F"/>
    <w:rsid w:val="00826A47"/>
    <w:rsid w:val="008275AB"/>
    <w:rsid w:val="008275CA"/>
    <w:rsid w:val="00827D2C"/>
    <w:rsid w:val="00827EA5"/>
    <w:rsid w:val="00830A23"/>
    <w:rsid w:val="0083292B"/>
    <w:rsid w:val="00832EC9"/>
    <w:rsid w:val="008332E3"/>
    <w:rsid w:val="008335DD"/>
    <w:rsid w:val="00833A32"/>
    <w:rsid w:val="00834361"/>
    <w:rsid w:val="0083478E"/>
    <w:rsid w:val="0083489F"/>
    <w:rsid w:val="0083585B"/>
    <w:rsid w:val="00835F36"/>
    <w:rsid w:val="0083612D"/>
    <w:rsid w:val="008368D5"/>
    <w:rsid w:val="00836CD0"/>
    <w:rsid w:val="008378A3"/>
    <w:rsid w:val="008403FE"/>
    <w:rsid w:val="00840801"/>
    <w:rsid w:val="008409CC"/>
    <w:rsid w:val="008416D9"/>
    <w:rsid w:val="008418AB"/>
    <w:rsid w:val="008424A6"/>
    <w:rsid w:val="0084275C"/>
    <w:rsid w:val="008429D3"/>
    <w:rsid w:val="00843144"/>
    <w:rsid w:val="0084319E"/>
    <w:rsid w:val="008438C8"/>
    <w:rsid w:val="00843CD8"/>
    <w:rsid w:val="0084489B"/>
    <w:rsid w:val="00845061"/>
    <w:rsid w:val="00845163"/>
    <w:rsid w:val="00846239"/>
    <w:rsid w:val="00850300"/>
    <w:rsid w:val="0085068F"/>
    <w:rsid w:val="00850A1E"/>
    <w:rsid w:val="00851155"/>
    <w:rsid w:val="008511ED"/>
    <w:rsid w:val="00851362"/>
    <w:rsid w:val="0085139F"/>
    <w:rsid w:val="008523D1"/>
    <w:rsid w:val="0085274B"/>
    <w:rsid w:val="00852778"/>
    <w:rsid w:val="00854045"/>
    <w:rsid w:val="008547D1"/>
    <w:rsid w:val="00854866"/>
    <w:rsid w:val="00854D5D"/>
    <w:rsid w:val="00856C83"/>
    <w:rsid w:val="00856FF2"/>
    <w:rsid w:val="00857418"/>
    <w:rsid w:val="008578D4"/>
    <w:rsid w:val="008600E0"/>
    <w:rsid w:val="00860479"/>
    <w:rsid w:val="008604B0"/>
    <w:rsid w:val="008605F1"/>
    <w:rsid w:val="00860983"/>
    <w:rsid w:val="008612CE"/>
    <w:rsid w:val="00862D19"/>
    <w:rsid w:val="00863783"/>
    <w:rsid w:val="00863F3F"/>
    <w:rsid w:val="0086465D"/>
    <w:rsid w:val="00864A20"/>
    <w:rsid w:val="008652B3"/>
    <w:rsid w:val="0086532E"/>
    <w:rsid w:val="00865701"/>
    <w:rsid w:val="00865B50"/>
    <w:rsid w:val="00867BC7"/>
    <w:rsid w:val="00867C52"/>
    <w:rsid w:val="00867F4D"/>
    <w:rsid w:val="00870723"/>
    <w:rsid w:val="00870F34"/>
    <w:rsid w:val="008722D4"/>
    <w:rsid w:val="00872565"/>
    <w:rsid w:val="00872C0B"/>
    <w:rsid w:val="00873840"/>
    <w:rsid w:val="00873A1B"/>
    <w:rsid w:val="00873D80"/>
    <w:rsid w:val="0087444C"/>
    <w:rsid w:val="0087554C"/>
    <w:rsid w:val="008767AD"/>
    <w:rsid w:val="00876AC4"/>
    <w:rsid w:val="00876E4D"/>
    <w:rsid w:val="00876F02"/>
    <w:rsid w:val="00877283"/>
    <w:rsid w:val="0087779B"/>
    <w:rsid w:val="008778A3"/>
    <w:rsid w:val="0087795E"/>
    <w:rsid w:val="00880173"/>
    <w:rsid w:val="0088052E"/>
    <w:rsid w:val="00881011"/>
    <w:rsid w:val="00881639"/>
    <w:rsid w:val="008817A8"/>
    <w:rsid w:val="008821B9"/>
    <w:rsid w:val="0088269B"/>
    <w:rsid w:val="00882B30"/>
    <w:rsid w:val="00883857"/>
    <w:rsid w:val="00883867"/>
    <w:rsid w:val="00883932"/>
    <w:rsid w:val="008858C0"/>
    <w:rsid w:val="008859E0"/>
    <w:rsid w:val="00885BB2"/>
    <w:rsid w:val="00886261"/>
    <w:rsid w:val="0088680A"/>
    <w:rsid w:val="00886FD6"/>
    <w:rsid w:val="008871FC"/>
    <w:rsid w:val="00890513"/>
    <w:rsid w:val="008906BF"/>
    <w:rsid w:val="00890737"/>
    <w:rsid w:val="00890994"/>
    <w:rsid w:val="00890F9F"/>
    <w:rsid w:val="00891057"/>
    <w:rsid w:val="00891437"/>
    <w:rsid w:val="00891862"/>
    <w:rsid w:val="00891C69"/>
    <w:rsid w:val="00892182"/>
    <w:rsid w:val="00892C30"/>
    <w:rsid w:val="00892E54"/>
    <w:rsid w:val="008932A3"/>
    <w:rsid w:val="008932B5"/>
    <w:rsid w:val="008934F6"/>
    <w:rsid w:val="008936A6"/>
    <w:rsid w:val="00893791"/>
    <w:rsid w:val="00893EE4"/>
    <w:rsid w:val="008944AC"/>
    <w:rsid w:val="00894725"/>
    <w:rsid w:val="008951DE"/>
    <w:rsid w:val="0089532C"/>
    <w:rsid w:val="0089560B"/>
    <w:rsid w:val="00896557"/>
    <w:rsid w:val="00896DD4"/>
    <w:rsid w:val="0089711D"/>
    <w:rsid w:val="008972B6"/>
    <w:rsid w:val="008A00DF"/>
    <w:rsid w:val="008A045C"/>
    <w:rsid w:val="008A0598"/>
    <w:rsid w:val="008A1453"/>
    <w:rsid w:val="008A2B56"/>
    <w:rsid w:val="008A2F3B"/>
    <w:rsid w:val="008A327B"/>
    <w:rsid w:val="008A3BC4"/>
    <w:rsid w:val="008A452A"/>
    <w:rsid w:val="008A47B3"/>
    <w:rsid w:val="008A595B"/>
    <w:rsid w:val="008A5BCC"/>
    <w:rsid w:val="008A638E"/>
    <w:rsid w:val="008A6911"/>
    <w:rsid w:val="008A750E"/>
    <w:rsid w:val="008A7E38"/>
    <w:rsid w:val="008B031C"/>
    <w:rsid w:val="008B0B16"/>
    <w:rsid w:val="008B0BEC"/>
    <w:rsid w:val="008B0C60"/>
    <w:rsid w:val="008B0CC2"/>
    <w:rsid w:val="008B0EAA"/>
    <w:rsid w:val="008B10D7"/>
    <w:rsid w:val="008B1E42"/>
    <w:rsid w:val="008B3367"/>
    <w:rsid w:val="008B42D8"/>
    <w:rsid w:val="008B56F5"/>
    <w:rsid w:val="008B6047"/>
    <w:rsid w:val="008B6659"/>
    <w:rsid w:val="008B693C"/>
    <w:rsid w:val="008B6BCE"/>
    <w:rsid w:val="008B6F82"/>
    <w:rsid w:val="008B6F8D"/>
    <w:rsid w:val="008B74E2"/>
    <w:rsid w:val="008B7B65"/>
    <w:rsid w:val="008C1889"/>
    <w:rsid w:val="008C2252"/>
    <w:rsid w:val="008C2506"/>
    <w:rsid w:val="008C2EB1"/>
    <w:rsid w:val="008C3390"/>
    <w:rsid w:val="008C3A54"/>
    <w:rsid w:val="008C3C25"/>
    <w:rsid w:val="008C3CAC"/>
    <w:rsid w:val="008C4088"/>
    <w:rsid w:val="008C4229"/>
    <w:rsid w:val="008C43D1"/>
    <w:rsid w:val="008C4D2A"/>
    <w:rsid w:val="008C6396"/>
    <w:rsid w:val="008C64CF"/>
    <w:rsid w:val="008C6541"/>
    <w:rsid w:val="008D001C"/>
    <w:rsid w:val="008D0584"/>
    <w:rsid w:val="008D0C79"/>
    <w:rsid w:val="008D0D1A"/>
    <w:rsid w:val="008D1746"/>
    <w:rsid w:val="008D223F"/>
    <w:rsid w:val="008D2ADB"/>
    <w:rsid w:val="008D35AB"/>
    <w:rsid w:val="008D4306"/>
    <w:rsid w:val="008D5521"/>
    <w:rsid w:val="008D75AC"/>
    <w:rsid w:val="008D77C6"/>
    <w:rsid w:val="008E0683"/>
    <w:rsid w:val="008E0FC2"/>
    <w:rsid w:val="008E1E8E"/>
    <w:rsid w:val="008E2135"/>
    <w:rsid w:val="008E2BDD"/>
    <w:rsid w:val="008E3BB2"/>
    <w:rsid w:val="008E46FE"/>
    <w:rsid w:val="008E4F23"/>
    <w:rsid w:val="008E605B"/>
    <w:rsid w:val="008F0105"/>
    <w:rsid w:val="008F0CA9"/>
    <w:rsid w:val="008F115F"/>
    <w:rsid w:val="008F1DF2"/>
    <w:rsid w:val="008F26A8"/>
    <w:rsid w:val="008F2EBD"/>
    <w:rsid w:val="008F356C"/>
    <w:rsid w:val="008F3A2C"/>
    <w:rsid w:val="008F5D05"/>
    <w:rsid w:val="008F6257"/>
    <w:rsid w:val="008F6C58"/>
    <w:rsid w:val="008F6E0F"/>
    <w:rsid w:val="008F70E6"/>
    <w:rsid w:val="008F718E"/>
    <w:rsid w:val="008F7C46"/>
    <w:rsid w:val="008F7C71"/>
    <w:rsid w:val="00901655"/>
    <w:rsid w:val="00901BB8"/>
    <w:rsid w:val="00902292"/>
    <w:rsid w:val="00902B45"/>
    <w:rsid w:val="00902C87"/>
    <w:rsid w:val="009039B5"/>
    <w:rsid w:val="009046A6"/>
    <w:rsid w:val="0090518C"/>
    <w:rsid w:val="00905894"/>
    <w:rsid w:val="00905917"/>
    <w:rsid w:val="00905CBF"/>
    <w:rsid w:val="00906238"/>
    <w:rsid w:val="009062BC"/>
    <w:rsid w:val="00906FA2"/>
    <w:rsid w:val="00907DE8"/>
    <w:rsid w:val="009118E2"/>
    <w:rsid w:val="00912090"/>
    <w:rsid w:val="00913CE6"/>
    <w:rsid w:val="0091517E"/>
    <w:rsid w:val="009158EA"/>
    <w:rsid w:val="0091620C"/>
    <w:rsid w:val="009162EC"/>
    <w:rsid w:val="00916856"/>
    <w:rsid w:val="009169CB"/>
    <w:rsid w:val="00920423"/>
    <w:rsid w:val="009206DE"/>
    <w:rsid w:val="00922513"/>
    <w:rsid w:val="0092273B"/>
    <w:rsid w:val="00922EF5"/>
    <w:rsid w:val="009238A9"/>
    <w:rsid w:val="00923943"/>
    <w:rsid w:val="009251DD"/>
    <w:rsid w:val="00925896"/>
    <w:rsid w:val="00925A86"/>
    <w:rsid w:val="00925C7A"/>
    <w:rsid w:val="00925D06"/>
    <w:rsid w:val="00925EE8"/>
    <w:rsid w:val="0092629F"/>
    <w:rsid w:val="009270C5"/>
    <w:rsid w:val="00930262"/>
    <w:rsid w:val="00931709"/>
    <w:rsid w:val="009317F9"/>
    <w:rsid w:val="00931978"/>
    <w:rsid w:val="009319BE"/>
    <w:rsid w:val="00931B7A"/>
    <w:rsid w:val="009331DB"/>
    <w:rsid w:val="00933DA5"/>
    <w:rsid w:val="0093492B"/>
    <w:rsid w:val="00934D81"/>
    <w:rsid w:val="009355C1"/>
    <w:rsid w:val="00936BCE"/>
    <w:rsid w:val="0093720A"/>
    <w:rsid w:val="00937929"/>
    <w:rsid w:val="00937A78"/>
    <w:rsid w:val="00940FD8"/>
    <w:rsid w:val="009417A4"/>
    <w:rsid w:val="00941C5A"/>
    <w:rsid w:val="00942390"/>
    <w:rsid w:val="00942795"/>
    <w:rsid w:val="00942D56"/>
    <w:rsid w:val="00942E3A"/>
    <w:rsid w:val="009430C5"/>
    <w:rsid w:val="009433B8"/>
    <w:rsid w:val="00944AD3"/>
    <w:rsid w:val="00945802"/>
    <w:rsid w:val="00945A26"/>
    <w:rsid w:val="00945F0A"/>
    <w:rsid w:val="0094640D"/>
    <w:rsid w:val="00946413"/>
    <w:rsid w:val="00946C29"/>
    <w:rsid w:val="00947118"/>
    <w:rsid w:val="00950168"/>
    <w:rsid w:val="009506D1"/>
    <w:rsid w:val="0095146C"/>
    <w:rsid w:val="00951BC5"/>
    <w:rsid w:val="0095209D"/>
    <w:rsid w:val="0095368C"/>
    <w:rsid w:val="009548F4"/>
    <w:rsid w:val="00955365"/>
    <w:rsid w:val="0095546E"/>
    <w:rsid w:val="0095547E"/>
    <w:rsid w:val="00955563"/>
    <w:rsid w:val="00956D3E"/>
    <w:rsid w:val="00957900"/>
    <w:rsid w:val="00957CD4"/>
    <w:rsid w:val="009602D3"/>
    <w:rsid w:val="009618B4"/>
    <w:rsid w:val="0096234A"/>
    <w:rsid w:val="009624E8"/>
    <w:rsid w:val="009625BF"/>
    <w:rsid w:val="009625CB"/>
    <w:rsid w:val="00962D0E"/>
    <w:rsid w:val="009634B5"/>
    <w:rsid w:val="00963CB6"/>
    <w:rsid w:val="00965903"/>
    <w:rsid w:val="0096664C"/>
    <w:rsid w:val="009668F5"/>
    <w:rsid w:val="0097168B"/>
    <w:rsid w:val="009718DD"/>
    <w:rsid w:val="009720BE"/>
    <w:rsid w:val="00972A9C"/>
    <w:rsid w:val="00972B5B"/>
    <w:rsid w:val="009734B3"/>
    <w:rsid w:val="009735E0"/>
    <w:rsid w:val="009736D3"/>
    <w:rsid w:val="00973AA3"/>
    <w:rsid w:val="00973DC6"/>
    <w:rsid w:val="00975ED3"/>
    <w:rsid w:val="00976BC8"/>
    <w:rsid w:val="00977B09"/>
    <w:rsid w:val="00980857"/>
    <w:rsid w:val="00980F9A"/>
    <w:rsid w:val="0098133B"/>
    <w:rsid w:val="00981426"/>
    <w:rsid w:val="0098151D"/>
    <w:rsid w:val="0098186A"/>
    <w:rsid w:val="00981A11"/>
    <w:rsid w:val="009825D3"/>
    <w:rsid w:val="009828BA"/>
    <w:rsid w:val="009834BA"/>
    <w:rsid w:val="0098427B"/>
    <w:rsid w:val="009847E2"/>
    <w:rsid w:val="00984984"/>
    <w:rsid w:val="00985800"/>
    <w:rsid w:val="00985D6F"/>
    <w:rsid w:val="00986300"/>
    <w:rsid w:val="009864BF"/>
    <w:rsid w:val="0098660B"/>
    <w:rsid w:val="00986BD0"/>
    <w:rsid w:val="00986E39"/>
    <w:rsid w:val="009873E5"/>
    <w:rsid w:val="00987B09"/>
    <w:rsid w:val="00987D09"/>
    <w:rsid w:val="009905D0"/>
    <w:rsid w:val="0099071D"/>
    <w:rsid w:val="00991274"/>
    <w:rsid w:val="00992523"/>
    <w:rsid w:val="00992EEA"/>
    <w:rsid w:val="0099327F"/>
    <w:rsid w:val="00993AB6"/>
    <w:rsid w:val="00994141"/>
    <w:rsid w:val="009943C6"/>
    <w:rsid w:val="00994A9E"/>
    <w:rsid w:val="00994C29"/>
    <w:rsid w:val="00994C45"/>
    <w:rsid w:val="00996104"/>
    <w:rsid w:val="00997D7A"/>
    <w:rsid w:val="009A0332"/>
    <w:rsid w:val="009A0498"/>
    <w:rsid w:val="009A0A63"/>
    <w:rsid w:val="009A0C61"/>
    <w:rsid w:val="009A12B7"/>
    <w:rsid w:val="009A133A"/>
    <w:rsid w:val="009A191E"/>
    <w:rsid w:val="009A245A"/>
    <w:rsid w:val="009A2766"/>
    <w:rsid w:val="009A319C"/>
    <w:rsid w:val="009A45E4"/>
    <w:rsid w:val="009A4A46"/>
    <w:rsid w:val="009A4B2A"/>
    <w:rsid w:val="009A4EFE"/>
    <w:rsid w:val="009A5E68"/>
    <w:rsid w:val="009A60FD"/>
    <w:rsid w:val="009A7EF0"/>
    <w:rsid w:val="009A7F7F"/>
    <w:rsid w:val="009B0693"/>
    <w:rsid w:val="009B0E3D"/>
    <w:rsid w:val="009B0FED"/>
    <w:rsid w:val="009B1D06"/>
    <w:rsid w:val="009B24E0"/>
    <w:rsid w:val="009B2AEB"/>
    <w:rsid w:val="009B3DBB"/>
    <w:rsid w:val="009B4393"/>
    <w:rsid w:val="009B44D7"/>
    <w:rsid w:val="009B5117"/>
    <w:rsid w:val="009B74C5"/>
    <w:rsid w:val="009B7AC6"/>
    <w:rsid w:val="009B7BC6"/>
    <w:rsid w:val="009C0134"/>
    <w:rsid w:val="009C02F7"/>
    <w:rsid w:val="009C0777"/>
    <w:rsid w:val="009C10E4"/>
    <w:rsid w:val="009C14B4"/>
    <w:rsid w:val="009C1936"/>
    <w:rsid w:val="009C1DE5"/>
    <w:rsid w:val="009C2446"/>
    <w:rsid w:val="009C2719"/>
    <w:rsid w:val="009C2D5D"/>
    <w:rsid w:val="009C3706"/>
    <w:rsid w:val="009C3754"/>
    <w:rsid w:val="009C483C"/>
    <w:rsid w:val="009C4903"/>
    <w:rsid w:val="009C4FF1"/>
    <w:rsid w:val="009C5A04"/>
    <w:rsid w:val="009C5D5D"/>
    <w:rsid w:val="009C63DC"/>
    <w:rsid w:val="009C65BA"/>
    <w:rsid w:val="009C6A9D"/>
    <w:rsid w:val="009C75A6"/>
    <w:rsid w:val="009C7880"/>
    <w:rsid w:val="009D089C"/>
    <w:rsid w:val="009D1ECC"/>
    <w:rsid w:val="009D1ED8"/>
    <w:rsid w:val="009D217A"/>
    <w:rsid w:val="009D2224"/>
    <w:rsid w:val="009D2591"/>
    <w:rsid w:val="009D2DD8"/>
    <w:rsid w:val="009D3AA7"/>
    <w:rsid w:val="009D4003"/>
    <w:rsid w:val="009D400D"/>
    <w:rsid w:val="009D4264"/>
    <w:rsid w:val="009D44D0"/>
    <w:rsid w:val="009D4C60"/>
    <w:rsid w:val="009D4DD3"/>
    <w:rsid w:val="009D4FF1"/>
    <w:rsid w:val="009D5517"/>
    <w:rsid w:val="009D5619"/>
    <w:rsid w:val="009D5B12"/>
    <w:rsid w:val="009D5E0C"/>
    <w:rsid w:val="009D62D5"/>
    <w:rsid w:val="009D62E9"/>
    <w:rsid w:val="009D65EC"/>
    <w:rsid w:val="009D73E4"/>
    <w:rsid w:val="009D7A11"/>
    <w:rsid w:val="009D7EF8"/>
    <w:rsid w:val="009E083B"/>
    <w:rsid w:val="009E0CF6"/>
    <w:rsid w:val="009E0D2A"/>
    <w:rsid w:val="009E120F"/>
    <w:rsid w:val="009E1500"/>
    <w:rsid w:val="009E152E"/>
    <w:rsid w:val="009E1AD2"/>
    <w:rsid w:val="009E2444"/>
    <w:rsid w:val="009E2D37"/>
    <w:rsid w:val="009E2DFE"/>
    <w:rsid w:val="009E2E58"/>
    <w:rsid w:val="009E35DC"/>
    <w:rsid w:val="009E3948"/>
    <w:rsid w:val="009E3CD1"/>
    <w:rsid w:val="009E47F2"/>
    <w:rsid w:val="009E4B9B"/>
    <w:rsid w:val="009E511A"/>
    <w:rsid w:val="009E53C8"/>
    <w:rsid w:val="009E5B41"/>
    <w:rsid w:val="009E5EC4"/>
    <w:rsid w:val="009E66A2"/>
    <w:rsid w:val="009E6A29"/>
    <w:rsid w:val="009E70F9"/>
    <w:rsid w:val="009F0ACC"/>
    <w:rsid w:val="009F1896"/>
    <w:rsid w:val="009F198F"/>
    <w:rsid w:val="009F1B1F"/>
    <w:rsid w:val="009F1BD4"/>
    <w:rsid w:val="009F1D21"/>
    <w:rsid w:val="009F2C68"/>
    <w:rsid w:val="009F2FE9"/>
    <w:rsid w:val="009F315C"/>
    <w:rsid w:val="009F31DD"/>
    <w:rsid w:val="009F3409"/>
    <w:rsid w:val="009F413B"/>
    <w:rsid w:val="009F4D39"/>
    <w:rsid w:val="009F52EE"/>
    <w:rsid w:val="009F6AAA"/>
    <w:rsid w:val="00A01731"/>
    <w:rsid w:val="00A01AAE"/>
    <w:rsid w:val="00A01C15"/>
    <w:rsid w:val="00A02AD7"/>
    <w:rsid w:val="00A0326F"/>
    <w:rsid w:val="00A03423"/>
    <w:rsid w:val="00A03C8B"/>
    <w:rsid w:val="00A04386"/>
    <w:rsid w:val="00A044FE"/>
    <w:rsid w:val="00A04E5E"/>
    <w:rsid w:val="00A04EB3"/>
    <w:rsid w:val="00A0582E"/>
    <w:rsid w:val="00A06F3C"/>
    <w:rsid w:val="00A072B2"/>
    <w:rsid w:val="00A072E1"/>
    <w:rsid w:val="00A07D11"/>
    <w:rsid w:val="00A100A1"/>
    <w:rsid w:val="00A109B1"/>
    <w:rsid w:val="00A11776"/>
    <w:rsid w:val="00A1182B"/>
    <w:rsid w:val="00A1260E"/>
    <w:rsid w:val="00A12668"/>
    <w:rsid w:val="00A1272C"/>
    <w:rsid w:val="00A12968"/>
    <w:rsid w:val="00A13D69"/>
    <w:rsid w:val="00A14073"/>
    <w:rsid w:val="00A144D7"/>
    <w:rsid w:val="00A148AA"/>
    <w:rsid w:val="00A14E7E"/>
    <w:rsid w:val="00A1586C"/>
    <w:rsid w:val="00A158BB"/>
    <w:rsid w:val="00A16D4A"/>
    <w:rsid w:val="00A16D5D"/>
    <w:rsid w:val="00A16DF8"/>
    <w:rsid w:val="00A17B1C"/>
    <w:rsid w:val="00A17B91"/>
    <w:rsid w:val="00A20160"/>
    <w:rsid w:val="00A206E5"/>
    <w:rsid w:val="00A21165"/>
    <w:rsid w:val="00A218CE"/>
    <w:rsid w:val="00A21912"/>
    <w:rsid w:val="00A225E1"/>
    <w:rsid w:val="00A2331E"/>
    <w:rsid w:val="00A2348E"/>
    <w:rsid w:val="00A23753"/>
    <w:rsid w:val="00A23BEE"/>
    <w:rsid w:val="00A23ED3"/>
    <w:rsid w:val="00A24282"/>
    <w:rsid w:val="00A24737"/>
    <w:rsid w:val="00A25725"/>
    <w:rsid w:val="00A25841"/>
    <w:rsid w:val="00A25AD6"/>
    <w:rsid w:val="00A2692B"/>
    <w:rsid w:val="00A26D67"/>
    <w:rsid w:val="00A26D85"/>
    <w:rsid w:val="00A279D8"/>
    <w:rsid w:val="00A301D7"/>
    <w:rsid w:val="00A31262"/>
    <w:rsid w:val="00A321E5"/>
    <w:rsid w:val="00A32566"/>
    <w:rsid w:val="00A32A1C"/>
    <w:rsid w:val="00A32B62"/>
    <w:rsid w:val="00A33012"/>
    <w:rsid w:val="00A35D03"/>
    <w:rsid w:val="00A36117"/>
    <w:rsid w:val="00A36164"/>
    <w:rsid w:val="00A363C5"/>
    <w:rsid w:val="00A36E0D"/>
    <w:rsid w:val="00A3756F"/>
    <w:rsid w:val="00A37CDD"/>
    <w:rsid w:val="00A40BF6"/>
    <w:rsid w:val="00A41A91"/>
    <w:rsid w:val="00A43524"/>
    <w:rsid w:val="00A4364B"/>
    <w:rsid w:val="00A43FE8"/>
    <w:rsid w:val="00A47289"/>
    <w:rsid w:val="00A47625"/>
    <w:rsid w:val="00A5063F"/>
    <w:rsid w:val="00A50CD1"/>
    <w:rsid w:val="00A5136A"/>
    <w:rsid w:val="00A51CC9"/>
    <w:rsid w:val="00A51EC0"/>
    <w:rsid w:val="00A52503"/>
    <w:rsid w:val="00A53103"/>
    <w:rsid w:val="00A5348C"/>
    <w:rsid w:val="00A54223"/>
    <w:rsid w:val="00A54582"/>
    <w:rsid w:val="00A547C6"/>
    <w:rsid w:val="00A54838"/>
    <w:rsid w:val="00A5591A"/>
    <w:rsid w:val="00A55A4B"/>
    <w:rsid w:val="00A55B85"/>
    <w:rsid w:val="00A55BC7"/>
    <w:rsid w:val="00A56A86"/>
    <w:rsid w:val="00A56F0E"/>
    <w:rsid w:val="00A5718D"/>
    <w:rsid w:val="00A57A78"/>
    <w:rsid w:val="00A57B41"/>
    <w:rsid w:val="00A607A5"/>
    <w:rsid w:val="00A61023"/>
    <w:rsid w:val="00A610E3"/>
    <w:rsid w:val="00A612FD"/>
    <w:rsid w:val="00A61D75"/>
    <w:rsid w:val="00A6211E"/>
    <w:rsid w:val="00A62420"/>
    <w:rsid w:val="00A62799"/>
    <w:rsid w:val="00A62AE6"/>
    <w:rsid w:val="00A62D30"/>
    <w:rsid w:val="00A638EB"/>
    <w:rsid w:val="00A639EB"/>
    <w:rsid w:val="00A63C69"/>
    <w:rsid w:val="00A63C98"/>
    <w:rsid w:val="00A6444B"/>
    <w:rsid w:val="00A64810"/>
    <w:rsid w:val="00A64AFF"/>
    <w:rsid w:val="00A64F1E"/>
    <w:rsid w:val="00A660E1"/>
    <w:rsid w:val="00A66433"/>
    <w:rsid w:val="00A66D66"/>
    <w:rsid w:val="00A6723E"/>
    <w:rsid w:val="00A67C06"/>
    <w:rsid w:val="00A67ED5"/>
    <w:rsid w:val="00A71A12"/>
    <w:rsid w:val="00A71EC3"/>
    <w:rsid w:val="00A71F46"/>
    <w:rsid w:val="00A731C3"/>
    <w:rsid w:val="00A7354D"/>
    <w:rsid w:val="00A735F3"/>
    <w:rsid w:val="00A738D4"/>
    <w:rsid w:val="00A73E91"/>
    <w:rsid w:val="00A74C6B"/>
    <w:rsid w:val="00A74F0D"/>
    <w:rsid w:val="00A760AB"/>
    <w:rsid w:val="00A76301"/>
    <w:rsid w:val="00A76BE6"/>
    <w:rsid w:val="00A77453"/>
    <w:rsid w:val="00A77E6A"/>
    <w:rsid w:val="00A8033E"/>
    <w:rsid w:val="00A8078E"/>
    <w:rsid w:val="00A809EC"/>
    <w:rsid w:val="00A811A2"/>
    <w:rsid w:val="00A8125E"/>
    <w:rsid w:val="00A81273"/>
    <w:rsid w:val="00A8202D"/>
    <w:rsid w:val="00A8262D"/>
    <w:rsid w:val="00A82E99"/>
    <w:rsid w:val="00A83613"/>
    <w:rsid w:val="00A83AD8"/>
    <w:rsid w:val="00A852A7"/>
    <w:rsid w:val="00A85E88"/>
    <w:rsid w:val="00A867BD"/>
    <w:rsid w:val="00A8753B"/>
    <w:rsid w:val="00A87AE7"/>
    <w:rsid w:val="00A87B82"/>
    <w:rsid w:val="00A87BE1"/>
    <w:rsid w:val="00A9012D"/>
    <w:rsid w:val="00A9020B"/>
    <w:rsid w:val="00A903E3"/>
    <w:rsid w:val="00A903FA"/>
    <w:rsid w:val="00A9062D"/>
    <w:rsid w:val="00A90B4E"/>
    <w:rsid w:val="00A9164C"/>
    <w:rsid w:val="00A918A7"/>
    <w:rsid w:val="00A92820"/>
    <w:rsid w:val="00A936CD"/>
    <w:rsid w:val="00A93D66"/>
    <w:rsid w:val="00A94BE9"/>
    <w:rsid w:val="00A9534B"/>
    <w:rsid w:val="00A95F29"/>
    <w:rsid w:val="00A962A1"/>
    <w:rsid w:val="00A967FF"/>
    <w:rsid w:val="00A979D1"/>
    <w:rsid w:val="00A97D38"/>
    <w:rsid w:val="00AA033B"/>
    <w:rsid w:val="00AA0E9C"/>
    <w:rsid w:val="00AA1ADC"/>
    <w:rsid w:val="00AA21B0"/>
    <w:rsid w:val="00AA276D"/>
    <w:rsid w:val="00AA280B"/>
    <w:rsid w:val="00AA2954"/>
    <w:rsid w:val="00AA4C2B"/>
    <w:rsid w:val="00AA4C30"/>
    <w:rsid w:val="00AA5148"/>
    <w:rsid w:val="00AA5AA3"/>
    <w:rsid w:val="00AA5EC2"/>
    <w:rsid w:val="00AA5F4C"/>
    <w:rsid w:val="00AA6001"/>
    <w:rsid w:val="00AA6317"/>
    <w:rsid w:val="00AA6BE0"/>
    <w:rsid w:val="00AA6CEE"/>
    <w:rsid w:val="00AA7172"/>
    <w:rsid w:val="00AA77E7"/>
    <w:rsid w:val="00AB3288"/>
    <w:rsid w:val="00AB54BD"/>
    <w:rsid w:val="00AB55A3"/>
    <w:rsid w:val="00AB59CE"/>
    <w:rsid w:val="00AB5B80"/>
    <w:rsid w:val="00AB5DD1"/>
    <w:rsid w:val="00AB6A7F"/>
    <w:rsid w:val="00AB797F"/>
    <w:rsid w:val="00AB7DC0"/>
    <w:rsid w:val="00AC01C2"/>
    <w:rsid w:val="00AC06B0"/>
    <w:rsid w:val="00AC1375"/>
    <w:rsid w:val="00AC1ECD"/>
    <w:rsid w:val="00AC223D"/>
    <w:rsid w:val="00AC2D07"/>
    <w:rsid w:val="00AC37EE"/>
    <w:rsid w:val="00AC3C09"/>
    <w:rsid w:val="00AC462E"/>
    <w:rsid w:val="00AC60DF"/>
    <w:rsid w:val="00AC69C5"/>
    <w:rsid w:val="00AC6AD5"/>
    <w:rsid w:val="00AC6D03"/>
    <w:rsid w:val="00AC6E97"/>
    <w:rsid w:val="00AC703D"/>
    <w:rsid w:val="00AC75E5"/>
    <w:rsid w:val="00AC7C3D"/>
    <w:rsid w:val="00AC7CCC"/>
    <w:rsid w:val="00AC7D6C"/>
    <w:rsid w:val="00AD01DE"/>
    <w:rsid w:val="00AD114C"/>
    <w:rsid w:val="00AD19B9"/>
    <w:rsid w:val="00AD1C24"/>
    <w:rsid w:val="00AD22FA"/>
    <w:rsid w:val="00AD2421"/>
    <w:rsid w:val="00AD2880"/>
    <w:rsid w:val="00AD289F"/>
    <w:rsid w:val="00AD2C48"/>
    <w:rsid w:val="00AD5DA4"/>
    <w:rsid w:val="00AD61AD"/>
    <w:rsid w:val="00AD63C2"/>
    <w:rsid w:val="00AD65F8"/>
    <w:rsid w:val="00AD68CD"/>
    <w:rsid w:val="00AD6A64"/>
    <w:rsid w:val="00AD75AB"/>
    <w:rsid w:val="00AD7862"/>
    <w:rsid w:val="00AD7FD6"/>
    <w:rsid w:val="00AE14EB"/>
    <w:rsid w:val="00AE17E2"/>
    <w:rsid w:val="00AE1987"/>
    <w:rsid w:val="00AE1B79"/>
    <w:rsid w:val="00AE1FCC"/>
    <w:rsid w:val="00AE22EF"/>
    <w:rsid w:val="00AE26AF"/>
    <w:rsid w:val="00AE2B05"/>
    <w:rsid w:val="00AE3013"/>
    <w:rsid w:val="00AE42B5"/>
    <w:rsid w:val="00AE42F7"/>
    <w:rsid w:val="00AE4350"/>
    <w:rsid w:val="00AE57B1"/>
    <w:rsid w:val="00AE5F57"/>
    <w:rsid w:val="00AE673E"/>
    <w:rsid w:val="00AE6F20"/>
    <w:rsid w:val="00AE7643"/>
    <w:rsid w:val="00AF0456"/>
    <w:rsid w:val="00AF08BD"/>
    <w:rsid w:val="00AF09E5"/>
    <w:rsid w:val="00AF1750"/>
    <w:rsid w:val="00AF21C9"/>
    <w:rsid w:val="00AF2375"/>
    <w:rsid w:val="00AF250C"/>
    <w:rsid w:val="00AF2A23"/>
    <w:rsid w:val="00AF3BBD"/>
    <w:rsid w:val="00AF3ECF"/>
    <w:rsid w:val="00AF3EF3"/>
    <w:rsid w:val="00AF4101"/>
    <w:rsid w:val="00AF41B5"/>
    <w:rsid w:val="00AF4FE9"/>
    <w:rsid w:val="00AF5186"/>
    <w:rsid w:val="00AF5B65"/>
    <w:rsid w:val="00AF64E4"/>
    <w:rsid w:val="00AF676D"/>
    <w:rsid w:val="00AF701B"/>
    <w:rsid w:val="00AF7785"/>
    <w:rsid w:val="00AF7804"/>
    <w:rsid w:val="00B00081"/>
    <w:rsid w:val="00B0094E"/>
    <w:rsid w:val="00B01AD7"/>
    <w:rsid w:val="00B0248D"/>
    <w:rsid w:val="00B025A6"/>
    <w:rsid w:val="00B03E2A"/>
    <w:rsid w:val="00B0461D"/>
    <w:rsid w:val="00B0472F"/>
    <w:rsid w:val="00B0566B"/>
    <w:rsid w:val="00B05C11"/>
    <w:rsid w:val="00B06CA6"/>
    <w:rsid w:val="00B06F67"/>
    <w:rsid w:val="00B0703D"/>
    <w:rsid w:val="00B073DF"/>
    <w:rsid w:val="00B07D85"/>
    <w:rsid w:val="00B10AEF"/>
    <w:rsid w:val="00B10B35"/>
    <w:rsid w:val="00B10F86"/>
    <w:rsid w:val="00B1101F"/>
    <w:rsid w:val="00B11B0B"/>
    <w:rsid w:val="00B12512"/>
    <w:rsid w:val="00B12886"/>
    <w:rsid w:val="00B12935"/>
    <w:rsid w:val="00B12A74"/>
    <w:rsid w:val="00B12B6F"/>
    <w:rsid w:val="00B12CCF"/>
    <w:rsid w:val="00B12E39"/>
    <w:rsid w:val="00B12ED3"/>
    <w:rsid w:val="00B12FDB"/>
    <w:rsid w:val="00B1367B"/>
    <w:rsid w:val="00B1497B"/>
    <w:rsid w:val="00B14B57"/>
    <w:rsid w:val="00B154B3"/>
    <w:rsid w:val="00B1566A"/>
    <w:rsid w:val="00B158B6"/>
    <w:rsid w:val="00B16667"/>
    <w:rsid w:val="00B1679E"/>
    <w:rsid w:val="00B16841"/>
    <w:rsid w:val="00B16BF3"/>
    <w:rsid w:val="00B170DF"/>
    <w:rsid w:val="00B17C16"/>
    <w:rsid w:val="00B212AE"/>
    <w:rsid w:val="00B2185E"/>
    <w:rsid w:val="00B219E3"/>
    <w:rsid w:val="00B22164"/>
    <w:rsid w:val="00B227A8"/>
    <w:rsid w:val="00B22DB4"/>
    <w:rsid w:val="00B22FB6"/>
    <w:rsid w:val="00B236BF"/>
    <w:rsid w:val="00B23FB3"/>
    <w:rsid w:val="00B24FB5"/>
    <w:rsid w:val="00B25081"/>
    <w:rsid w:val="00B25B70"/>
    <w:rsid w:val="00B26AC9"/>
    <w:rsid w:val="00B26E1F"/>
    <w:rsid w:val="00B27048"/>
    <w:rsid w:val="00B27773"/>
    <w:rsid w:val="00B27D02"/>
    <w:rsid w:val="00B30314"/>
    <w:rsid w:val="00B30D86"/>
    <w:rsid w:val="00B3109D"/>
    <w:rsid w:val="00B31668"/>
    <w:rsid w:val="00B3196F"/>
    <w:rsid w:val="00B3238A"/>
    <w:rsid w:val="00B337E3"/>
    <w:rsid w:val="00B34B0A"/>
    <w:rsid w:val="00B34BA0"/>
    <w:rsid w:val="00B34D8D"/>
    <w:rsid w:val="00B35132"/>
    <w:rsid w:val="00B35E6F"/>
    <w:rsid w:val="00B36654"/>
    <w:rsid w:val="00B36E39"/>
    <w:rsid w:val="00B376D1"/>
    <w:rsid w:val="00B37D92"/>
    <w:rsid w:val="00B37E55"/>
    <w:rsid w:val="00B4030A"/>
    <w:rsid w:val="00B4081E"/>
    <w:rsid w:val="00B41410"/>
    <w:rsid w:val="00B41ED7"/>
    <w:rsid w:val="00B42AB0"/>
    <w:rsid w:val="00B43A9C"/>
    <w:rsid w:val="00B43F85"/>
    <w:rsid w:val="00B4445C"/>
    <w:rsid w:val="00B44C7E"/>
    <w:rsid w:val="00B450F7"/>
    <w:rsid w:val="00B4516F"/>
    <w:rsid w:val="00B45265"/>
    <w:rsid w:val="00B46032"/>
    <w:rsid w:val="00B460CB"/>
    <w:rsid w:val="00B463C3"/>
    <w:rsid w:val="00B466FD"/>
    <w:rsid w:val="00B51130"/>
    <w:rsid w:val="00B5184E"/>
    <w:rsid w:val="00B51D77"/>
    <w:rsid w:val="00B53959"/>
    <w:rsid w:val="00B54A04"/>
    <w:rsid w:val="00B54ADF"/>
    <w:rsid w:val="00B5529A"/>
    <w:rsid w:val="00B55AC1"/>
    <w:rsid w:val="00B565D6"/>
    <w:rsid w:val="00B56858"/>
    <w:rsid w:val="00B56F3A"/>
    <w:rsid w:val="00B5795E"/>
    <w:rsid w:val="00B57B4F"/>
    <w:rsid w:val="00B57B8F"/>
    <w:rsid w:val="00B60436"/>
    <w:rsid w:val="00B607B7"/>
    <w:rsid w:val="00B61F90"/>
    <w:rsid w:val="00B62034"/>
    <w:rsid w:val="00B628B3"/>
    <w:rsid w:val="00B634CF"/>
    <w:rsid w:val="00B6385A"/>
    <w:rsid w:val="00B63A32"/>
    <w:rsid w:val="00B6452C"/>
    <w:rsid w:val="00B6627A"/>
    <w:rsid w:val="00B66FF7"/>
    <w:rsid w:val="00B670D2"/>
    <w:rsid w:val="00B67256"/>
    <w:rsid w:val="00B6783A"/>
    <w:rsid w:val="00B70008"/>
    <w:rsid w:val="00B7020E"/>
    <w:rsid w:val="00B707F9"/>
    <w:rsid w:val="00B713BA"/>
    <w:rsid w:val="00B716C4"/>
    <w:rsid w:val="00B71CC4"/>
    <w:rsid w:val="00B721DF"/>
    <w:rsid w:val="00B72356"/>
    <w:rsid w:val="00B727A9"/>
    <w:rsid w:val="00B72D6F"/>
    <w:rsid w:val="00B7325B"/>
    <w:rsid w:val="00B7360D"/>
    <w:rsid w:val="00B73A0C"/>
    <w:rsid w:val="00B74DA5"/>
    <w:rsid w:val="00B7550E"/>
    <w:rsid w:val="00B7784D"/>
    <w:rsid w:val="00B77FB3"/>
    <w:rsid w:val="00B80669"/>
    <w:rsid w:val="00B8086C"/>
    <w:rsid w:val="00B80BD5"/>
    <w:rsid w:val="00B81081"/>
    <w:rsid w:val="00B82402"/>
    <w:rsid w:val="00B82E11"/>
    <w:rsid w:val="00B83926"/>
    <w:rsid w:val="00B83BB5"/>
    <w:rsid w:val="00B842CA"/>
    <w:rsid w:val="00B84BD8"/>
    <w:rsid w:val="00B85E32"/>
    <w:rsid w:val="00B86C98"/>
    <w:rsid w:val="00B879E0"/>
    <w:rsid w:val="00B87C8F"/>
    <w:rsid w:val="00B9016D"/>
    <w:rsid w:val="00B90676"/>
    <w:rsid w:val="00B90E8C"/>
    <w:rsid w:val="00B91647"/>
    <w:rsid w:val="00B91EB3"/>
    <w:rsid w:val="00B91EB7"/>
    <w:rsid w:val="00B925F6"/>
    <w:rsid w:val="00B93B22"/>
    <w:rsid w:val="00B96B73"/>
    <w:rsid w:val="00B97587"/>
    <w:rsid w:val="00B97BB8"/>
    <w:rsid w:val="00B97F3D"/>
    <w:rsid w:val="00B97F87"/>
    <w:rsid w:val="00BA09C1"/>
    <w:rsid w:val="00BA1173"/>
    <w:rsid w:val="00BA1542"/>
    <w:rsid w:val="00BA179C"/>
    <w:rsid w:val="00BA1DA4"/>
    <w:rsid w:val="00BA2390"/>
    <w:rsid w:val="00BA2617"/>
    <w:rsid w:val="00BA2E69"/>
    <w:rsid w:val="00BA2E92"/>
    <w:rsid w:val="00BA37BA"/>
    <w:rsid w:val="00BA40ED"/>
    <w:rsid w:val="00BA4513"/>
    <w:rsid w:val="00BA4CF6"/>
    <w:rsid w:val="00BA52BD"/>
    <w:rsid w:val="00BA532D"/>
    <w:rsid w:val="00BA5AD9"/>
    <w:rsid w:val="00BA5CA2"/>
    <w:rsid w:val="00BA60FC"/>
    <w:rsid w:val="00BA655E"/>
    <w:rsid w:val="00BA767B"/>
    <w:rsid w:val="00BA769A"/>
    <w:rsid w:val="00BA79D8"/>
    <w:rsid w:val="00BA7ABD"/>
    <w:rsid w:val="00BB0FDB"/>
    <w:rsid w:val="00BB1618"/>
    <w:rsid w:val="00BB1BC0"/>
    <w:rsid w:val="00BB1DEC"/>
    <w:rsid w:val="00BB1F4B"/>
    <w:rsid w:val="00BB23C7"/>
    <w:rsid w:val="00BB2852"/>
    <w:rsid w:val="00BB3941"/>
    <w:rsid w:val="00BB595B"/>
    <w:rsid w:val="00BB5D6C"/>
    <w:rsid w:val="00BB672A"/>
    <w:rsid w:val="00BB72B3"/>
    <w:rsid w:val="00BB72BD"/>
    <w:rsid w:val="00BB76CE"/>
    <w:rsid w:val="00BC049C"/>
    <w:rsid w:val="00BC0736"/>
    <w:rsid w:val="00BC097A"/>
    <w:rsid w:val="00BC0D8B"/>
    <w:rsid w:val="00BC0EA4"/>
    <w:rsid w:val="00BC1E1E"/>
    <w:rsid w:val="00BC2AD7"/>
    <w:rsid w:val="00BC2B4F"/>
    <w:rsid w:val="00BC3EC5"/>
    <w:rsid w:val="00BC41D2"/>
    <w:rsid w:val="00BC421C"/>
    <w:rsid w:val="00BC48C8"/>
    <w:rsid w:val="00BC4B66"/>
    <w:rsid w:val="00BC4D18"/>
    <w:rsid w:val="00BC5A32"/>
    <w:rsid w:val="00BC5C0B"/>
    <w:rsid w:val="00BC6ACC"/>
    <w:rsid w:val="00BC7C55"/>
    <w:rsid w:val="00BD038C"/>
    <w:rsid w:val="00BD03F2"/>
    <w:rsid w:val="00BD0454"/>
    <w:rsid w:val="00BD0E1C"/>
    <w:rsid w:val="00BD1DAD"/>
    <w:rsid w:val="00BD1F02"/>
    <w:rsid w:val="00BD20CB"/>
    <w:rsid w:val="00BD2357"/>
    <w:rsid w:val="00BD2D73"/>
    <w:rsid w:val="00BD3664"/>
    <w:rsid w:val="00BD3709"/>
    <w:rsid w:val="00BD38DB"/>
    <w:rsid w:val="00BD3FCA"/>
    <w:rsid w:val="00BD40A5"/>
    <w:rsid w:val="00BD413D"/>
    <w:rsid w:val="00BD4BFD"/>
    <w:rsid w:val="00BD4E72"/>
    <w:rsid w:val="00BD5297"/>
    <w:rsid w:val="00BD5E36"/>
    <w:rsid w:val="00BD6367"/>
    <w:rsid w:val="00BD67A7"/>
    <w:rsid w:val="00BD68F6"/>
    <w:rsid w:val="00BD755A"/>
    <w:rsid w:val="00BD7A73"/>
    <w:rsid w:val="00BD7BD6"/>
    <w:rsid w:val="00BD7E1C"/>
    <w:rsid w:val="00BE0B1A"/>
    <w:rsid w:val="00BE0EE7"/>
    <w:rsid w:val="00BE1D16"/>
    <w:rsid w:val="00BE2C85"/>
    <w:rsid w:val="00BE316E"/>
    <w:rsid w:val="00BE36AD"/>
    <w:rsid w:val="00BE431F"/>
    <w:rsid w:val="00BE468B"/>
    <w:rsid w:val="00BE4804"/>
    <w:rsid w:val="00BE4FD2"/>
    <w:rsid w:val="00BE543A"/>
    <w:rsid w:val="00BE5841"/>
    <w:rsid w:val="00BE6517"/>
    <w:rsid w:val="00BE6A89"/>
    <w:rsid w:val="00BE7C64"/>
    <w:rsid w:val="00BE7F3C"/>
    <w:rsid w:val="00BF05AB"/>
    <w:rsid w:val="00BF05CE"/>
    <w:rsid w:val="00BF0F45"/>
    <w:rsid w:val="00BF15ED"/>
    <w:rsid w:val="00BF22DC"/>
    <w:rsid w:val="00BF3708"/>
    <w:rsid w:val="00BF3B28"/>
    <w:rsid w:val="00BF3CAB"/>
    <w:rsid w:val="00BF47E0"/>
    <w:rsid w:val="00BF4B6E"/>
    <w:rsid w:val="00C006E0"/>
    <w:rsid w:val="00C00AF7"/>
    <w:rsid w:val="00C00B03"/>
    <w:rsid w:val="00C00B4A"/>
    <w:rsid w:val="00C00EDE"/>
    <w:rsid w:val="00C00F4E"/>
    <w:rsid w:val="00C021F3"/>
    <w:rsid w:val="00C0269D"/>
    <w:rsid w:val="00C026F7"/>
    <w:rsid w:val="00C02C0A"/>
    <w:rsid w:val="00C02D9F"/>
    <w:rsid w:val="00C03B21"/>
    <w:rsid w:val="00C06226"/>
    <w:rsid w:val="00C06F81"/>
    <w:rsid w:val="00C073B0"/>
    <w:rsid w:val="00C102D6"/>
    <w:rsid w:val="00C1046A"/>
    <w:rsid w:val="00C108A5"/>
    <w:rsid w:val="00C10FA9"/>
    <w:rsid w:val="00C11064"/>
    <w:rsid w:val="00C11AF0"/>
    <w:rsid w:val="00C12DA0"/>
    <w:rsid w:val="00C12ECB"/>
    <w:rsid w:val="00C1375B"/>
    <w:rsid w:val="00C1401B"/>
    <w:rsid w:val="00C14A92"/>
    <w:rsid w:val="00C14CEA"/>
    <w:rsid w:val="00C16052"/>
    <w:rsid w:val="00C16C73"/>
    <w:rsid w:val="00C16D78"/>
    <w:rsid w:val="00C16F11"/>
    <w:rsid w:val="00C17F4B"/>
    <w:rsid w:val="00C20114"/>
    <w:rsid w:val="00C2054E"/>
    <w:rsid w:val="00C20891"/>
    <w:rsid w:val="00C20A54"/>
    <w:rsid w:val="00C21626"/>
    <w:rsid w:val="00C21C8A"/>
    <w:rsid w:val="00C226E5"/>
    <w:rsid w:val="00C22D1A"/>
    <w:rsid w:val="00C23199"/>
    <w:rsid w:val="00C245FC"/>
    <w:rsid w:val="00C24930"/>
    <w:rsid w:val="00C25244"/>
    <w:rsid w:val="00C25B9B"/>
    <w:rsid w:val="00C25D5A"/>
    <w:rsid w:val="00C25F64"/>
    <w:rsid w:val="00C26999"/>
    <w:rsid w:val="00C2721D"/>
    <w:rsid w:val="00C30A20"/>
    <w:rsid w:val="00C31D76"/>
    <w:rsid w:val="00C32C21"/>
    <w:rsid w:val="00C33BF8"/>
    <w:rsid w:val="00C343D5"/>
    <w:rsid w:val="00C3486D"/>
    <w:rsid w:val="00C34E10"/>
    <w:rsid w:val="00C353F0"/>
    <w:rsid w:val="00C354CE"/>
    <w:rsid w:val="00C36B23"/>
    <w:rsid w:val="00C40C67"/>
    <w:rsid w:val="00C40CE2"/>
    <w:rsid w:val="00C40F54"/>
    <w:rsid w:val="00C42544"/>
    <w:rsid w:val="00C42DA9"/>
    <w:rsid w:val="00C42F7A"/>
    <w:rsid w:val="00C434D4"/>
    <w:rsid w:val="00C437C9"/>
    <w:rsid w:val="00C43922"/>
    <w:rsid w:val="00C43CBF"/>
    <w:rsid w:val="00C43CFB"/>
    <w:rsid w:val="00C44062"/>
    <w:rsid w:val="00C4484C"/>
    <w:rsid w:val="00C456CA"/>
    <w:rsid w:val="00C45B01"/>
    <w:rsid w:val="00C50560"/>
    <w:rsid w:val="00C50E7F"/>
    <w:rsid w:val="00C512BE"/>
    <w:rsid w:val="00C5189F"/>
    <w:rsid w:val="00C52020"/>
    <w:rsid w:val="00C524C2"/>
    <w:rsid w:val="00C528CD"/>
    <w:rsid w:val="00C5342A"/>
    <w:rsid w:val="00C5472E"/>
    <w:rsid w:val="00C54ED6"/>
    <w:rsid w:val="00C600EC"/>
    <w:rsid w:val="00C6060D"/>
    <w:rsid w:val="00C613F3"/>
    <w:rsid w:val="00C618FB"/>
    <w:rsid w:val="00C61DD3"/>
    <w:rsid w:val="00C63663"/>
    <w:rsid w:val="00C638E0"/>
    <w:rsid w:val="00C639CE"/>
    <w:rsid w:val="00C64503"/>
    <w:rsid w:val="00C64823"/>
    <w:rsid w:val="00C654DE"/>
    <w:rsid w:val="00C662D2"/>
    <w:rsid w:val="00C703C7"/>
    <w:rsid w:val="00C708B4"/>
    <w:rsid w:val="00C70A69"/>
    <w:rsid w:val="00C71094"/>
    <w:rsid w:val="00C71C78"/>
    <w:rsid w:val="00C71CAF"/>
    <w:rsid w:val="00C71D67"/>
    <w:rsid w:val="00C7218D"/>
    <w:rsid w:val="00C727BF"/>
    <w:rsid w:val="00C734B2"/>
    <w:rsid w:val="00C73AFA"/>
    <w:rsid w:val="00C73BAE"/>
    <w:rsid w:val="00C73FAD"/>
    <w:rsid w:val="00C74F3C"/>
    <w:rsid w:val="00C75365"/>
    <w:rsid w:val="00C75B6B"/>
    <w:rsid w:val="00C7624E"/>
    <w:rsid w:val="00C76A28"/>
    <w:rsid w:val="00C76DD3"/>
    <w:rsid w:val="00C7727B"/>
    <w:rsid w:val="00C7797F"/>
    <w:rsid w:val="00C81F1E"/>
    <w:rsid w:val="00C824AC"/>
    <w:rsid w:val="00C82944"/>
    <w:rsid w:val="00C82A4B"/>
    <w:rsid w:val="00C83281"/>
    <w:rsid w:val="00C842E3"/>
    <w:rsid w:val="00C848D6"/>
    <w:rsid w:val="00C84949"/>
    <w:rsid w:val="00C84B94"/>
    <w:rsid w:val="00C8671A"/>
    <w:rsid w:val="00C87E0C"/>
    <w:rsid w:val="00C87FBD"/>
    <w:rsid w:val="00C901D9"/>
    <w:rsid w:val="00C90B60"/>
    <w:rsid w:val="00C92603"/>
    <w:rsid w:val="00C9330A"/>
    <w:rsid w:val="00C9406C"/>
    <w:rsid w:val="00C9488A"/>
    <w:rsid w:val="00C9785C"/>
    <w:rsid w:val="00C97A2E"/>
    <w:rsid w:val="00C97DDE"/>
    <w:rsid w:val="00CA019E"/>
    <w:rsid w:val="00CA04DD"/>
    <w:rsid w:val="00CA0C2A"/>
    <w:rsid w:val="00CA1398"/>
    <w:rsid w:val="00CA147C"/>
    <w:rsid w:val="00CA1984"/>
    <w:rsid w:val="00CA1B5E"/>
    <w:rsid w:val="00CA28D0"/>
    <w:rsid w:val="00CA379F"/>
    <w:rsid w:val="00CA3B2B"/>
    <w:rsid w:val="00CA4DE6"/>
    <w:rsid w:val="00CA58D9"/>
    <w:rsid w:val="00CA6CF6"/>
    <w:rsid w:val="00CA6D5C"/>
    <w:rsid w:val="00CA6DAD"/>
    <w:rsid w:val="00CA71C1"/>
    <w:rsid w:val="00CB0072"/>
    <w:rsid w:val="00CB020B"/>
    <w:rsid w:val="00CB0A16"/>
    <w:rsid w:val="00CB10CE"/>
    <w:rsid w:val="00CB1C09"/>
    <w:rsid w:val="00CB3003"/>
    <w:rsid w:val="00CB3973"/>
    <w:rsid w:val="00CB4707"/>
    <w:rsid w:val="00CB54B1"/>
    <w:rsid w:val="00CB5F46"/>
    <w:rsid w:val="00CB66F8"/>
    <w:rsid w:val="00CB6732"/>
    <w:rsid w:val="00CB79BA"/>
    <w:rsid w:val="00CC0B5B"/>
    <w:rsid w:val="00CC12C6"/>
    <w:rsid w:val="00CC1489"/>
    <w:rsid w:val="00CC1862"/>
    <w:rsid w:val="00CC1E8B"/>
    <w:rsid w:val="00CC285B"/>
    <w:rsid w:val="00CC3064"/>
    <w:rsid w:val="00CC33FB"/>
    <w:rsid w:val="00CC350B"/>
    <w:rsid w:val="00CC3FD7"/>
    <w:rsid w:val="00CC4A67"/>
    <w:rsid w:val="00CC4C6A"/>
    <w:rsid w:val="00CC6C1A"/>
    <w:rsid w:val="00CC6DCB"/>
    <w:rsid w:val="00CC6E19"/>
    <w:rsid w:val="00CC715B"/>
    <w:rsid w:val="00CC73E3"/>
    <w:rsid w:val="00CD0268"/>
    <w:rsid w:val="00CD02C7"/>
    <w:rsid w:val="00CD05F4"/>
    <w:rsid w:val="00CD06C9"/>
    <w:rsid w:val="00CD11C5"/>
    <w:rsid w:val="00CD157A"/>
    <w:rsid w:val="00CD16F8"/>
    <w:rsid w:val="00CD2AF5"/>
    <w:rsid w:val="00CD2E39"/>
    <w:rsid w:val="00CD441E"/>
    <w:rsid w:val="00CD45FE"/>
    <w:rsid w:val="00CD4A7C"/>
    <w:rsid w:val="00CD4B4C"/>
    <w:rsid w:val="00CD69BE"/>
    <w:rsid w:val="00CD69D9"/>
    <w:rsid w:val="00CD6BD0"/>
    <w:rsid w:val="00CD6CDD"/>
    <w:rsid w:val="00CE0184"/>
    <w:rsid w:val="00CE04DE"/>
    <w:rsid w:val="00CE0B89"/>
    <w:rsid w:val="00CE1199"/>
    <w:rsid w:val="00CE2A91"/>
    <w:rsid w:val="00CE3938"/>
    <w:rsid w:val="00CE45F2"/>
    <w:rsid w:val="00CE4DFE"/>
    <w:rsid w:val="00CE4EB3"/>
    <w:rsid w:val="00CE4EBD"/>
    <w:rsid w:val="00CE700D"/>
    <w:rsid w:val="00CE7161"/>
    <w:rsid w:val="00CE7A24"/>
    <w:rsid w:val="00CE7BFC"/>
    <w:rsid w:val="00CF0A01"/>
    <w:rsid w:val="00CF0E55"/>
    <w:rsid w:val="00CF11F2"/>
    <w:rsid w:val="00CF18E4"/>
    <w:rsid w:val="00CF1B21"/>
    <w:rsid w:val="00CF1F33"/>
    <w:rsid w:val="00CF2BA9"/>
    <w:rsid w:val="00CF2EC2"/>
    <w:rsid w:val="00CF3670"/>
    <w:rsid w:val="00CF490A"/>
    <w:rsid w:val="00CF498E"/>
    <w:rsid w:val="00CF4B97"/>
    <w:rsid w:val="00CF5DC1"/>
    <w:rsid w:val="00CF6A67"/>
    <w:rsid w:val="00CF6FA1"/>
    <w:rsid w:val="00CF77DA"/>
    <w:rsid w:val="00D0008C"/>
    <w:rsid w:val="00D00424"/>
    <w:rsid w:val="00D01517"/>
    <w:rsid w:val="00D018D4"/>
    <w:rsid w:val="00D01EC7"/>
    <w:rsid w:val="00D0287D"/>
    <w:rsid w:val="00D0290A"/>
    <w:rsid w:val="00D02EE1"/>
    <w:rsid w:val="00D034E2"/>
    <w:rsid w:val="00D03B1D"/>
    <w:rsid w:val="00D03FAB"/>
    <w:rsid w:val="00D042EA"/>
    <w:rsid w:val="00D0578E"/>
    <w:rsid w:val="00D0596E"/>
    <w:rsid w:val="00D0695A"/>
    <w:rsid w:val="00D06D26"/>
    <w:rsid w:val="00D06DD6"/>
    <w:rsid w:val="00D075B9"/>
    <w:rsid w:val="00D07DD7"/>
    <w:rsid w:val="00D10EDE"/>
    <w:rsid w:val="00D110B0"/>
    <w:rsid w:val="00D11A65"/>
    <w:rsid w:val="00D11B15"/>
    <w:rsid w:val="00D120EC"/>
    <w:rsid w:val="00D128D7"/>
    <w:rsid w:val="00D1296B"/>
    <w:rsid w:val="00D12AE1"/>
    <w:rsid w:val="00D13D4F"/>
    <w:rsid w:val="00D13E78"/>
    <w:rsid w:val="00D149E0"/>
    <w:rsid w:val="00D14C63"/>
    <w:rsid w:val="00D1591D"/>
    <w:rsid w:val="00D17D9A"/>
    <w:rsid w:val="00D202CE"/>
    <w:rsid w:val="00D20E7D"/>
    <w:rsid w:val="00D20F41"/>
    <w:rsid w:val="00D2134C"/>
    <w:rsid w:val="00D214CC"/>
    <w:rsid w:val="00D224FF"/>
    <w:rsid w:val="00D22A23"/>
    <w:rsid w:val="00D230C2"/>
    <w:rsid w:val="00D23EC7"/>
    <w:rsid w:val="00D24039"/>
    <w:rsid w:val="00D246CC"/>
    <w:rsid w:val="00D24BB1"/>
    <w:rsid w:val="00D26078"/>
    <w:rsid w:val="00D2612C"/>
    <w:rsid w:val="00D261EE"/>
    <w:rsid w:val="00D26519"/>
    <w:rsid w:val="00D300AC"/>
    <w:rsid w:val="00D30D93"/>
    <w:rsid w:val="00D30DE5"/>
    <w:rsid w:val="00D30ED9"/>
    <w:rsid w:val="00D3117D"/>
    <w:rsid w:val="00D31322"/>
    <w:rsid w:val="00D31683"/>
    <w:rsid w:val="00D31810"/>
    <w:rsid w:val="00D318A9"/>
    <w:rsid w:val="00D31D78"/>
    <w:rsid w:val="00D3204E"/>
    <w:rsid w:val="00D32D6B"/>
    <w:rsid w:val="00D32DDE"/>
    <w:rsid w:val="00D32E72"/>
    <w:rsid w:val="00D33B4A"/>
    <w:rsid w:val="00D34D13"/>
    <w:rsid w:val="00D35171"/>
    <w:rsid w:val="00D35235"/>
    <w:rsid w:val="00D35686"/>
    <w:rsid w:val="00D3591E"/>
    <w:rsid w:val="00D35922"/>
    <w:rsid w:val="00D35A3E"/>
    <w:rsid w:val="00D35EC6"/>
    <w:rsid w:val="00D36A7A"/>
    <w:rsid w:val="00D37A82"/>
    <w:rsid w:val="00D40E50"/>
    <w:rsid w:val="00D41923"/>
    <w:rsid w:val="00D4385E"/>
    <w:rsid w:val="00D44684"/>
    <w:rsid w:val="00D45329"/>
    <w:rsid w:val="00D46086"/>
    <w:rsid w:val="00D46434"/>
    <w:rsid w:val="00D46E82"/>
    <w:rsid w:val="00D470F6"/>
    <w:rsid w:val="00D47152"/>
    <w:rsid w:val="00D4741C"/>
    <w:rsid w:val="00D47582"/>
    <w:rsid w:val="00D47D02"/>
    <w:rsid w:val="00D47DDD"/>
    <w:rsid w:val="00D501F6"/>
    <w:rsid w:val="00D50D9A"/>
    <w:rsid w:val="00D50FD9"/>
    <w:rsid w:val="00D5167E"/>
    <w:rsid w:val="00D51DC7"/>
    <w:rsid w:val="00D5208F"/>
    <w:rsid w:val="00D521F5"/>
    <w:rsid w:val="00D528D5"/>
    <w:rsid w:val="00D529D9"/>
    <w:rsid w:val="00D53298"/>
    <w:rsid w:val="00D53A75"/>
    <w:rsid w:val="00D541C9"/>
    <w:rsid w:val="00D54668"/>
    <w:rsid w:val="00D5534D"/>
    <w:rsid w:val="00D5566C"/>
    <w:rsid w:val="00D56668"/>
    <w:rsid w:val="00D56ADA"/>
    <w:rsid w:val="00D56B78"/>
    <w:rsid w:val="00D56EEE"/>
    <w:rsid w:val="00D57363"/>
    <w:rsid w:val="00D577C6"/>
    <w:rsid w:val="00D61E92"/>
    <w:rsid w:val="00D636A4"/>
    <w:rsid w:val="00D64703"/>
    <w:rsid w:val="00D64C70"/>
    <w:rsid w:val="00D6551E"/>
    <w:rsid w:val="00D6561C"/>
    <w:rsid w:val="00D678AA"/>
    <w:rsid w:val="00D7014F"/>
    <w:rsid w:val="00D703E0"/>
    <w:rsid w:val="00D71674"/>
    <w:rsid w:val="00D717AF"/>
    <w:rsid w:val="00D719A6"/>
    <w:rsid w:val="00D72482"/>
    <w:rsid w:val="00D737FC"/>
    <w:rsid w:val="00D74030"/>
    <w:rsid w:val="00D748B6"/>
    <w:rsid w:val="00D74B2A"/>
    <w:rsid w:val="00D75994"/>
    <w:rsid w:val="00D75F5E"/>
    <w:rsid w:val="00D7627D"/>
    <w:rsid w:val="00D76346"/>
    <w:rsid w:val="00D766D5"/>
    <w:rsid w:val="00D7697D"/>
    <w:rsid w:val="00D76C43"/>
    <w:rsid w:val="00D773D3"/>
    <w:rsid w:val="00D778D0"/>
    <w:rsid w:val="00D7795D"/>
    <w:rsid w:val="00D77DC5"/>
    <w:rsid w:val="00D80047"/>
    <w:rsid w:val="00D80DEC"/>
    <w:rsid w:val="00D8133C"/>
    <w:rsid w:val="00D81D04"/>
    <w:rsid w:val="00D82715"/>
    <w:rsid w:val="00D8297D"/>
    <w:rsid w:val="00D82E75"/>
    <w:rsid w:val="00D842FC"/>
    <w:rsid w:val="00D84354"/>
    <w:rsid w:val="00D84E46"/>
    <w:rsid w:val="00D84F1C"/>
    <w:rsid w:val="00D85781"/>
    <w:rsid w:val="00D86078"/>
    <w:rsid w:val="00D861F9"/>
    <w:rsid w:val="00D8677A"/>
    <w:rsid w:val="00D8700E"/>
    <w:rsid w:val="00D87144"/>
    <w:rsid w:val="00D87A7C"/>
    <w:rsid w:val="00D87D6E"/>
    <w:rsid w:val="00D90747"/>
    <w:rsid w:val="00D909AA"/>
    <w:rsid w:val="00D90B6D"/>
    <w:rsid w:val="00D9217C"/>
    <w:rsid w:val="00D9243F"/>
    <w:rsid w:val="00D92B3B"/>
    <w:rsid w:val="00D944B3"/>
    <w:rsid w:val="00D9535C"/>
    <w:rsid w:val="00D960BE"/>
    <w:rsid w:val="00D96B4D"/>
    <w:rsid w:val="00D974AC"/>
    <w:rsid w:val="00D9782C"/>
    <w:rsid w:val="00D97C92"/>
    <w:rsid w:val="00DA1300"/>
    <w:rsid w:val="00DA1560"/>
    <w:rsid w:val="00DA220C"/>
    <w:rsid w:val="00DA23AA"/>
    <w:rsid w:val="00DA275C"/>
    <w:rsid w:val="00DA37C0"/>
    <w:rsid w:val="00DA3FEF"/>
    <w:rsid w:val="00DA40CD"/>
    <w:rsid w:val="00DA444C"/>
    <w:rsid w:val="00DA498F"/>
    <w:rsid w:val="00DA5159"/>
    <w:rsid w:val="00DA51E4"/>
    <w:rsid w:val="00DA56A0"/>
    <w:rsid w:val="00DA5F9A"/>
    <w:rsid w:val="00DA66F0"/>
    <w:rsid w:val="00DA6F13"/>
    <w:rsid w:val="00DA742F"/>
    <w:rsid w:val="00DA7A24"/>
    <w:rsid w:val="00DA7DDA"/>
    <w:rsid w:val="00DB024C"/>
    <w:rsid w:val="00DB05AF"/>
    <w:rsid w:val="00DB06C2"/>
    <w:rsid w:val="00DB07CD"/>
    <w:rsid w:val="00DB20E2"/>
    <w:rsid w:val="00DB50BE"/>
    <w:rsid w:val="00DB518B"/>
    <w:rsid w:val="00DB59C0"/>
    <w:rsid w:val="00DB6C0C"/>
    <w:rsid w:val="00DB6D0D"/>
    <w:rsid w:val="00DB75E7"/>
    <w:rsid w:val="00DB7D0E"/>
    <w:rsid w:val="00DB7DE2"/>
    <w:rsid w:val="00DC0D68"/>
    <w:rsid w:val="00DC0E4B"/>
    <w:rsid w:val="00DC13FE"/>
    <w:rsid w:val="00DC14AC"/>
    <w:rsid w:val="00DC1F23"/>
    <w:rsid w:val="00DC27E1"/>
    <w:rsid w:val="00DC2AFB"/>
    <w:rsid w:val="00DC2B86"/>
    <w:rsid w:val="00DC47FE"/>
    <w:rsid w:val="00DC4A99"/>
    <w:rsid w:val="00DC4E4A"/>
    <w:rsid w:val="00DC4EA2"/>
    <w:rsid w:val="00DC5068"/>
    <w:rsid w:val="00DC5692"/>
    <w:rsid w:val="00DC5FE0"/>
    <w:rsid w:val="00DC63F7"/>
    <w:rsid w:val="00DC68B6"/>
    <w:rsid w:val="00DC732B"/>
    <w:rsid w:val="00DC78FB"/>
    <w:rsid w:val="00DC7DB8"/>
    <w:rsid w:val="00DD0BBF"/>
    <w:rsid w:val="00DD10CD"/>
    <w:rsid w:val="00DD1609"/>
    <w:rsid w:val="00DD1A9C"/>
    <w:rsid w:val="00DD304D"/>
    <w:rsid w:val="00DD31AC"/>
    <w:rsid w:val="00DD3AFA"/>
    <w:rsid w:val="00DD411E"/>
    <w:rsid w:val="00DD4E0D"/>
    <w:rsid w:val="00DD4F56"/>
    <w:rsid w:val="00DD5285"/>
    <w:rsid w:val="00DD6F87"/>
    <w:rsid w:val="00DD7A4A"/>
    <w:rsid w:val="00DD7F0C"/>
    <w:rsid w:val="00DE06C0"/>
    <w:rsid w:val="00DE0EEE"/>
    <w:rsid w:val="00DE1050"/>
    <w:rsid w:val="00DE1341"/>
    <w:rsid w:val="00DE17F7"/>
    <w:rsid w:val="00DE18B3"/>
    <w:rsid w:val="00DE321A"/>
    <w:rsid w:val="00DE33D1"/>
    <w:rsid w:val="00DE4A79"/>
    <w:rsid w:val="00DE4F71"/>
    <w:rsid w:val="00DE690F"/>
    <w:rsid w:val="00DE69B4"/>
    <w:rsid w:val="00DE71F0"/>
    <w:rsid w:val="00DE74D4"/>
    <w:rsid w:val="00DE7838"/>
    <w:rsid w:val="00DF0A6D"/>
    <w:rsid w:val="00DF0D55"/>
    <w:rsid w:val="00DF11F6"/>
    <w:rsid w:val="00DF1689"/>
    <w:rsid w:val="00DF2B0B"/>
    <w:rsid w:val="00DF2D8A"/>
    <w:rsid w:val="00DF342E"/>
    <w:rsid w:val="00DF3BD4"/>
    <w:rsid w:val="00DF5DF4"/>
    <w:rsid w:val="00DF632C"/>
    <w:rsid w:val="00DF679B"/>
    <w:rsid w:val="00DF67E0"/>
    <w:rsid w:val="00DF6B2A"/>
    <w:rsid w:val="00DF7411"/>
    <w:rsid w:val="00E00232"/>
    <w:rsid w:val="00E0079D"/>
    <w:rsid w:val="00E00B7A"/>
    <w:rsid w:val="00E01402"/>
    <w:rsid w:val="00E0190D"/>
    <w:rsid w:val="00E02059"/>
    <w:rsid w:val="00E02754"/>
    <w:rsid w:val="00E02EF5"/>
    <w:rsid w:val="00E030FA"/>
    <w:rsid w:val="00E03149"/>
    <w:rsid w:val="00E032FA"/>
    <w:rsid w:val="00E04800"/>
    <w:rsid w:val="00E04E93"/>
    <w:rsid w:val="00E052C8"/>
    <w:rsid w:val="00E053D2"/>
    <w:rsid w:val="00E05439"/>
    <w:rsid w:val="00E05B75"/>
    <w:rsid w:val="00E062E1"/>
    <w:rsid w:val="00E07579"/>
    <w:rsid w:val="00E07B11"/>
    <w:rsid w:val="00E07BC0"/>
    <w:rsid w:val="00E07D08"/>
    <w:rsid w:val="00E10E1D"/>
    <w:rsid w:val="00E11416"/>
    <w:rsid w:val="00E12B5B"/>
    <w:rsid w:val="00E140D2"/>
    <w:rsid w:val="00E146A7"/>
    <w:rsid w:val="00E14B5F"/>
    <w:rsid w:val="00E14CAF"/>
    <w:rsid w:val="00E15268"/>
    <w:rsid w:val="00E153DA"/>
    <w:rsid w:val="00E15547"/>
    <w:rsid w:val="00E155CD"/>
    <w:rsid w:val="00E1580B"/>
    <w:rsid w:val="00E15836"/>
    <w:rsid w:val="00E15C8F"/>
    <w:rsid w:val="00E164C4"/>
    <w:rsid w:val="00E16779"/>
    <w:rsid w:val="00E16C47"/>
    <w:rsid w:val="00E20542"/>
    <w:rsid w:val="00E21093"/>
    <w:rsid w:val="00E217E7"/>
    <w:rsid w:val="00E21F22"/>
    <w:rsid w:val="00E22149"/>
    <w:rsid w:val="00E23871"/>
    <w:rsid w:val="00E23DD3"/>
    <w:rsid w:val="00E23ED5"/>
    <w:rsid w:val="00E2595D"/>
    <w:rsid w:val="00E271D5"/>
    <w:rsid w:val="00E2765E"/>
    <w:rsid w:val="00E30DBA"/>
    <w:rsid w:val="00E3209C"/>
    <w:rsid w:val="00E34316"/>
    <w:rsid w:val="00E3498D"/>
    <w:rsid w:val="00E34B46"/>
    <w:rsid w:val="00E35712"/>
    <w:rsid w:val="00E3596B"/>
    <w:rsid w:val="00E359E2"/>
    <w:rsid w:val="00E35F83"/>
    <w:rsid w:val="00E36511"/>
    <w:rsid w:val="00E366DD"/>
    <w:rsid w:val="00E366E3"/>
    <w:rsid w:val="00E374D4"/>
    <w:rsid w:val="00E37A2F"/>
    <w:rsid w:val="00E4061E"/>
    <w:rsid w:val="00E40A35"/>
    <w:rsid w:val="00E40E7D"/>
    <w:rsid w:val="00E428B4"/>
    <w:rsid w:val="00E4314B"/>
    <w:rsid w:val="00E4346B"/>
    <w:rsid w:val="00E43D3A"/>
    <w:rsid w:val="00E44196"/>
    <w:rsid w:val="00E454F1"/>
    <w:rsid w:val="00E45944"/>
    <w:rsid w:val="00E461E2"/>
    <w:rsid w:val="00E472EC"/>
    <w:rsid w:val="00E47389"/>
    <w:rsid w:val="00E4753E"/>
    <w:rsid w:val="00E50338"/>
    <w:rsid w:val="00E51D2B"/>
    <w:rsid w:val="00E524E7"/>
    <w:rsid w:val="00E5259A"/>
    <w:rsid w:val="00E529FD"/>
    <w:rsid w:val="00E52A6F"/>
    <w:rsid w:val="00E5300E"/>
    <w:rsid w:val="00E5371C"/>
    <w:rsid w:val="00E53F4A"/>
    <w:rsid w:val="00E54FC8"/>
    <w:rsid w:val="00E550CD"/>
    <w:rsid w:val="00E56C5A"/>
    <w:rsid w:val="00E56EBE"/>
    <w:rsid w:val="00E570AD"/>
    <w:rsid w:val="00E57D02"/>
    <w:rsid w:val="00E57FA7"/>
    <w:rsid w:val="00E60509"/>
    <w:rsid w:val="00E60D1A"/>
    <w:rsid w:val="00E60E20"/>
    <w:rsid w:val="00E610FB"/>
    <w:rsid w:val="00E617C8"/>
    <w:rsid w:val="00E617E7"/>
    <w:rsid w:val="00E63DB2"/>
    <w:rsid w:val="00E65ABE"/>
    <w:rsid w:val="00E65E42"/>
    <w:rsid w:val="00E65E8F"/>
    <w:rsid w:val="00E662B2"/>
    <w:rsid w:val="00E66770"/>
    <w:rsid w:val="00E67053"/>
    <w:rsid w:val="00E67FB9"/>
    <w:rsid w:val="00E70C1F"/>
    <w:rsid w:val="00E71155"/>
    <w:rsid w:val="00E71A96"/>
    <w:rsid w:val="00E71C89"/>
    <w:rsid w:val="00E71FD9"/>
    <w:rsid w:val="00E72523"/>
    <w:rsid w:val="00E738BB"/>
    <w:rsid w:val="00E73DF8"/>
    <w:rsid w:val="00E7570C"/>
    <w:rsid w:val="00E75A1B"/>
    <w:rsid w:val="00E75AF9"/>
    <w:rsid w:val="00E75E68"/>
    <w:rsid w:val="00E763C8"/>
    <w:rsid w:val="00E766D8"/>
    <w:rsid w:val="00E769BC"/>
    <w:rsid w:val="00E77133"/>
    <w:rsid w:val="00E77C59"/>
    <w:rsid w:val="00E80A44"/>
    <w:rsid w:val="00E81072"/>
    <w:rsid w:val="00E82F2D"/>
    <w:rsid w:val="00E832AB"/>
    <w:rsid w:val="00E8440F"/>
    <w:rsid w:val="00E847CC"/>
    <w:rsid w:val="00E848AE"/>
    <w:rsid w:val="00E84B76"/>
    <w:rsid w:val="00E871CE"/>
    <w:rsid w:val="00E87773"/>
    <w:rsid w:val="00E879D4"/>
    <w:rsid w:val="00E87E19"/>
    <w:rsid w:val="00E917A7"/>
    <w:rsid w:val="00E91CB8"/>
    <w:rsid w:val="00E91CEA"/>
    <w:rsid w:val="00E92D38"/>
    <w:rsid w:val="00E93045"/>
    <w:rsid w:val="00E93106"/>
    <w:rsid w:val="00E93300"/>
    <w:rsid w:val="00E93BCF"/>
    <w:rsid w:val="00E93E58"/>
    <w:rsid w:val="00E95DF6"/>
    <w:rsid w:val="00E95E4C"/>
    <w:rsid w:val="00E970B6"/>
    <w:rsid w:val="00EA05E9"/>
    <w:rsid w:val="00EA0F3E"/>
    <w:rsid w:val="00EA1DE6"/>
    <w:rsid w:val="00EA20EE"/>
    <w:rsid w:val="00EA231B"/>
    <w:rsid w:val="00EA26D8"/>
    <w:rsid w:val="00EA2AFD"/>
    <w:rsid w:val="00EA3434"/>
    <w:rsid w:val="00EA3A80"/>
    <w:rsid w:val="00EA45C4"/>
    <w:rsid w:val="00EA5735"/>
    <w:rsid w:val="00EA5BD3"/>
    <w:rsid w:val="00EA5CDB"/>
    <w:rsid w:val="00EA60C6"/>
    <w:rsid w:val="00EA62B1"/>
    <w:rsid w:val="00EA6373"/>
    <w:rsid w:val="00EA6404"/>
    <w:rsid w:val="00EA6F0E"/>
    <w:rsid w:val="00EA7916"/>
    <w:rsid w:val="00EA7E53"/>
    <w:rsid w:val="00EB046D"/>
    <w:rsid w:val="00EB2525"/>
    <w:rsid w:val="00EB2939"/>
    <w:rsid w:val="00EB397E"/>
    <w:rsid w:val="00EB4558"/>
    <w:rsid w:val="00EB49C5"/>
    <w:rsid w:val="00EB4B9D"/>
    <w:rsid w:val="00EB5071"/>
    <w:rsid w:val="00EB6AE6"/>
    <w:rsid w:val="00EB7DDE"/>
    <w:rsid w:val="00EB7F6F"/>
    <w:rsid w:val="00EC0536"/>
    <w:rsid w:val="00EC10A8"/>
    <w:rsid w:val="00EC12F0"/>
    <w:rsid w:val="00EC1D1D"/>
    <w:rsid w:val="00EC3F76"/>
    <w:rsid w:val="00EC4744"/>
    <w:rsid w:val="00EC4D1E"/>
    <w:rsid w:val="00EC57C1"/>
    <w:rsid w:val="00EC6B32"/>
    <w:rsid w:val="00EC6FD3"/>
    <w:rsid w:val="00EC7024"/>
    <w:rsid w:val="00EC723C"/>
    <w:rsid w:val="00EC73FE"/>
    <w:rsid w:val="00EC7C4C"/>
    <w:rsid w:val="00ED091C"/>
    <w:rsid w:val="00ED0F0B"/>
    <w:rsid w:val="00ED1872"/>
    <w:rsid w:val="00ED3C65"/>
    <w:rsid w:val="00ED65CC"/>
    <w:rsid w:val="00EE1D28"/>
    <w:rsid w:val="00EE1FE9"/>
    <w:rsid w:val="00EE3C9C"/>
    <w:rsid w:val="00EE3F90"/>
    <w:rsid w:val="00EE4C01"/>
    <w:rsid w:val="00EE5360"/>
    <w:rsid w:val="00EE536B"/>
    <w:rsid w:val="00EE5524"/>
    <w:rsid w:val="00EE5C40"/>
    <w:rsid w:val="00EE632F"/>
    <w:rsid w:val="00EE7CE3"/>
    <w:rsid w:val="00EF0514"/>
    <w:rsid w:val="00EF0AF8"/>
    <w:rsid w:val="00EF1813"/>
    <w:rsid w:val="00EF1AA5"/>
    <w:rsid w:val="00EF2EB0"/>
    <w:rsid w:val="00EF49BC"/>
    <w:rsid w:val="00EF4F09"/>
    <w:rsid w:val="00EF5923"/>
    <w:rsid w:val="00EF6043"/>
    <w:rsid w:val="00EF7622"/>
    <w:rsid w:val="00EF7996"/>
    <w:rsid w:val="00F00426"/>
    <w:rsid w:val="00F010A2"/>
    <w:rsid w:val="00F010D6"/>
    <w:rsid w:val="00F01649"/>
    <w:rsid w:val="00F02280"/>
    <w:rsid w:val="00F03044"/>
    <w:rsid w:val="00F031FD"/>
    <w:rsid w:val="00F036F9"/>
    <w:rsid w:val="00F045E3"/>
    <w:rsid w:val="00F04B07"/>
    <w:rsid w:val="00F05477"/>
    <w:rsid w:val="00F060E1"/>
    <w:rsid w:val="00F067A5"/>
    <w:rsid w:val="00F07B6D"/>
    <w:rsid w:val="00F10868"/>
    <w:rsid w:val="00F11129"/>
    <w:rsid w:val="00F11860"/>
    <w:rsid w:val="00F11C10"/>
    <w:rsid w:val="00F11E8A"/>
    <w:rsid w:val="00F11F4D"/>
    <w:rsid w:val="00F12DB1"/>
    <w:rsid w:val="00F12FDA"/>
    <w:rsid w:val="00F138B1"/>
    <w:rsid w:val="00F1437D"/>
    <w:rsid w:val="00F150CE"/>
    <w:rsid w:val="00F152FA"/>
    <w:rsid w:val="00F15827"/>
    <w:rsid w:val="00F15B21"/>
    <w:rsid w:val="00F16A98"/>
    <w:rsid w:val="00F16BE8"/>
    <w:rsid w:val="00F16C41"/>
    <w:rsid w:val="00F1700A"/>
    <w:rsid w:val="00F20380"/>
    <w:rsid w:val="00F206AE"/>
    <w:rsid w:val="00F206D1"/>
    <w:rsid w:val="00F20C55"/>
    <w:rsid w:val="00F20E81"/>
    <w:rsid w:val="00F2146E"/>
    <w:rsid w:val="00F21903"/>
    <w:rsid w:val="00F21C4A"/>
    <w:rsid w:val="00F22315"/>
    <w:rsid w:val="00F22A15"/>
    <w:rsid w:val="00F22CF7"/>
    <w:rsid w:val="00F22F0C"/>
    <w:rsid w:val="00F232D7"/>
    <w:rsid w:val="00F23359"/>
    <w:rsid w:val="00F23719"/>
    <w:rsid w:val="00F25331"/>
    <w:rsid w:val="00F26EA7"/>
    <w:rsid w:val="00F272DA"/>
    <w:rsid w:val="00F30AF6"/>
    <w:rsid w:val="00F31129"/>
    <w:rsid w:val="00F3188D"/>
    <w:rsid w:val="00F31FAE"/>
    <w:rsid w:val="00F32086"/>
    <w:rsid w:val="00F3224E"/>
    <w:rsid w:val="00F32C68"/>
    <w:rsid w:val="00F32F57"/>
    <w:rsid w:val="00F3441C"/>
    <w:rsid w:val="00F346E0"/>
    <w:rsid w:val="00F34885"/>
    <w:rsid w:val="00F35D57"/>
    <w:rsid w:val="00F360A9"/>
    <w:rsid w:val="00F36209"/>
    <w:rsid w:val="00F37021"/>
    <w:rsid w:val="00F37484"/>
    <w:rsid w:val="00F4075E"/>
    <w:rsid w:val="00F4095D"/>
    <w:rsid w:val="00F40A52"/>
    <w:rsid w:val="00F40D18"/>
    <w:rsid w:val="00F411BB"/>
    <w:rsid w:val="00F4188C"/>
    <w:rsid w:val="00F41BE7"/>
    <w:rsid w:val="00F424D0"/>
    <w:rsid w:val="00F42A06"/>
    <w:rsid w:val="00F42C32"/>
    <w:rsid w:val="00F42D0D"/>
    <w:rsid w:val="00F43738"/>
    <w:rsid w:val="00F44001"/>
    <w:rsid w:val="00F44B0B"/>
    <w:rsid w:val="00F45FBB"/>
    <w:rsid w:val="00F46C0A"/>
    <w:rsid w:val="00F471DB"/>
    <w:rsid w:val="00F47996"/>
    <w:rsid w:val="00F47CAC"/>
    <w:rsid w:val="00F47F30"/>
    <w:rsid w:val="00F50240"/>
    <w:rsid w:val="00F503BD"/>
    <w:rsid w:val="00F5049B"/>
    <w:rsid w:val="00F507D5"/>
    <w:rsid w:val="00F50937"/>
    <w:rsid w:val="00F5143E"/>
    <w:rsid w:val="00F51714"/>
    <w:rsid w:val="00F53397"/>
    <w:rsid w:val="00F533E4"/>
    <w:rsid w:val="00F53A7F"/>
    <w:rsid w:val="00F53A9D"/>
    <w:rsid w:val="00F55192"/>
    <w:rsid w:val="00F562C7"/>
    <w:rsid w:val="00F57D47"/>
    <w:rsid w:val="00F57F09"/>
    <w:rsid w:val="00F60956"/>
    <w:rsid w:val="00F6153B"/>
    <w:rsid w:val="00F6384F"/>
    <w:rsid w:val="00F64B78"/>
    <w:rsid w:val="00F65451"/>
    <w:rsid w:val="00F66365"/>
    <w:rsid w:val="00F6655E"/>
    <w:rsid w:val="00F66926"/>
    <w:rsid w:val="00F66A5D"/>
    <w:rsid w:val="00F66D3E"/>
    <w:rsid w:val="00F67398"/>
    <w:rsid w:val="00F6776F"/>
    <w:rsid w:val="00F70119"/>
    <w:rsid w:val="00F71071"/>
    <w:rsid w:val="00F71B50"/>
    <w:rsid w:val="00F71EAC"/>
    <w:rsid w:val="00F72910"/>
    <w:rsid w:val="00F72ADE"/>
    <w:rsid w:val="00F73158"/>
    <w:rsid w:val="00F73EF3"/>
    <w:rsid w:val="00F743DA"/>
    <w:rsid w:val="00F749EF"/>
    <w:rsid w:val="00F75E76"/>
    <w:rsid w:val="00F76287"/>
    <w:rsid w:val="00F775AE"/>
    <w:rsid w:val="00F7772C"/>
    <w:rsid w:val="00F777D1"/>
    <w:rsid w:val="00F77CCD"/>
    <w:rsid w:val="00F77E36"/>
    <w:rsid w:val="00F80350"/>
    <w:rsid w:val="00F807C6"/>
    <w:rsid w:val="00F819F7"/>
    <w:rsid w:val="00F82548"/>
    <w:rsid w:val="00F841E3"/>
    <w:rsid w:val="00F8479F"/>
    <w:rsid w:val="00F847E9"/>
    <w:rsid w:val="00F84CA3"/>
    <w:rsid w:val="00F84F73"/>
    <w:rsid w:val="00F85187"/>
    <w:rsid w:val="00F856E3"/>
    <w:rsid w:val="00F85F45"/>
    <w:rsid w:val="00F85F4E"/>
    <w:rsid w:val="00F86050"/>
    <w:rsid w:val="00F86AD3"/>
    <w:rsid w:val="00F87F86"/>
    <w:rsid w:val="00F90E22"/>
    <w:rsid w:val="00F90F0D"/>
    <w:rsid w:val="00F92861"/>
    <w:rsid w:val="00F92DAE"/>
    <w:rsid w:val="00F936ED"/>
    <w:rsid w:val="00F9502C"/>
    <w:rsid w:val="00F95974"/>
    <w:rsid w:val="00F959EE"/>
    <w:rsid w:val="00F95DB3"/>
    <w:rsid w:val="00F95E26"/>
    <w:rsid w:val="00F9698A"/>
    <w:rsid w:val="00F96AAF"/>
    <w:rsid w:val="00F96CDB"/>
    <w:rsid w:val="00F974F9"/>
    <w:rsid w:val="00F97C80"/>
    <w:rsid w:val="00FA11E0"/>
    <w:rsid w:val="00FA201B"/>
    <w:rsid w:val="00FA234E"/>
    <w:rsid w:val="00FA2644"/>
    <w:rsid w:val="00FA2878"/>
    <w:rsid w:val="00FA2D7A"/>
    <w:rsid w:val="00FA375B"/>
    <w:rsid w:val="00FA42BF"/>
    <w:rsid w:val="00FA4CCB"/>
    <w:rsid w:val="00FA51FE"/>
    <w:rsid w:val="00FA7258"/>
    <w:rsid w:val="00FA7499"/>
    <w:rsid w:val="00FA7889"/>
    <w:rsid w:val="00FB114C"/>
    <w:rsid w:val="00FB192B"/>
    <w:rsid w:val="00FB1A0D"/>
    <w:rsid w:val="00FB1F23"/>
    <w:rsid w:val="00FB2956"/>
    <w:rsid w:val="00FB2E32"/>
    <w:rsid w:val="00FB341F"/>
    <w:rsid w:val="00FB54FE"/>
    <w:rsid w:val="00FB65E2"/>
    <w:rsid w:val="00FB6B1F"/>
    <w:rsid w:val="00FB70C0"/>
    <w:rsid w:val="00FB7B8A"/>
    <w:rsid w:val="00FC0314"/>
    <w:rsid w:val="00FC060D"/>
    <w:rsid w:val="00FC0E24"/>
    <w:rsid w:val="00FC1205"/>
    <w:rsid w:val="00FC132A"/>
    <w:rsid w:val="00FC1A53"/>
    <w:rsid w:val="00FC1AA4"/>
    <w:rsid w:val="00FC3B23"/>
    <w:rsid w:val="00FC5B0F"/>
    <w:rsid w:val="00FC5E74"/>
    <w:rsid w:val="00FC618A"/>
    <w:rsid w:val="00FC6273"/>
    <w:rsid w:val="00FC7A00"/>
    <w:rsid w:val="00FC7AB7"/>
    <w:rsid w:val="00FD0250"/>
    <w:rsid w:val="00FD05FE"/>
    <w:rsid w:val="00FD06DD"/>
    <w:rsid w:val="00FD09BC"/>
    <w:rsid w:val="00FD0E25"/>
    <w:rsid w:val="00FD180E"/>
    <w:rsid w:val="00FD4171"/>
    <w:rsid w:val="00FD4310"/>
    <w:rsid w:val="00FD4652"/>
    <w:rsid w:val="00FD530F"/>
    <w:rsid w:val="00FD5597"/>
    <w:rsid w:val="00FD6DBF"/>
    <w:rsid w:val="00FE02BD"/>
    <w:rsid w:val="00FE1787"/>
    <w:rsid w:val="00FE324D"/>
    <w:rsid w:val="00FE346A"/>
    <w:rsid w:val="00FE3C2C"/>
    <w:rsid w:val="00FE3DCF"/>
    <w:rsid w:val="00FE454C"/>
    <w:rsid w:val="00FE4724"/>
    <w:rsid w:val="00FE4819"/>
    <w:rsid w:val="00FE5679"/>
    <w:rsid w:val="00FE596E"/>
    <w:rsid w:val="00FE5C8E"/>
    <w:rsid w:val="00FE6D78"/>
    <w:rsid w:val="00FE6E0B"/>
    <w:rsid w:val="00FE7744"/>
    <w:rsid w:val="00FE77A8"/>
    <w:rsid w:val="00FF0528"/>
    <w:rsid w:val="00FF1C7A"/>
    <w:rsid w:val="00FF2234"/>
    <w:rsid w:val="00FF2330"/>
    <w:rsid w:val="00FF28F9"/>
    <w:rsid w:val="00FF3325"/>
    <w:rsid w:val="00FF3E15"/>
    <w:rsid w:val="00FF4694"/>
    <w:rsid w:val="00FF5EEC"/>
    <w:rsid w:val="00FF60A7"/>
    <w:rsid w:val="00FF6B4D"/>
    <w:rsid w:val="00FF6FDD"/>
    <w:rsid w:val="00FF7FE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3f9fb"/>
    </o:shapedefaults>
    <o:shapelayout v:ext="edit">
      <o:idmap v:ext="edit" data="1"/>
    </o:shapelayout>
  </w:shapeDefaults>
  <w:decimalSymbol w:val=","/>
  <w:listSeparator w:val=";"/>
  <w14:docId w14:val="6B98B56B"/>
  <w15:docId w15:val="{426160C6-B4F7-4DB1-9417-7B85C3F8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F0D"/>
    <w:pPr>
      <w:spacing w:before="120" w:after="120" w:line="240" w:lineRule="atLeast"/>
      <w:jc w:val="both"/>
    </w:pPr>
    <w:rPr>
      <w:rFonts w:ascii="Calibri" w:eastAsia="Times New Roman" w:hAnsi="Calibri" w:cs="Times New Roman"/>
      <w:sz w:val="20"/>
      <w:szCs w:val="24"/>
      <w:lang w:eastAsia="el-GR"/>
    </w:rPr>
  </w:style>
  <w:style w:type="paragraph" w:styleId="Heading1">
    <w:name w:val="heading 1"/>
    <w:basedOn w:val="Normal"/>
    <w:next w:val="Normal"/>
    <w:link w:val="Heading1Char"/>
    <w:uiPriority w:val="9"/>
    <w:qFormat/>
    <w:rsid w:val="00857418"/>
    <w:pPr>
      <w:pageBreakBefore/>
      <w:numPr>
        <w:numId w:val="5"/>
      </w:numPr>
      <w:shd w:val="clear" w:color="auto" w:fill="31849B" w:themeFill="accent5" w:themeFillShade="BF"/>
      <w:ind w:left="284" w:hanging="284"/>
      <w:jc w:val="left"/>
      <w:outlineLvl w:val="0"/>
    </w:pPr>
    <w:rPr>
      <w:rFonts w:cs="Arial"/>
      <w:b/>
      <w:bCs/>
      <w:color w:val="FFFFFF" w:themeColor="background1"/>
      <w:kern w:val="32"/>
      <w:sz w:val="24"/>
      <w:szCs w:val="32"/>
      <w:lang w:eastAsia="en-US"/>
    </w:rPr>
  </w:style>
  <w:style w:type="paragraph" w:styleId="Heading2">
    <w:name w:val="heading 2"/>
    <w:basedOn w:val="Normal"/>
    <w:next w:val="Normal"/>
    <w:link w:val="Heading2Char"/>
    <w:uiPriority w:val="9"/>
    <w:qFormat/>
    <w:rsid w:val="00473DE1"/>
    <w:pPr>
      <w:keepNext/>
      <w:numPr>
        <w:ilvl w:val="1"/>
        <w:numId w:val="5"/>
      </w:numPr>
      <w:shd w:val="clear" w:color="auto" w:fill="B6DDE8" w:themeFill="accent5" w:themeFillTint="66"/>
      <w:spacing w:before="240" w:line="300" w:lineRule="atLeast"/>
      <w:ind w:left="578" w:hanging="578"/>
      <w:outlineLvl w:val="1"/>
    </w:pPr>
    <w:rPr>
      <w:rFonts w:asciiTheme="minorHAnsi" w:hAnsiTheme="minorHAnsi" w:cstheme="minorHAnsi"/>
      <w:b/>
      <w:bCs/>
      <w:iCs/>
      <w:color w:val="215868" w:themeColor="accent5" w:themeShade="80"/>
      <w:sz w:val="22"/>
      <w:szCs w:val="22"/>
      <w:lang w:eastAsia="en-US"/>
    </w:rPr>
  </w:style>
  <w:style w:type="paragraph" w:styleId="Heading3">
    <w:name w:val="heading 3"/>
    <w:basedOn w:val="Normal"/>
    <w:next w:val="Normal"/>
    <w:link w:val="Heading3Char"/>
    <w:uiPriority w:val="9"/>
    <w:qFormat/>
    <w:rsid w:val="00473DE1"/>
    <w:pPr>
      <w:keepNext/>
      <w:numPr>
        <w:ilvl w:val="2"/>
        <w:numId w:val="5"/>
      </w:numPr>
      <w:pBdr>
        <w:bottom w:val="double" w:sz="4" w:space="1" w:color="92CDDC" w:themeColor="accent5" w:themeTint="99"/>
      </w:pBdr>
      <w:tabs>
        <w:tab w:val="left" w:pos="728"/>
      </w:tabs>
      <w:spacing w:before="240" w:line="260" w:lineRule="atLeast"/>
      <w:outlineLvl w:val="2"/>
    </w:pPr>
    <w:rPr>
      <w:rFonts w:cs="Arial"/>
      <w:b/>
      <w:bCs/>
      <w:color w:val="31849B" w:themeColor="accent5" w:themeShade="BF"/>
      <w:sz w:val="22"/>
      <w:szCs w:val="20"/>
      <w:lang w:eastAsia="en-US"/>
    </w:rPr>
  </w:style>
  <w:style w:type="paragraph" w:styleId="Heading4">
    <w:name w:val="heading 4"/>
    <w:basedOn w:val="Normal"/>
    <w:next w:val="Normal"/>
    <w:link w:val="Heading4Char"/>
    <w:uiPriority w:val="9"/>
    <w:qFormat/>
    <w:rsid w:val="00CA04DD"/>
    <w:pPr>
      <w:numPr>
        <w:ilvl w:val="3"/>
        <w:numId w:val="5"/>
      </w:numPr>
      <w:tabs>
        <w:tab w:val="left" w:pos="709"/>
      </w:tabs>
      <w:spacing w:before="240"/>
      <w:ind w:left="709" w:hanging="722"/>
      <w:outlineLvl w:val="3"/>
    </w:pPr>
    <w:rPr>
      <w:bCs/>
      <w:i/>
      <w:color w:val="31849B" w:themeColor="accent5" w:themeShade="BF"/>
      <w:sz w:val="22"/>
      <w:szCs w:val="28"/>
      <w:lang w:eastAsia="en-US"/>
    </w:rPr>
  </w:style>
  <w:style w:type="paragraph" w:styleId="Heading5">
    <w:name w:val="heading 5"/>
    <w:basedOn w:val="Normal"/>
    <w:next w:val="Normal"/>
    <w:link w:val="Heading5Char"/>
    <w:uiPriority w:val="9"/>
    <w:qFormat/>
    <w:rsid w:val="00E07D08"/>
    <w:pPr>
      <w:keepNext/>
      <w:pBdr>
        <w:bottom w:val="dotted" w:sz="12" w:space="1" w:color="92CDDC" w:themeColor="accent5" w:themeTint="99"/>
      </w:pBdr>
      <w:spacing w:before="240" w:line="280" w:lineRule="atLeast"/>
      <w:outlineLvl w:val="4"/>
    </w:pPr>
    <w:rPr>
      <w:rFonts w:cs="Calibri"/>
      <w:b/>
      <w:i/>
      <w:color w:val="31849B" w:themeColor="accent5" w:themeShade="BF"/>
      <w:sz w:val="22"/>
      <w:szCs w:val="22"/>
    </w:rPr>
  </w:style>
  <w:style w:type="paragraph" w:styleId="Heading6">
    <w:name w:val="heading 6"/>
    <w:basedOn w:val="Normal"/>
    <w:next w:val="Normal"/>
    <w:link w:val="Heading6Char"/>
    <w:uiPriority w:val="9"/>
    <w:qFormat/>
    <w:rsid w:val="00206ECA"/>
    <w:pPr>
      <w:keepNext/>
      <w:spacing w:before="240"/>
      <w:outlineLvl w:val="5"/>
    </w:pPr>
    <w:rPr>
      <w:bCs/>
      <w:i/>
      <w:color w:val="F79646" w:themeColor="accent6"/>
      <w:sz w:val="22"/>
      <w:szCs w:val="22"/>
      <w:u w:val="single" w:color="FBD4B4" w:themeColor="accent6" w:themeTint="66"/>
    </w:rPr>
  </w:style>
  <w:style w:type="paragraph" w:styleId="Heading7">
    <w:name w:val="heading 7"/>
    <w:basedOn w:val="Normal"/>
    <w:next w:val="Normal"/>
    <w:link w:val="Heading7Char"/>
    <w:uiPriority w:val="9"/>
    <w:qFormat/>
    <w:rsid w:val="001A6513"/>
    <w:pPr>
      <w:numPr>
        <w:ilvl w:val="6"/>
        <w:numId w:val="5"/>
      </w:numPr>
      <w:spacing w:after="60"/>
      <w:outlineLvl w:val="6"/>
    </w:pPr>
    <w:rPr>
      <w:rFonts w:ascii="Times New Roman" w:hAnsi="Times New Roman"/>
      <w:sz w:val="24"/>
    </w:rPr>
  </w:style>
  <w:style w:type="paragraph" w:styleId="Heading8">
    <w:name w:val="heading 8"/>
    <w:basedOn w:val="Normal"/>
    <w:next w:val="Normal"/>
    <w:link w:val="Heading8Char"/>
    <w:uiPriority w:val="9"/>
    <w:qFormat/>
    <w:rsid w:val="001A6513"/>
    <w:pPr>
      <w:numPr>
        <w:ilvl w:val="7"/>
        <w:numId w:val="5"/>
      </w:numPr>
      <w:spacing w:after="60"/>
      <w:outlineLvl w:val="7"/>
    </w:pPr>
    <w:rPr>
      <w:rFonts w:ascii="Times New Roman" w:hAnsi="Times New Roman"/>
      <w:i/>
      <w:iCs/>
      <w:sz w:val="24"/>
    </w:rPr>
  </w:style>
  <w:style w:type="paragraph" w:styleId="Heading9">
    <w:name w:val="heading 9"/>
    <w:basedOn w:val="Normal"/>
    <w:next w:val="Normal"/>
    <w:link w:val="Heading9Char"/>
    <w:uiPriority w:val="9"/>
    <w:qFormat/>
    <w:rsid w:val="001A6513"/>
    <w:pPr>
      <w:numPr>
        <w:ilvl w:val="8"/>
        <w:numId w:val="5"/>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418"/>
    <w:rPr>
      <w:rFonts w:ascii="Calibri" w:eastAsia="Times New Roman" w:hAnsi="Calibri" w:cs="Arial"/>
      <w:b/>
      <w:bCs/>
      <w:color w:val="FFFFFF" w:themeColor="background1"/>
      <w:kern w:val="32"/>
      <w:sz w:val="24"/>
      <w:szCs w:val="32"/>
      <w:shd w:val="clear" w:color="auto" w:fill="31849B" w:themeFill="accent5" w:themeFillShade="BF"/>
      <w:lang w:eastAsia="en-US"/>
    </w:rPr>
  </w:style>
  <w:style w:type="character" w:customStyle="1" w:styleId="Heading2Char">
    <w:name w:val="Heading 2 Char"/>
    <w:basedOn w:val="DefaultParagraphFont"/>
    <w:link w:val="Heading2"/>
    <w:uiPriority w:val="9"/>
    <w:rsid w:val="00473DE1"/>
    <w:rPr>
      <w:rFonts w:eastAsia="Times New Roman" w:cstheme="minorHAnsi"/>
      <w:b/>
      <w:bCs/>
      <w:iCs/>
      <w:color w:val="215868" w:themeColor="accent5" w:themeShade="80"/>
      <w:shd w:val="clear" w:color="auto" w:fill="B6DDE8" w:themeFill="accent5" w:themeFillTint="66"/>
      <w:lang w:eastAsia="en-US"/>
    </w:rPr>
  </w:style>
  <w:style w:type="character" w:customStyle="1" w:styleId="Heading3Char">
    <w:name w:val="Heading 3 Char"/>
    <w:basedOn w:val="DefaultParagraphFont"/>
    <w:link w:val="Heading3"/>
    <w:uiPriority w:val="9"/>
    <w:rsid w:val="00473DE1"/>
    <w:rPr>
      <w:rFonts w:ascii="Calibri" w:eastAsia="Times New Roman" w:hAnsi="Calibri" w:cs="Arial"/>
      <w:b/>
      <w:bCs/>
      <w:color w:val="31849B" w:themeColor="accent5" w:themeShade="BF"/>
      <w:szCs w:val="20"/>
      <w:lang w:eastAsia="en-US"/>
    </w:rPr>
  </w:style>
  <w:style w:type="character" w:customStyle="1" w:styleId="Heading4Char">
    <w:name w:val="Heading 4 Char"/>
    <w:basedOn w:val="DefaultParagraphFont"/>
    <w:link w:val="Heading4"/>
    <w:uiPriority w:val="9"/>
    <w:rsid w:val="00CA04DD"/>
    <w:rPr>
      <w:rFonts w:ascii="Calibri" w:eastAsia="Times New Roman" w:hAnsi="Calibri" w:cs="Times New Roman"/>
      <w:bCs/>
      <w:i/>
      <w:color w:val="31849B" w:themeColor="accent5" w:themeShade="BF"/>
      <w:szCs w:val="28"/>
      <w:lang w:eastAsia="en-US"/>
    </w:rPr>
  </w:style>
  <w:style w:type="character" w:customStyle="1" w:styleId="Heading5Char">
    <w:name w:val="Heading 5 Char"/>
    <w:basedOn w:val="DefaultParagraphFont"/>
    <w:link w:val="Heading5"/>
    <w:uiPriority w:val="9"/>
    <w:rsid w:val="00E07D08"/>
    <w:rPr>
      <w:rFonts w:ascii="Calibri" w:eastAsia="Times New Roman" w:hAnsi="Calibri" w:cs="Calibri"/>
      <w:b/>
      <w:i/>
      <w:color w:val="31849B" w:themeColor="accent5" w:themeShade="BF"/>
      <w:lang w:eastAsia="el-GR"/>
    </w:rPr>
  </w:style>
  <w:style w:type="character" w:customStyle="1" w:styleId="Heading6Char">
    <w:name w:val="Heading 6 Char"/>
    <w:basedOn w:val="DefaultParagraphFont"/>
    <w:link w:val="Heading6"/>
    <w:uiPriority w:val="9"/>
    <w:rsid w:val="00206ECA"/>
    <w:rPr>
      <w:rFonts w:ascii="Calibri" w:eastAsia="Times New Roman" w:hAnsi="Calibri" w:cs="Times New Roman"/>
      <w:bCs/>
      <w:i/>
      <w:color w:val="F79646" w:themeColor="accent6"/>
      <w:u w:val="single" w:color="FBD4B4" w:themeColor="accent6" w:themeTint="66"/>
      <w:lang w:eastAsia="el-GR"/>
    </w:rPr>
  </w:style>
  <w:style w:type="character" w:customStyle="1" w:styleId="Heading7Char">
    <w:name w:val="Heading 7 Char"/>
    <w:basedOn w:val="DefaultParagraphFont"/>
    <w:link w:val="Heading7"/>
    <w:uiPriority w:val="9"/>
    <w:rsid w:val="001A6513"/>
    <w:rPr>
      <w:rFonts w:ascii="Times New Roman" w:eastAsia="Times New Roman" w:hAnsi="Times New Roman" w:cs="Times New Roman"/>
      <w:sz w:val="24"/>
      <w:szCs w:val="24"/>
      <w:lang w:eastAsia="el-GR"/>
    </w:rPr>
  </w:style>
  <w:style w:type="character" w:customStyle="1" w:styleId="Heading8Char">
    <w:name w:val="Heading 8 Char"/>
    <w:basedOn w:val="DefaultParagraphFont"/>
    <w:link w:val="Heading8"/>
    <w:uiPriority w:val="9"/>
    <w:rsid w:val="001A6513"/>
    <w:rPr>
      <w:rFonts w:ascii="Times New Roman" w:eastAsia="Times New Roman" w:hAnsi="Times New Roman" w:cs="Times New Roman"/>
      <w:i/>
      <w:iCs/>
      <w:sz w:val="24"/>
      <w:szCs w:val="24"/>
      <w:lang w:eastAsia="el-GR"/>
    </w:rPr>
  </w:style>
  <w:style w:type="character" w:customStyle="1" w:styleId="Heading9Char">
    <w:name w:val="Heading 9 Char"/>
    <w:basedOn w:val="DefaultParagraphFont"/>
    <w:link w:val="Heading9"/>
    <w:uiPriority w:val="9"/>
    <w:rsid w:val="001A6513"/>
    <w:rPr>
      <w:rFonts w:ascii="Calibri" w:eastAsia="Times New Roman" w:hAnsi="Calibri" w:cs="Arial"/>
      <w:sz w:val="20"/>
      <w:lang w:eastAsia="el-GR"/>
    </w:rPr>
  </w:style>
  <w:style w:type="paragraph" w:styleId="ListParagraph">
    <w:name w:val="List Paragraph"/>
    <w:basedOn w:val="Normal"/>
    <w:link w:val="ListParagraphChar"/>
    <w:uiPriority w:val="34"/>
    <w:qFormat/>
    <w:rsid w:val="001A6513"/>
    <w:pPr>
      <w:ind w:left="720"/>
      <w:contextualSpacing/>
    </w:pPr>
  </w:style>
  <w:style w:type="character" w:customStyle="1" w:styleId="ListParagraphChar">
    <w:name w:val="List Paragraph Char"/>
    <w:basedOn w:val="DefaultParagraphFont"/>
    <w:link w:val="ListParagraph"/>
    <w:uiPriority w:val="34"/>
    <w:rsid w:val="001A6513"/>
    <w:rPr>
      <w:rFonts w:ascii="Calibri" w:eastAsia="Times New Roman" w:hAnsi="Calibri" w:cs="Times New Roman"/>
      <w:szCs w:val="24"/>
      <w:lang w:eastAsia="el-GR"/>
    </w:rPr>
  </w:style>
  <w:style w:type="paragraph" w:customStyle="1" w:styleId="Default">
    <w:name w:val="Default"/>
    <w:rsid w:val="000576E9"/>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0576E9"/>
    <w:rPr>
      <w:rFonts w:cstheme="minorBidi"/>
      <w:color w:val="auto"/>
    </w:rPr>
  </w:style>
  <w:style w:type="paragraph" w:customStyle="1" w:styleId="CM3">
    <w:name w:val="CM3"/>
    <w:basedOn w:val="Default"/>
    <w:next w:val="Default"/>
    <w:uiPriority w:val="99"/>
    <w:rsid w:val="000576E9"/>
    <w:rPr>
      <w:rFonts w:cstheme="minorBidi"/>
      <w:color w:val="auto"/>
    </w:rPr>
  </w:style>
  <w:style w:type="paragraph" w:styleId="Subtitle">
    <w:name w:val="Subtitle"/>
    <w:basedOn w:val="Normal"/>
    <w:link w:val="SubtitleChar"/>
    <w:qFormat/>
    <w:rsid w:val="000C7587"/>
    <w:pPr>
      <w:spacing w:after="0"/>
    </w:pPr>
    <w:rPr>
      <w:rFonts w:ascii="Times New Roman" w:hAnsi="Times New Roman"/>
      <w:sz w:val="24"/>
      <w:szCs w:val="20"/>
    </w:rPr>
  </w:style>
  <w:style w:type="character" w:customStyle="1" w:styleId="SubtitleChar">
    <w:name w:val="Subtitle Char"/>
    <w:basedOn w:val="DefaultParagraphFont"/>
    <w:link w:val="Subtitle"/>
    <w:rsid w:val="000C7587"/>
    <w:rPr>
      <w:rFonts w:ascii="Times New Roman" w:eastAsia="Times New Roman" w:hAnsi="Times New Roman" w:cs="Times New Roman"/>
      <w:sz w:val="24"/>
      <w:szCs w:val="20"/>
      <w:lang w:eastAsia="el-GR"/>
    </w:rPr>
  </w:style>
  <w:style w:type="table" w:styleId="TableGrid">
    <w:name w:val="Table Grid"/>
    <w:basedOn w:val="TableNormal"/>
    <w:uiPriority w:val="59"/>
    <w:rsid w:val="001A6513"/>
    <w:pPr>
      <w:spacing w:after="0" w:line="240" w:lineRule="auto"/>
    </w:pPr>
    <w:rPr>
      <w:rFonts w:ascii="Times New Roman" w:eastAsia="Times New Roman" w:hAnsi="Times New Roman"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d,Headertext,Header Titlos Prosforas,Titlos Prosforas"/>
    <w:link w:val="HeaderChar"/>
    <w:unhideWhenUsed/>
    <w:rsid w:val="001A6513"/>
    <w:pPr>
      <w:tabs>
        <w:tab w:val="center" w:pos="4153"/>
        <w:tab w:val="right" w:pos="8306"/>
      </w:tabs>
      <w:spacing w:after="0" w:line="240" w:lineRule="auto"/>
    </w:pPr>
    <w:rPr>
      <w:rFonts w:ascii="Calibri" w:eastAsia="Times New Roman" w:hAnsi="Calibri" w:cs="Times New Roman"/>
      <w:sz w:val="20"/>
      <w:szCs w:val="24"/>
      <w:lang w:eastAsia="el-GR"/>
    </w:rPr>
  </w:style>
  <w:style w:type="character" w:customStyle="1" w:styleId="HeaderChar">
    <w:name w:val="Header Char"/>
    <w:aliases w:val="hd Char,Headertext Char,Header Titlos Prosforas Char,Titlos Prosforas Char"/>
    <w:basedOn w:val="DefaultParagraphFont"/>
    <w:link w:val="Header"/>
    <w:rsid w:val="001A6513"/>
    <w:rPr>
      <w:rFonts w:ascii="Calibri" w:eastAsia="Times New Roman" w:hAnsi="Calibri" w:cs="Times New Roman"/>
      <w:sz w:val="20"/>
      <w:szCs w:val="24"/>
      <w:lang w:eastAsia="el-GR"/>
    </w:rPr>
  </w:style>
  <w:style w:type="paragraph" w:styleId="Footer">
    <w:name w:val="footer"/>
    <w:aliases w:val="ft,fo,Fakelos_Enotita_Sel,notes and source text,Footer1 Char,f1 Char,_υποσέλιδο Char,HeaderSfragida Char,notes and source text Char,f1,_υποσέλιδο,HeaderSfragida,f Char,ft1,fo1"/>
    <w:basedOn w:val="Normal"/>
    <w:link w:val="FooterChar"/>
    <w:uiPriority w:val="99"/>
    <w:unhideWhenUsed/>
    <w:rsid w:val="00782933"/>
    <w:pPr>
      <w:tabs>
        <w:tab w:val="center" w:pos="4153"/>
        <w:tab w:val="right" w:pos="8306"/>
      </w:tabs>
      <w:spacing w:after="0"/>
    </w:pPr>
  </w:style>
  <w:style w:type="character" w:customStyle="1" w:styleId="FooterChar">
    <w:name w:val="Footer Char"/>
    <w:aliases w:val="ft Char,fo Char,Fakelos_Enotita_Sel Char,notes and source text Char1,Footer1 Char Char,f1 Char Char,_υποσέλιδο Char Char,HeaderSfragida Char Char,notes and source text Char Char,f1 Char1,_υποσέλιδο Char1,HeaderSfragida Char1,f Char Char"/>
    <w:basedOn w:val="DefaultParagraphFont"/>
    <w:link w:val="Footer"/>
    <w:uiPriority w:val="99"/>
    <w:rsid w:val="00782933"/>
  </w:style>
  <w:style w:type="paragraph" w:styleId="BalloonText">
    <w:name w:val="Balloon Text"/>
    <w:basedOn w:val="Normal"/>
    <w:link w:val="BalloonTextChar"/>
    <w:uiPriority w:val="99"/>
    <w:semiHidden/>
    <w:unhideWhenUsed/>
    <w:rsid w:val="001A651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513"/>
    <w:rPr>
      <w:rFonts w:ascii="Tahoma" w:eastAsia="Times New Roman" w:hAnsi="Tahoma" w:cs="Tahoma"/>
      <w:sz w:val="16"/>
      <w:szCs w:val="16"/>
      <w:lang w:eastAsia="el-GR"/>
    </w:rPr>
  </w:style>
  <w:style w:type="paragraph" w:customStyle="1" w:styleId="List1">
    <w:name w:val="List1"/>
    <w:qFormat/>
    <w:rsid w:val="001A6513"/>
    <w:pPr>
      <w:numPr>
        <w:numId w:val="6"/>
      </w:numPr>
      <w:spacing w:after="0" w:line="240" w:lineRule="auto"/>
    </w:pPr>
    <w:rPr>
      <w:rFonts w:ascii="Calibri" w:eastAsia="Times New Roman" w:hAnsi="Calibri" w:cs="Times New Roman"/>
      <w:sz w:val="20"/>
      <w:szCs w:val="24"/>
      <w:lang w:eastAsia="el-GR"/>
    </w:rPr>
  </w:style>
  <w:style w:type="paragraph" w:customStyle="1" w:styleId="a0">
    <w:name w:val="Υποερωτήματα"/>
    <w:basedOn w:val="ListParagraph"/>
    <w:link w:val="Char"/>
    <w:qFormat/>
    <w:rsid w:val="001A6513"/>
    <w:pPr>
      <w:numPr>
        <w:numId w:val="7"/>
      </w:numPr>
      <w:tabs>
        <w:tab w:val="left" w:pos="567"/>
      </w:tabs>
      <w:contextualSpacing w:val="0"/>
    </w:pPr>
  </w:style>
  <w:style w:type="character" w:customStyle="1" w:styleId="Char">
    <w:name w:val="Υποερωτήματα Char"/>
    <w:basedOn w:val="DefaultParagraphFont"/>
    <w:link w:val="a0"/>
    <w:rsid w:val="001A6513"/>
    <w:rPr>
      <w:rFonts w:ascii="Calibri" w:eastAsia="Times New Roman" w:hAnsi="Calibri" w:cs="Times New Roman"/>
      <w:sz w:val="20"/>
      <w:szCs w:val="24"/>
      <w:lang w:eastAsia="el-GR"/>
    </w:rPr>
  </w:style>
  <w:style w:type="paragraph" w:customStyle="1" w:styleId="pefada8">
    <w:name w:val=".p..efa..da 8"/>
    <w:basedOn w:val="Normal"/>
    <w:next w:val="Normal"/>
    <w:uiPriority w:val="99"/>
    <w:rsid w:val="001A6513"/>
    <w:pPr>
      <w:autoSpaceDE w:val="0"/>
      <w:autoSpaceDN w:val="0"/>
      <w:adjustRightInd w:val="0"/>
      <w:spacing w:before="0" w:after="0"/>
      <w:jc w:val="left"/>
    </w:pPr>
    <w:rPr>
      <w:rFonts w:ascii="Arial" w:eastAsia="Calibri" w:hAnsi="Arial" w:cs="Arial"/>
      <w:sz w:val="24"/>
    </w:rPr>
  </w:style>
  <w:style w:type="paragraph" w:styleId="BodyText">
    <w:name w:val="Body Text"/>
    <w:basedOn w:val="Normal"/>
    <w:link w:val="BodyTextChar"/>
    <w:rsid w:val="001A6513"/>
    <w:pPr>
      <w:spacing w:line="280" w:lineRule="exact"/>
    </w:pPr>
    <w:rPr>
      <w:rFonts w:ascii="Arial" w:hAnsi="Arial" w:cs="Arial"/>
      <w:kern w:val="20"/>
      <w:szCs w:val="20"/>
      <w:lang w:eastAsia="en-US"/>
    </w:rPr>
  </w:style>
  <w:style w:type="character" w:customStyle="1" w:styleId="BodyTextChar">
    <w:name w:val="Body Text Char"/>
    <w:basedOn w:val="DefaultParagraphFont"/>
    <w:link w:val="BodyText"/>
    <w:rsid w:val="001A6513"/>
    <w:rPr>
      <w:rFonts w:ascii="Arial" w:eastAsia="Times New Roman" w:hAnsi="Arial" w:cs="Arial"/>
      <w:kern w:val="20"/>
      <w:szCs w:val="20"/>
      <w:lang w:eastAsia="en-US"/>
    </w:rPr>
  </w:style>
  <w:style w:type="paragraph" w:styleId="BodyText3">
    <w:name w:val="Body Text 3"/>
    <w:basedOn w:val="Normal"/>
    <w:link w:val="BodyText3Char"/>
    <w:uiPriority w:val="99"/>
    <w:semiHidden/>
    <w:unhideWhenUsed/>
    <w:rsid w:val="001A6513"/>
    <w:rPr>
      <w:sz w:val="16"/>
      <w:szCs w:val="16"/>
    </w:rPr>
  </w:style>
  <w:style w:type="character" w:customStyle="1" w:styleId="BodyText3Char">
    <w:name w:val="Body Text 3 Char"/>
    <w:basedOn w:val="DefaultParagraphFont"/>
    <w:link w:val="BodyText3"/>
    <w:uiPriority w:val="99"/>
    <w:semiHidden/>
    <w:rsid w:val="001A6513"/>
    <w:rPr>
      <w:rFonts w:ascii="Calibri" w:eastAsia="Times New Roman" w:hAnsi="Calibri" w:cs="Times New Roman"/>
      <w:sz w:val="16"/>
      <w:szCs w:val="16"/>
      <w:lang w:eastAsia="el-GR"/>
    </w:rPr>
  </w:style>
  <w:style w:type="character" w:styleId="BookTitle">
    <w:name w:val="Book Title"/>
    <w:basedOn w:val="DefaultParagraphFont"/>
    <w:uiPriority w:val="33"/>
    <w:qFormat/>
    <w:rsid w:val="001A6513"/>
    <w:rPr>
      <w:b/>
      <w:bCs/>
      <w:smallCaps/>
      <w:spacing w:val="5"/>
    </w:rPr>
  </w:style>
  <w:style w:type="paragraph" w:customStyle="1" w:styleId="Bullets2">
    <w:name w:val="Bullets 2"/>
    <w:basedOn w:val="Normal"/>
    <w:qFormat/>
    <w:rsid w:val="001A6513"/>
    <w:pPr>
      <w:numPr>
        <w:numId w:val="1"/>
      </w:numPr>
    </w:pPr>
    <w:rPr>
      <w:lang w:eastAsia="en-US"/>
    </w:rPr>
  </w:style>
  <w:style w:type="paragraph" w:customStyle="1" w:styleId="Bullets1">
    <w:name w:val="Bullets1"/>
    <w:basedOn w:val="Normal"/>
    <w:qFormat/>
    <w:rsid w:val="001A6513"/>
    <w:pPr>
      <w:numPr>
        <w:numId w:val="2"/>
      </w:numPr>
    </w:pPr>
    <w:rPr>
      <w:lang w:eastAsia="en-US"/>
    </w:rPr>
  </w:style>
  <w:style w:type="paragraph" w:customStyle="1" w:styleId="Bullets11">
    <w:name w:val="Bullets1.1"/>
    <w:basedOn w:val="Bullets1"/>
    <w:qFormat/>
    <w:rsid w:val="001A6513"/>
    <w:pPr>
      <w:numPr>
        <w:numId w:val="0"/>
      </w:numPr>
    </w:pPr>
  </w:style>
  <w:style w:type="paragraph" w:customStyle="1" w:styleId="Bullets3">
    <w:name w:val="Bullets3"/>
    <w:basedOn w:val="Normal"/>
    <w:qFormat/>
    <w:rsid w:val="00DA444C"/>
    <w:pPr>
      <w:numPr>
        <w:numId w:val="3"/>
      </w:numPr>
    </w:pPr>
    <w:rPr>
      <w:u w:val="single"/>
    </w:rPr>
  </w:style>
  <w:style w:type="paragraph" w:customStyle="1" w:styleId="Bullets4">
    <w:name w:val="Bullets4"/>
    <w:basedOn w:val="Bullets3"/>
    <w:link w:val="Bullets4Char"/>
    <w:qFormat/>
    <w:rsid w:val="0022378C"/>
    <w:pPr>
      <w:numPr>
        <w:numId w:val="4"/>
      </w:numPr>
      <w:spacing w:after="0"/>
    </w:pPr>
    <w:rPr>
      <w:b/>
    </w:rPr>
  </w:style>
  <w:style w:type="paragraph" w:styleId="Caption">
    <w:name w:val="caption"/>
    <w:aliases w:val="Caption Char Char,Caption Char1,Caption Char Char1,Caption Char Char Char Char,Caption1 Char,Caption Char Char Char Char1,Caption Char Char Char1,Caption Char Char Char,Caption1,Caption1 Char Char Char,Caption Char Char4,Caption Char13"/>
    <w:basedOn w:val="Normal"/>
    <w:next w:val="Normal"/>
    <w:link w:val="CaptionChar"/>
    <w:uiPriority w:val="35"/>
    <w:unhideWhenUsed/>
    <w:qFormat/>
    <w:rsid w:val="000E5CE2"/>
    <w:pPr>
      <w:keepNext/>
      <w:spacing w:after="40"/>
    </w:pPr>
    <w:rPr>
      <w:b/>
      <w:bCs/>
      <w:sz w:val="18"/>
      <w:szCs w:val="20"/>
    </w:rPr>
  </w:style>
  <w:style w:type="character" w:customStyle="1" w:styleId="CaptionChar">
    <w:name w:val="Caption Char"/>
    <w:aliases w:val="Caption Char Char Char2,Caption Char1 Char,Caption Char Char1 Char,Caption Char Char Char Char Char,Caption1 Char Char,Caption Char Char Char Char1 Char,Caption Char Char Char1 Char,Caption Char Char Char Char2,Caption1 Char1"/>
    <w:basedOn w:val="DefaultParagraphFont"/>
    <w:link w:val="Caption"/>
    <w:uiPriority w:val="35"/>
    <w:locked/>
    <w:rsid w:val="000E5CE2"/>
    <w:rPr>
      <w:rFonts w:ascii="Calibri" w:eastAsia="Times New Roman" w:hAnsi="Calibri" w:cs="Times New Roman"/>
      <w:b/>
      <w:bCs/>
      <w:sz w:val="18"/>
      <w:szCs w:val="20"/>
      <w:lang w:eastAsia="el-GR"/>
    </w:rPr>
  </w:style>
  <w:style w:type="paragraph" w:customStyle="1" w:styleId="Char0">
    <w:name w:val="Char"/>
    <w:basedOn w:val="Normal"/>
    <w:rsid w:val="001A6513"/>
    <w:pPr>
      <w:spacing w:before="0" w:after="160" w:line="240" w:lineRule="exact"/>
    </w:pPr>
    <w:rPr>
      <w:rFonts w:ascii="Verdana" w:hAnsi="Verdana"/>
      <w:szCs w:val="20"/>
      <w:lang w:val="en-US" w:eastAsia="en-US"/>
    </w:rPr>
  </w:style>
  <w:style w:type="paragraph" w:customStyle="1" w:styleId="CharChar2">
    <w:name w:val="Char Char2"/>
    <w:basedOn w:val="Normal"/>
    <w:rsid w:val="001A6513"/>
    <w:pPr>
      <w:autoSpaceDE w:val="0"/>
      <w:autoSpaceDN w:val="0"/>
      <w:adjustRightInd w:val="0"/>
      <w:spacing w:before="0" w:after="160" w:line="240" w:lineRule="exact"/>
      <w:jc w:val="left"/>
    </w:pPr>
    <w:rPr>
      <w:rFonts w:ascii="Verdana" w:hAnsi="Verdana"/>
      <w:szCs w:val="20"/>
      <w:lang w:val="en-US" w:eastAsia="en-US"/>
    </w:rPr>
  </w:style>
  <w:style w:type="paragraph" w:customStyle="1" w:styleId="COMPAR">
    <w:name w:val="COM_PAR"/>
    <w:basedOn w:val="Normal"/>
    <w:rsid w:val="001A6513"/>
    <w:pPr>
      <w:spacing w:before="0" w:after="240" w:line="360" w:lineRule="auto"/>
    </w:pPr>
    <w:rPr>
      <w:rFonts w:ascii="Times New Roman" w:hAnsi="Times New Roman"/>
      <w:sz w:val="24"/>
      <w:szCs w:val="22"/>
      <w:lang w:eastAsia="en-US"/>
    </w:rPr>
  </w:style>
  <w:style w:type="paragraph" w:styleId="DocumentMap">
    <w:name w:val="Document Map"/>
    <w:basedOn w:val="Normal"/>
    <w:link w:val="DocumentMapChar"/>
    <w:uiPriority w:val="99"/>
    <w:semiHidden/>
    <w:unhideWhenUsed/>
    <w:rsid w:val="001A6513"/>
    <w:rPr>
      <w:rFonts w:ascii="Tahoma" w:hAnsi="Tahoma" w:cs="Tahoma"/>
      <w:sz w:val="16"/>
      <w:szCs w:val="16"/>
    </w:rPr>
  </w:style>
  <w:style w:type="character" w:customStyle="1" w:styleId="DocumentMapChar">
    <w:name w:val="Document Map Char"/>
    <w:basedOn w:val="DefaultParagraphFont"/>
    <w:link w:val="DocumentMap"/>
    <w:uiPriority w:val="99"/>
    <w:semiHidden/>
    <w:rsid w:val="001A6513"/>
    <w:rPr>
      <w:rFonts w:ascii="Tahoma" w:eastAsia="Times New Roman" w:hAnsi="Tahoma" w:cs="Tahoma"/>
      <w:sz w:val="16"/>
      <w:szCs w:val="16"/>
      <w:lang w:eastAsia="el-GR"/>
    </w:rPr>
  </w:style>
  <w:style w:type="character" w:styleId="Emphasis">
    <w:name w:val="Emphasis"/>
    <w:basedOn w:val="DefaultParagraphFont"/>
    <w:uiPriority w:val="20"/>
    <w:qFormat/>
    <w:rsid w:val="001A6513"/>
    <w:rPr>
      <w:i/>
      <w:iCs/>
      <w:color w:val="0070C0"/>
    </w:rPr>
  </w:style>
  <w:style w:type="character" w:styleId="FootnoteReference">
    <w:name w:val="footnote reference"/>
    <w:aliases w:val="Footnote symbol,Footnote,υποσημείωση1,Footnote reference number,note TESI,Footnote Reference Number,BVI fnr,BVI fnr Car Car,BVI fnr Car,BVI fnr Car Car Car Car Char,BVI fnr Car Car Car Car Char Char Char Char Char,Footnotes refss"/>
    <w:basedOn w:val="DefaultParagraphFont"/>
    <w:link w:val="BVIfnrCarCarCarCarCharCharCharChar"/>
    <w:unhideWhenUsed/>
    <w:rsid w:val="001A6513"/>
    <w:rPr>
      <w:vertAlign w:val="superscript"/>
    </w:rPr>
  </w:style>
  <w:style w:type="paragraph" w:customStyle="1" w:styleId="BVIfnrCarCarCarCarCharCharCharChar">
    <w:name w:val="BVI fnr Car Car Car Car Char Char Char Char"/>
    <w:basedOn w:val="Normal"/>
    <w:link w:val="FootnoteReference"/>
    <w:rsid w:val="0003697A"/>
    <w:pPr>
      <w:spacing w:before="0" w:after="160" w:line="240" w:lineRule="exact"/>
      <w:jc w:val="left"/>
    </w:pPr>
    <w:rPr>
      <w:rFonts w:asciiTheme="minorHAnsi" w:eastAsiaTheme="minorEastAsia" w:hAnsiTheme="minorHAnsi" w:cstheme="minorBidi"/>
      <w:sz w:val="22"/>
      <w:szCs w:val="22"/>
      <w:vertAlign w:val="superscript"/>
      <w:lang w:eastAsia="zh-CN"/>
    </w:rPr>
  </w:style>
  <w:style w:type="paragraph" w:styleId="FootnoteText">
    <w:name w:val="footnote text"/>
    <w:aliases w:val="Point 3 Char,Footnote text,Κείμενο υποσημείωσης Char,ESPON Footnote Text,Schriftart: 9 pt,Schriftart: 10 pt,Schriftart: 8 pt, Char Char Char,Κείμενο υποσημείωσης-KATERINA, Char Char, Char Char Char Char Char,Char Char Char,Char Char"/>
    <w:basedOn w:val="Normal"/>
    <w:link w:val="FootnoteTextChar"/>
    <w:unhideWhenUsed/>
    <w:rsid w:val="001A6513"/>
    <w:rPr>
      <w:szCs w:val="20"/>
    </w:rPr>
  </w:style>
  <w:style w:type="character" w:customStyle="1" w:styleId="FootnoteTextChar">
    <w:name w:val="Footnote Text Char"/>
    <w:aliases w:val="Point 3 Char Char,Footnote text Char,Κείμενο υποσημείωσης Char Char,ESPON Footnote Text Char,Schriftart: 9 pt Char,Schriftart: 10 pt Char,Schriftart: 8 pt Char, Char Char Char Char,Κείμενο υποσημείωσης-KATERINA Char, Char Char Char1"/>
    <w:basedOn w:val="DefaultParagraphFont"/>
    <w:link w:val="FootnoteText"/>
    <w:rsid w:val="001A6513"/>
    <w:rPr>
      <w:rFonts w:ascii="Calibri" w:eastAsia="Times New Roman" w:hAnsi="Calibri" w:cs="Times New Roman"/>
      <w:szCs w:val="20"/>
      <w:lang w:eastAsia="el-GR"/>
    </w:rPr>
  </w:style>
  <w:style w:type="paragraph" w:customStyle="1" w:styleId="Heading">
    <w:name w:val="Heading"/>
    <w:basedOn w:val="Normal"/>
    <w:rsid w:val="001A6513"/>
    <w:pPr>
      <w:keepLines/>
      <w:tabs>
        <w:tab w:val="left" w:pos="397"/>
        <w:tab w:val="left" w:pos="567"/>
        <w:tab w:val="left" w:pos="79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spacing w:before="240" w:after="240" w:line="360" w:lineRule="auto"/>
    </w:pPr>
    <w:rPr>
      <w:rFonts w:ascii="Verdana" w:eastAsia="MS Mincho" w:hAnsi="Verdana" w:cs="Arial"/>
      <w:szCs w:val="22"/>
    </w:rPr>
  </w:style>
  <w:style w:type="character" w:styleId="Hyperlink">
    <w:name w:val="Hyperlink"/>
    <w:basedOn w:val="DefaultParagraphFont"/>
    <w:uiPriority w:val="99"/>
    <w:unhideWhenUsed/>
    <w:rsid w:val="001A6513"/>
    <w:rPr>
      <w:color w:val="0000FF" w:themeColor="hyperlink"/>
      <w:u w:val="single"/>
    </w:rPr>
  </w:style>
  <w:style w:type="paragraph" w:styleId="IntenseQuote">
    <w:name w:val="Intense Quote"/>
    <w:basedOn w:val="Normal"/>
    <w:next w:val="Normal"/>
    <w:link w:val="IntenseQuoteChar"/>
    <w:uiPriority w:val="30"/>
    <w:qFormat/>
    <w:rsid w:val="001A651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A6513"/>
    <w:rPr>
      <w:rFonts w:ascii="Calibri" w:eastAsia="Times New Roman" w:hAnsi="Calibri" w:cs="Times New Roman"/>
      <w:b/>
      <w:bCs/>
      <w:i/>
      <w:iCs/>
      <w:color w:val="4F81BD"/>
      <w:szCs w:val="24"/>
      <w:lang w:eastAsia="el-GR"/>
    </w:rPr>
  </w:style>
  <w:style w:type="character" w:styleId="IntenseReference">
    <w:name w:val="Intense Reference"/>
    <w:basedOn w:val="DefaultParagraphFont"/>
    <w:uiPriority w:val="32"/>
    <w:qFormat/>
    <w:rsid w:val="001A6513"/>
    <w:rPr>
      <w:b/>
      <w:bCs/>
      <w:smallCaps/>
      <w:color w:val="C0504D"/>
      <w:spacing w:val="5"/>
      <w:u w:val="single"/>
    </w:rPr>
  </w:style>
  <w:style w:type="table" w:styleId="LightGrid-Accent1">
    <w:name w:val="Light Grid Accent 1"/>
    <w:basedOn w:val="TableNormal"/>
    <w:uiPriority w:val="62"/>
    <w:rsid w:val="001A6513"/>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A6513"/>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A6513"/>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5">
    <w:name w:val="Light Grid Accent 5"/>
    <w:basedOn w:val="TableNormal"/>
    <w:uiPriority w:val="62"/>
    <w:rsid w:val="001A6513"/>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1A6513"/>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TableNormal"/>
    <w:uiPriority w:val="61"/>
    <w:rsid w:val="001A6513"/>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1A6513"/>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1">
    <w:name w:val="Light Shading Accent 1"/>
    <w:basedOn w:val="TableNormal"/>
    <w:uiPriority w:val="60"/>
    <w:rsid w:val="001A6513"/>
    <w:pPr>
      <w:spacing w:after="0" w:line="240" w:lineRule="auto"/>
    </w:pPr>
    <w:rPr>
      <w:rFonts w:ascii="Times New Roman" w:eastAsia="Times New Roman" w:hAnsi="Times New Roman" w:cs="Times New Roman"/>
      <w:color w:val="365F91" w:themeColor="accent1" w:themeShade="BF"/>
      <w:sz w:val="20"/>
      <w:szCs w:val="20"/>
      <w:lang w:eastAsia="el-G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
    <w:name w:val="Light Shading - Accent 11"/>
    <w:basedOn w:val="TableNormal"/>
    <w:uiPriority w:val="60"/>
    <w:rsid w:val="001A6513"/>
    <w:pPr>
      <w:spacing w:after="0" w:line="240" w:lineRule="auto"/>
    </w:pPr>
    <w:rPr>
      <w:rFonts w:ascii="Times New Roman" w:eastAsia="Times New Roman" w:hAnsi="Times New Roman" w:cs="Times New Roman"/>
      <w:color w:val="365F91" w:themeColor="accent1" w:themeShade="BF"/>
      <w:sz w:val="20"/>
      <w:szCs w:val="20"/>
      <w:lang w:eastAsia="el-G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A6513"/>
    <w:pPr>
      <w:spacing w:after="0" w:line="240" w:lineRule="auto"/>
    </w:pPr>
    <w:rPr>
      <w:rFonts w:ascii="Times New Roman" w:eastAsia="Times New Roman" w:hAnsi="Times New Roman" w:cs="Times New Roman"/>
      <w:color w:val="76923C"/>
      <w:sz w:val="20"/>
      <w:szCs w:val="20"/>
      <w:lang w:eastAsia="el-G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ist">
    <w:name w:val="List"/>
    <w:basedOn w:val="Normal"/>
    <w:uiPriority w:val="99"/>
    <w:semiHidden/>
    <w:unhideWhenUsed/>
    <w:rsid w:val="001A6513"/>
    <w:pPr>
      <w:ind w:left="283" w:hanging="283"/>
      <w:contextualSpacing/>
    </w:pPr>
  </w:style>
  <w:style w:type="paragraph" w:styleId="List5">
    <w:name w:val="List 5"/>
    <w:basedOn w:val="Normal"/>
    <w:rsid w:val="001A6513"/>
    <w:pPr>
      <w:tabs>
        <w:tab w:val="num" w:pos="360"/>
      </w:tabs>
      <w:spacing w:before="0" w:after="0" w:line="300" w:lineRule="exact"/>
      <w:ind w:left="284" w:hanging="284"/>
    </w:pPr>
    <w:rPr>
      <w:rFonts w:ascii="Times New Roman" w:hAnsi="Times New Roman"/>
      <w:sz w:val="24"/>
    </w:rPr>
  </w:style>
  <w:style w:type="paragraph" w:styleId="ListBullet">
    <w:name w:val="List Bullet"/>
    <w:rsid w:val="001A6513"/>
    <w:pPr>
      <w:tabs>
        <w:tab w:val="num" w:pos="567"/>
      </w:tabs>
      <w:spacing w:before="60" w:after="60" w:line="280" w:lineRule="exact"/>
      <w:ind w:left="567" w:hanging="567"/>
      <w:jc w:val="both"/>
    </w:pPr>
    <w:rPr>
      <w:rFonts w:ascii="Arial" w:eastAsia="Times New Roman" w:hAnsi="Arial" w:cs="Times New Roman"/>
      <w:sz w:val="20"/>
      <w:szCs w:val="20"/>
      <w:lang w:eastAsia="en-US"/>
    </w:rPr>
  </w:style>
  <w:style w:type="table" w:styleId="MediumGrid3-Accent3">
    <w:name w:val="Medium Grid 3 Accent 3"/>
    <w:basedOn w:val="TableNormal"/>
    <w:uiPriority w:val="69"/>
    <w:rsid w:val="001A6513"/>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List1-Accent3">
    <w:name w:val="Medium List 1 Accent 3"/>
    <w:basedOn w:val="TableNormal"/>
    <w:uiPriority w:val="65"/>
    <w:rsid w:val="001A6513"/>
    <w:pPr>
      <w:spacing w:after="0" w:line="240" w:lineRule="auto"/>
    </w:pPr>
    <w:rPr>
      <w:rFonts w:ascii="Times New Roman" w:eastAsia="Times New Roman" w:hAnsi="Times New Roman" w:cs="Times New Roman"/>
      <w:color w:val="000000" w:themeColor="text1"/>
      <w:sz w:val="20"/>
      <w:szCs w:val="20"/>
      <w:lang w:eastAsia="el-G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Shading1-Accent3">
    <w:name w:val="Medium Shading 1 Accent 3"/>
    <w:basedOn w:val="TableNormal"/>
    <w:uiPriority w:val="63"/>
    <w:rsid w:val="001A6513"/>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rmalIndent">
    <w:name w:val="Normal Indent"/>
    <w:basedOn w:val="Normal"/>
    <w:unhideWhenUsed/>
    <w:rsid w:val="001A6513"/>
    <w:pPr>
      <w:spacing w:before="0" w:after="0" w:line="360" w:lineRule="auto"/>
    </w:pPr>
    <w:rPr>
      <w:rFonts w:ascii="Times New Roman" w:hAnsi="Times New Roman"/>
      <w:sz w:val="24"/>
      <w:szCs w:val="20"/>
      <w:lang w:eastAsia="en-US"/>
    </w:rPr>
  </w:style>
  <w:style w:type="character" w:styleId="PageNumber">
    <w:name w:val="page number"/>
    <w:basedOn w:val="DefaultParagraphFont"/>
    <w:uiPriority w:val="99"/>
    <w:rsid w:val="001A6513"/>
  </w:style>
  <w:style w:type="paragraph" w:customStyle="1" w:styleId="pinbodytext">
    <w:name w:val="pinbodytext"/>
    <w:basedOn w:val="Normal"/>
    <w:rsid w:val="001A6513"/>
    <w:pPr>
      <w:widowControl w:val="0"/>
      <w:spacing w:line="300" w:lineRule="auto"/>
    </w:pPr>
    <w:rPr>
      <w:rFonts w:ascii="UB-Helvetica" w:hAnsi="UB-Helvetica" w:cs="Arial"/>
      <w:snapToGrid w:val="0"/>
      <w:szCs w:val="22"/>
      <w:lang w:val="en-US" w:eastAsia="en-US"/>
    </w:rPr>
  </w:style>
  <w:style w:type="table" w:customStyle="1" w:styleId="Style1">
    <w:name w:val="Style1"/>
    <w:basedOn w:val="TableNormal"/>
    <w:uiPriority w:val="99"/>
    <w:rsid w:val="001A6513"/>
    <w:pPr>
      <w:spacing w:after="0" w:line="240" w:lineRule="auto"/>
    </w:pPr>
    <w:rPr>
      <w:rFonts w:ascii="Times New Roman" w:eastAsia="Times New Roman" w:hAnsi="Times New Roman" w:cs="Times New Roman"/>
      <w:sz w:val="20"/>
      <w:szCs w:val="20"/>
      <w:lang w:eastAsia="el-GR"/>
    </w:rPr>
    <w:tblPr/>
  </w:style>
  <w:style w:type="table" w:customStyle="1" w:styleId="Style2">
    <w:name w:val="Style2"/>
    <w:basedOn w:val="TableNormal"/>
    <w:uiPriority w:val="99"/>
    <w:rsid w:val="001A6513"/>
    <w:pPr>
      <w:spacing w:after="0" w:line="240" w:lineRule="auto"/>
    </w:pPr>
    <w:rPr>
      <w:rFonts w:ascii="Times New Roman" w:eastAsia="Times New Roman" w:hAnsi="Times New Roman" w:cs="Times New Roman"/>
      <w:sz w:val="20"/>
      <w:szCs w:val="20"/>
      <w:lang w:eastAsia="el-G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Theme="minorHAnsi" w:hAnsiTheme="minorHAnsi"/>
        <w:b/>
        <w:sz w:val="18"/>
      </w:rPr>
      <w:tblPr/>
      <w:tcPr>
        <w:shd w:val="clear" w:color="auto" w:fill="D0F4D0"/>
      </w:tcPr>
    </w:tblStylePr>
    <w:tblStylePr w:type="firstCol">
      <w:tblPr/>
      <w:tcPr>
        <w:shd w:val="clear" w:color="auto" w:fill="D0F4D0"/>
      </w:tcPr>
    </w:tblStylePr>
  </w:style>
  <w:style w:type="character" w:styleId="SubtleReference">
    <w:name w:val="Subtle Reference"/>
    <w:basedOn w:val="DefaultParagraphFont"/>
    <w:uiPriority w:val="31"/>
    <w:qFormat/>
    <w:rsid w:val="001A6513"/>
    <w:rPr>
      <w:smallCaps/>
      <w:color w:val="C0504D"/>
      <w:u w:val="single"/>
    </w:rPr>
  </w:style>
  <w:style w:type="paragraph" w:customStyle="1" w:styleId="TableText">
    <w:name w:val="Table Text"/>
    <w:basedOn w:val="Normal"/>
    <w:rsid w:val="001A6513"/>
    <w:pPr>
      <w:keepLines/>
      <w:spacing w:after="0"/>
      <w:jc w:val="left"/>
    </w:pPr>
    <w:rPr>
      <w:rFonts w:ascii="Book Antiqua" w:hAnsi="Book Antiqua" w:cs="Arial"/>
      <w:sz w:val="16"/>
      <w:szCs w:val="20"/>
      <w:lang w:eastAsia="en-US"/>
    </w:rPr>
  </w:style>
  <w:style w:type="paragraph" w:customStyle="1" w:styleId="Tabletextbold">
    <w:name w:val="Table text bold"/>
    <w:rsid w:val="001A6513"/>
    <w:pPr>
      <w:spacing w:before="60" w:after="60" w:line="240" w:lineRule="auto"/>
      <w:jc w:val="center"/>
    </w:pPr>
    <w:rPr>
      <w:rFonts w:ascii="Arial" w:eastAsia="Times New Roman" w:hAnsi="Arial" w:cs="Times New Roman"/>
      <w:b/>
      <w:sz w:val="16"/>
      <w:szCs w:val="20"/>
      <w:lang w:val="en-GB" w:eastAsia="en-US"/>
    </w:rPr>
  </w:style>
  <w:style w:type="paragraph" w:customStyle="1" w:styleId="Tabletextbold1caps">
    <w:name w:val="Table text bold 1 caps"/>
    <w:basedOn w:val="Normal"/>
    <w:rsid w:val="001A6513"/>
    <w:pPr>
      <w:overflowPunct w:val="0"/>
      <w:autoSpaceDE w:val="0"/>
      <w:autoSpaceDN w:val="0"/>
      <w:adjustRightInd w:val="0"/>
      <w:spacing w:before="60" w:after="60"/>
      <w:jc w:val="center"/>
      <w:textAlignment w:val="baseline"/>
    </w:pPr>
    <w:rPr>
      <w:rFonts w:ascii="Arial" w:hAnsi="Arial"/>
      <w:b/>
      <w:caps/>
      <w:color w:val="000000"/>
      <w:sz w:val="16"/>
      <w:szCs w:val="16"/>
      <w:lang w:val="en-US"/>
    </w:rPr>
  </w:style>
  <w:style w:type="paragraph" w:customStyle="1" w:styleId="Text1">
    <w:name w:val="Text 1"/>
    <w:basedOn w:val="Normal"/>
    <w:rsid w:val="001A6513"/>
    <w:pPr>
      <w:spacing w:before="0" w:after="240"/>
      <w:ind w:left="483"/>
    </w:pPr>
    <w:rPr>
      <w:rFonts w:ascii="Times New Roman" w:hAnsi="Times New Roman"/>
      <w:sz w:val="24"/>
      <w:lang w:eastAsia="en-US"/>
    </w:rPr>
  </w:style>
  <w:style w:type="paragraph" w:styleId="Title">
    <w:name w:val="Title"/>
    <w:basedOn w:val="Normal"/>
    <w:link w:val="TitleChar"/>
    <w:qFormat/>
    <w:rsid w:val="001A6513"/>
    <w:pPr>
      <w:ind w:left="1134" w:hanging="1134"/>
      <w:outlineLvl w:val="0"/>
    </w:pPr>
    <w:rPr>
      <w:rFonts w:cs="Arial"/>
      <w:b/>
      <w:bCs/>
      <w:kern w:val="28"/>
      <w:szCs w:val="32"/>
    </w:rPr>
  </w:style>
  <w:style w:type="character" w:customStyle="1" w:styleId="TitleChar">
    <w:name w:val="Title Char"/>
    <w:basedOn w:val="DefaultParagraphFont"/>
    <w:link w:val="Title"/>
    <w:rsid w:val="001A6513"/>
    <w:rPr>
      <w:rFonts w:ascii="Calibri" w:eastAsia="Times New Roman" w:hAnsi="Calibri" w:cs="Arial"/>
      <w:b/>
      <w:bCs/>
      <w:kern w:val="28"/>
      <w:szCs w:val="32"/>
      <w:lang w:eastAsia="el-GR"/>
    </w:rPr>
  </w:style>
  <w:style w:type="paragraph" w:styleId="TOC1">
    <w:name w:val="toc 1"/>
    <w:basedOn w:val="Normal"/>
    <w:next w:val="Normal"/>
    <w:autoRedefine/>
    <w:uiPriority w:val="39"/>
    <w:unhideWhenUsed/>
    <w:rsid w:val="00D5167E"/>
    <w:pPr>
      <w:tabs>
        <w:tab w:val="left" w:pos="284"/>
        <w:tab w:val="right" w:leader="dot" w:pos="9781"/>
      </w:tabs>
      <w:ind w:left="284" w:hanging="284"/>
      <w:jc w:val="left"/>
    </w:pPr>
    <w:rPr>
      <w:b/>
      <w:noProof/>
      <w:color w:val="215868" w:themeColor="accent5" w:themeShade="80"/>
    </w:rPr>
  </w:style>
  <w:style w:type="paragraph" w:styleId="TOC2">
    <w:name w:val="toc 2"/>
    <w:basedOn w:val="Normal"/>
    <w:next w:val="Normal"/>
    <w:autoRedefine/>
    <w:uiPriority w:val="39"/>
    <w:unhideWhenUsed/>
    <w:rsid w:val="002E6879"/>
    <w:pPr>
      <w:tabs>
        <w:tab w:val="right" w:leader="dot" w:pos="9781"/>
      </w:tabs>
      <w:spacing w:after="100"/>
      <w:ind w:left="851" w:hanging="567"/>
      <w:jc w:val="left"/>
    </w:pPr>
    <w:rPr>
      <w:noProof/>
      <w:sz w:val="18"/>
    </w:rPr>
  </w:style>
  <w:style w:type="paragraph" w:styleId="TOC3">
    <w:name w:val="toc 3"/>
    <w:basedOn w:val="Normal"/>
    <w:next w:val="Normal"/>
    <w:autoRedefine/>
    <w:uiPriority w:val="39"/>
    <w:unhideWhenUsed/>
    <w:rsid w:val="00B91EB3"/>
    <w:pPr>
      <w:tabs>
        <w:tab w:val="left" w:pos="1418"/>
        <w:tab w:val="right" w:leader="dot" w:pos="9214"/>
      </w:tabs>
      <w:spacing w:before="60" w:after="60"/>
      <w:ind w:left="1418" w:hanging="567"/>
      <w:jc w:val="left"/>
    </w:pPr>
    <w:rPr>
      <w:i/>
      <w:noProof/>
      <w:sz w:val="18"/>
    </w:rPr>
  </w:style>
  <w:style w:type="paragraph" w:styleId="TOC4">
    <w:name w:val="toc 4"/>
    <w:basedOn w:val="Normal"/>
    <w:next w:val="Normal"/>
    <w:autoRedefine/>
    <w:uiPriority w:val="39"/>
    <w:unhideWhenUsed/>
    <w:rsid w:val="001A6513"/>
    <w:pPr>
      <w:tabs>
        <w:tab w:val="left" w:pos="2127"/>
        <w:tab w:val="right" w:leader="dot" w:pos="9061"/>
      </w:tabs>
      <w:spacing w:after="100"/>
      <w:ind w:left="2127" w:hanging="709"/>
    </w:pPr>
    <w:rPr>
      <w:noProof/>
      <w:sz w:val="18"/>
    </w:rPr>
  </w:style>
  <w:style w:type="paragraph" w:styleId="TOC5">
    <w:name w:val="toc 5"/>
    <w:basedOn w:val="Normal"/>
    <w:next w:val="Normal"/>
    <w:autoRedefine/>
    <w:uiPriority w:val="39"/>
    <w:unhideWhenUsed/>
    <w:rsid w:val="001A6513"/>
    <w:pPr>
      <w:spacing w:after="100"/>
      <w:ind w:left="880"/>
    </w:pPr>
  </w:style>
  <w:style w:type="paragraph" w:styleId="TOC6">
    <w:name w:val="toc 6"/>
    <w:basedOn w:val="Normal"/>
    <w:next w:val="Normal"/>
    <w:autoRedefine/>
    <w:uiPriority w:val="39"/>
    <w:unhideWhenUsed/>
    <w:rsid w:val="001A6513"/>
    <w:pPr>
      <w:spacing w:after="100"/>
      <w:ind w:left="1100"/>
    </w:pPr>
  </w:style>
  <w:style w:type="paragraph" w:styleId="TOCHeading">
    <w:name w:val="TOC Heading"/>
    <w:basedOn w:val="Heading1"/>
    <w:next w:val="Normal"/>
    <w:uiPriority w:val="39"/>
    <w:unhideWhenUsed/>
    <w:qFormat/>
    <w:rsid w:val="001A6513"/>
    <w:pPr>
      <w:keepLines/>
      <w:numPr>
        <w:numId w:val="0"/>
      </w:numPr>
      <w:spacing w:before="480" w:after="0" w:line="276" w:lineRule="auto"/>
      <w:outlineLvl w:val="9"/>
    </w:pPr>
    <w:rPr>
      <w:rFonts w:ascii="Cambria" w:hAnsi="Cambria" w:cs="Times New Roman"/>
      <w:caps/>
      <w:color w:val="365F91"/>
      <w:kern w:val="0"/>
      <w:sz w:val="32"/>
      <w:szCs w:val="28"/>
    </w:rPr>
  </w:style>
  <w:style w:type="paragraph" w:customStyle="1" w:styleId="1">
    <w:name w:val="Βασικό1"/>
    <w:basedOn w:val="Normal"/>
    <w:next w:val="Normal"/>
    <w:uiPriority w:val="99"/>
    <w:rsid w:val="001A6513"/>
    <w:pPr>
      <w:autoSpaceDE w:val="0"/>
      <w:autoSpaceDN w:val="0"/>
      <w:adjustRightInd w:val="0"/>
      <w:spacing w:before="0" w:after="0"/>
      <w:jc w:val="left"/>
    </w:pPr>
    <w:rPr>
      <w:rFonts w:ascii="Arial" w:hAnsi="Arial" w:cs="Arial"/>
      <w:sz w:val="24"/>
      <w:lang w:val="en-US"/>
    </w:rPr>
  </w:style>
  <w:style w:type="paragraph" w:customStyle="1" w:styleId="a1">
    <w:name w:val="ΒΕΛΑΚΙ ΑΥΞΗΣΗΣ"/>
    <w:basedOn w:val="ListParagraph"/>
    <w:qFormat/>
    <w:rsid w:val="001A6513"/>
    <w:pPr>
      <w:spacing w:before="0" w:after="0"/>
      <w:ind w:left="95" w:hanging="168"/>
      <w:contextualSpacing w:val="0"/>
      <w:jc w:val="center"/>
    </w:pPr>
    <w:rPr>
      <w:rFonts w:eastAsia="Calibri" w:cs="Calibri"/>
      <w:sz w:val="16"/>
      <w:szCs w:val="16"/>
      <w:lang w:eastAsia="en-US"/>
    </w:rPr>
  </w:style>
  <w:style w:type="paragraph" w:customStyle="1" w:styleId="a2">
    <w:name w:val="ΒΕΛΑΚΙ ΜΕΙΩΣΗ"/>
    <w:basedOn w:val="ListParagraph"/>
    <w:qFormat/>
    <w:rsid w:val="001A6513"/>
    <w:pPr>
      <w:spacing w:before="0" w:after="0"/>
      <w:ind w:left="77" w:hanging="142"/>
      <w:jc w:val="center"/>
    </w:pPr>
    <w:rPr>
      <w:rFonts w:eastAsia="Calibri" w:cs="Calibri"/>
      <w:sz w:val="16"/>
      <w:szCs w:val="16"/>
      <w:lang w:val="en-US" w:eastAsia="en-US"/>
    </w:rPr>
  </w:style>
  <w:style w:type="paragraph" w:customStyle="1" w:styleId="CAPTION0">
    <w:name w:val="ΜΕΤΑ ΤΟ CAPTION"/>
    <w:basedOn w:val="Normal"/>
    <w:qFormat/>
    <w:rsid w:val="001A6513"/>
    <w:pPr>
      <w:spacing w:before="0" w:after="0"/>
    </w:pPr>
    <w:rPr>
      <w:sz w:val="4"/>
      <w:szCs w:val="4"/>
      <w:lang w:eastAsia="en-US"/>
    </w:rPr>
  </w:style>
  <w:style w:type="paragraph" w:styleId="NoSpacing">
    <w:name w:val="No Spacing"/>
    <w:link w:val="NoSpacingChar"/>
    <w:uiPriority w:val="1"/>
    <w:qFormat/>
    <w:rsid w:val="006D1991"/>
    <w:pPr>
      <w:spacing w:after="0" w:line="240" w:lineRule="auto"/>
      <w:jc w:val="both"/>
    </w:pPr>
    <w:rPr>
      <w:rFonts w:ascii="Calibri" w:eastAsia="Times New Roman" w:hAnsi="Calibri" w:cs="Times New Roman"/>
      <w:szCs w:val="24"/>
      <w:lang w:eastAsia="el-GR"/>
    </w:rPr>
  </w:style>
  <w:style w:type="character" w:customStyle="1" w:styleId="NoSpacingChar">
    <w:name w:val="No Spacing Char"/>
    <w:basedOn w:val="DefaultParagraphFont"/>
    <w:link w:val="NoSpacing"/>
    <w:uiPriority w:val="1"/>
    <w:rsid w:val="00D0008C"/>
    <w:rPr>
      <w:rFonts w:ascii="Calibri" w:eastAsia="Times New Roman" w:hAnsi="Calibri" w:cs="Times New Roman"/>
      <w:szCs w:val="24"/>
      <w:lang w:eastAsia="el-GR"/>
    </w:rPr>
  </w:style>
  <w:style w:type="character" w:styleId="IntenseEmphasis">
    <w:name w:val="Intense Emphasis"/>
    <w:basedOn w:val="DefaultParagraphFont"/>
    <w:uiPriority w:val="21"/>
    <w:qFormat/>
    <w:rsid w:val="004F5DC6"/>
    <w:rPr>
      <w:b/>
      <w:bCs/>
      <w:i/>
      <w:iCs/>
      <w:color w:val="4F81BD" w:themeColor="accent1"/>
    </w:rPr>
  </w:style>
  <w:style w:type="character" w:styleId="CommentReference">
    <w:name w:val="annotation reference"/>
    <w:basedOn w:val="DefaultParagraphFont"/>
    <w:uiPriority w:val="99"/>
    <w:semiHidden/>
    <w:unhideWhenUsed/>
    <w:rsid w:val="004F5DC6"/>
    <w:rPr>
      <w:sz w:val="16"/>
      <w:szCs w:val="16"/>
    </w:rPr>
  </w:style>
  <w:style w:type="paragraph" w:styleId="CommentText">
    <w:name w:val="annotation text"/>
    <w:basedOn w:val="Normal"/>
    <w:link w:val="CommentTextChar"/>
    <w:uiPriority w:val="99"/>
    <w:unhideWhenUsed/>
    <w:rsid w:val="004F5DC6"/>
    <w:rPr>
      <w:szCs w:val="20"/>
    </w:rPr>
  </w:style>
  <w:style w:type="character" w:customStyle="1" w:styleId="CommentTextChar">
    <w:name w:val="Comment Text Char"/>
    <w:basedOn w:val="DefaultParagraphFont"/>
    <w:link w:val="CommentText"/>
    <w:uiPriority w:val="99"/>
    <w:rsid w:val="004F5DC6"/>
    <w:rPr>
      <w:rFonts w:ascii="Calibri" w:eastAsia="Times New Roman" w:hAnsi="Calibri"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4F5DC6"/>
    <w:rPr>
      <w:b/>
      <w:bCs/>
    </w:rPr>
  </w:style>
  <w:style w:type="character" w:customStyle="1" w:styleId="CommentSubjectChar">
    <w:name w:val="Comment Subject Char"/>
    <w:basedOn w:val="CommentTextChar"/>
    <w:link w:val="CommentSubject"/>
    <w:uiPriority w:val="99"/>
    <w:semiHidden/>
    <w:rsid w:val="004F5DC6"/>
    <w:rPr>
      <w:rFonts w:ascii="Calibri" w:eastAsia="Times New Roman" w:hAnsi="Calibri" w:cs="Times New Roman"/>
      <w:b/>
      <w:bCs/>
      <w:sz w:val="20"/>
      <w:szCs w:val="20"/>
      <w:lang w:eastAsia="el-GR"/>
    </w:rPr>
  </w:style>
  <w:style w:type="paragraph" w:styleId="Quote">
    <w:name w:val="Quote"/>
    <w:basedOn w:val="Normal"/>
    <w:next w:val="Normal"/>
    <w:link w:val="QuoteChar"/>
    <w:uiPriority w:val="29"/>
    <w:qFormat/>
    <w:rsid w:val="00554E9E"/>
    <w:rPr>
      <w:i/>
      <w:iCs/>
      <w:color w:val="000000" w:themeColor="text1"/>
    </w:rPr>
  </w:style>
  <w:style w:type="character" w:customStyle="1" w:styleId="QuoteChar">
    <w:name w:val="Quote Char"/>
    <w:basedOn w:val="DefaultParagraphFont"/>
    <w:link w:val="Quote"/>
    <w:uiPriority w:val="29"/>
    <w:rsid w:val="00554E9E"/>
    <w:rPr>
      <w:rFonts w:ascii="Calibri" w:eastAsia="Times New Roman" w:hAnsi="Calibri" w:cs="Times New Roman"/>
      <w:i/>
      <w:iCs/>
      <w:color w:val="000000" w:themeColor="text1"/>
      <w:szCs w:val="24"/>
      <w:lang w:eastAsia="el-GR"/>
    </w:rPr>
  </w:style>
  <w:style w:type="paragraph" w:customStyle="1" w:styleId="CM4">
    <w:name w:val="CM4"/>
    <w:basedOn w:val="Default"/>
    <w:next w:val="Default"/>
    <w:uiPriority w:val="99"/>
    <w:rsid w:val="007C0C5D"/>
    <w:rPr>
      <w:rFonts w:cstheme="minorBidi"/>
      <w:color w:val="auto"/>
    </w:rPr>
  </w:style>
  <w:style w:type="paragraph" w:styleId="NormalWeb">
    <w:name w:val="Normal (Web)"/>
    <w:basedOn w:val="Normal"/>
    <w:uiPriority w:val="99"/>
    <w:unhideWhenUsed/>
    <w:rsid w:val="0050486D"/>
    <w:pPr>
      <w:spacing w:before="100" w:beforeAutospacing="1" w:after="100" w:afterAutospacing="1" w:line="240" w:lineRule="auto"/>
      <w:jc w:val="left"/>
    </w:pPr>
    <w:rPr>
      <w:rFonts w:ascii="Times New Roman" w:hAnsi="Times New Roman"/>
      <w:sz w:val="24"/>
    </w:rPr>
  </w:style>
  <w:style w:type="character" w:styleId="Strong">
    <w:name w:val="Strong"/>
    <w:basedOn w:val="DefaultParagraphFont"/>
    <w:uiPriority w:val="22"/>
    <w:qFormat/>
    <w:rsid w:val="0050486D"/>
    <w:rPr>
      <w:b/>
      <w:bCs/>
    </w:rPr>
  </w:style>
  <w:style w:type="character" w:customStyle="1" w:styleId="Normal1">
    <w:name w:val="Normal1"/>
    <w:basedOn w:val="DefaultParagraphFont"/>
    <w:rsid w:val="00D56668"/>
  </w:style>
  <w:style w:type="character" w:styleId="HTMLCite">
    <w:name w:val="HTML Cite"/>
    <w:basedOn w:val="DefaultParagraphFont"/>
    <w:uiPriority w:val="99"/>
    <w:semiHidden/>
    <w:unhideWhenUsed/>
    <w:rsid w:val="0004060E"/>
    <w:rPr>
      <w:i/>
      <w:iCs/>
    </w:rPr>
  </w:style>
  <w:style w:type="paragraph" w:customStyle="1" w:styleId="Normal11">
    <w:name w:val="Normal11"/>
    <w:basedOn w:val="Normal"/>
    <w:rsid w:val="009C5D5D"/>
    <w:pPr>
      <w:spacing w:before="100" w:beforeAutospacing="1" w:after="100" w:afterAutospacing="1" w:line="240" w:lineRule="auto"/>
      <w:jc w:val="left"/>
    </w:pPr>
    <w:rPr>
      <w:rFonts w:ascii="Times New Roman" w:hAnsi="Times New Roman"/>
      <w:sz w:val="24"/>
    </w:rPr>
  </w:style>
  <w:style w:type="paragraph" w:customStyle="1" w:styleId="NoteHead">
    <w:name w:val="NoteHead"/>
    <w:basedOn w:val="Normal"/>
    <w:next w:val="Normal"/>
    <w:uiPriority w:val="99"/>
    <w:rsid w:val="009C5D5D"/>
    <w:pPr>
      <w:spacing w:before="720" w:after="720" w:line="240" w:lineRule="auto"/>
      <w:jc w:val="center"/>
    </w:pPr>
    <w:rPr>
      <w:rFonts w:ascii="Times New Roman" w:hAnsi="Times New Roman"/>
      <w:b/>
      <w:smallCaps/>
      <w:sz w:val="24"/>
      <w:szCs w:val="20"/>
      <w:lang w:val="en-GB" w:eastAsia="en-US"/>
    </w:rPr>
  </w:style>
  <w:style w:type="paragraph" w:customStyle="1" w:styleId="Guidelines">
    <w:name w:val="Guidelines"/>
    <w:basedOn w:val="Normal"/>
    <w:link w:val="GuidelinesChar"/>
    <w:rsid w:val="00A903E3"/>
    <w:pPr>
      <w:pBdr>
        <w:top w:val="single" w:sz="4" w:space="1" w:color="auto"/>
        <w:left w:val="single" w:sz="4" w:space="4" w:color="auto"/>
        <w:bottom w:val="single" w:sz="4" w:space="1" w:color="auto"/>
        <w:right w:val="single" w:sz="4" w:space="4" w:color="auto"/>
      </w:pBdr>
      <w:tabs>
        <w:tab w:val="left" w:pos="2302"/>
      </w:tabs>
      <w:spacing w:before="0" w:after="240" w:line="240" w:lineRule="auto"/>
    </w:pPr>
    <w:rPr>
      <w:rFonts w:ascii="Times New Roman" w:hAnsi="Times New Roman"/>
      <w:color w:val="4F81BD"/>
      <w:sz w:val="24"/>
      <w:szCs w:val="20"/>
      <w:lang w:val="en-GB" w:eastAsia="en-US"/>
    </w:rPr>
  </w:style>
  <w:style w:type="character" w:customStyle="1" w:styleId="GuidelinesChar">
    <w:name w:val="Guidelines Char"/>
    <w:link w:val="Guidelines"/>
    <w:rsid w:val="00A903E3"/>
    <w:rPr>
      <w:rFonts w:ascii="Times New Roman" w:eastAsia="Times New Roman" w:hAnsi="Times New Roman" w:cs="Times New Roman"/>
      <w:color w:val="4F81BD"/>
      <w:sz w:val="24"/>
      <w:szCs w:val="20"/>
      <w:lang w:val="en-GB" w:eastAsia="en-US"/>
    </w:rPr>
  </w:style>
  <w:style w:type="paragraph" w:customStyle="1" w:styleId="Heading30">
    <w:name w:val="Heading3"/>
    <w:basedOn w:val="Heading"/>
    <w:rsid w:val="00A903E3"/>
    <w:pPr>
      <w:keepNext/>
      <w:keepLines w:val="0"/>
      <w:tabs>
        <w:tab w:val="clear" w:pos="397"/>
        <w:tab w:val="clear" w:pos="567"/>
        <w:tab w:val="clear" w:pos="794"/>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clear" w:pos="11907"/>
        <w:tab w:val="clear" w:pos="12474"/>
      </w:tabs>
      <w:spacing w:before="0" w:line="240" w:lineRule="auto"/>
      <w:outlineLvl w:val="1"/>
    </w:pPr>
    <w:rPr>
      <w:rFonts w:ascii="Times New Roman" w:eastAsia="Calibri" w:hAnsi="Times New Roman" w:cs="Times New Roman"/>
      <w:b/>
      <w:sz w:val="24"/>
      <w:szCs w:val="20"/>
      <w:lang w:val="en-GB" w:eastAsia="ja-JP"/>
    </w:rPr>
  </w:style>
  <w:style w:type="paragraph" w:customStyle="1" w:styleId="Heading10">
    <w:name w:val="Heading 1."/>
    <w:basedOn w:val="Heading2"/>
    <w:rsid w:val="00A903E3"/>
    <w:pPr>
      <w:numPr>
        <w:ilvl w:val="0"/>
        <w:numId w:val="0"/>
      </w:numPr>
      <w:shd w:val="clear" w:color="auto" w:fill="auto"/>
      <w:spacing w:before="0" w:line="240" w:lineRule="auto"/>
    </w:pPr>
    <w:rPr>
      <w:rFonts w:ascii="Times New Roman" w:hAnsi="Times New Roman" w:cs="Times New Roman"/>
      <w:bCs w:val="0"/>
      <w:iCs w:val="0"/>
      <w:color w:val="000000"/>
      <w:sz w:val="24"/>
      <w:szCs w:val="20"/>
      <w:lang w:val="en-GB"/>
      <w14:textFill>
        <w14:solidFill>
          <w14:srgbClr w14:val="000000">
            <w14:lumMod w14:val="50000"/>
          </w14:srgbClr>
        </w14:solidFill>
      </w14:textFill>
    </w:rPr>
  </w:style>
  <w:style w:type="paragraph" w:customStyle="1" w:styleId="Text3">
    <w:name w:val="Text 3"/>
    <w:basedOn w:val="Normal"/>
    <w:rsid w:val="00A903E3"/>
    <w:pPr>
      <w:spacing w:before="0" w:after="200" w:line="252" w:lineRule="auto"/>
      <w:jc w:val="left"/>
    </w:pPr>
    <w:rPr>
      <w:rFonts w:ascii="Cambria" w:hAnsi="Cambria"/>
      <w:szCs w:val="22"/>
    </w:rPr>
  </w:style>
  <w:style w:type="paragraph" w:styleId="BodyTextIndent">
    <w:name w:val="Body Text Indent"/>
    <w:basedOn w:val="Normal"/>
    <w:link w:val="BodyTextIndentChar"/>
    <w:semiHidden/>
    <w:rsid w:val="00A903E3"/>
    <w:pPr>
      <w:spacing w:before="0" w:after="200" w:line="252" w:lineRule="auto"/>
      <w:ind w:left="283"/>
      <w:jc w:val="left"/>
    </w:pPr>
    <w:rPr>
      <w:rFonts w:ascii="Cambria" w:hAnsi="Cambria"/>
      <w:szCs w:val="22"/>
    </w:rPr>
  </w:style>
  <w:style w:type="character" w:customStyle="1" w:styleId="BodyTextIndentChar">
    <w:name w:val="Body Text Indent Char"/>
    <w:basedOn w:val="DefaultParagraphFont"/>
    <w:link w:val="BodyTextIndent"/>
    <w:semiHidden/>
    <w:rsid w:val="00A903E3"/>
    <w:rPr>
      <w:rFonts w:ascii="Cambria" w:eastAsia="Times New Roman" w:hAnsi="Cambria" w:cs="Times New Roman"/>
      <w:lang w:eastAsia="el-GR"/>
    </w:rPr>
  </w:style>
  <w:style w:type="paragraph" w:styleId="BodyTextIndent3">
    <w:name w:val="Body Text Indent 3"/>
    <w:basedOn w:val="Normal"/>
    <w:link w:val="BodyTextIndent3Char"/>
    <w:uiPriority w:val="99"/>
    <w:semiHidden/>
    <w:unhideWhenUsed/>
    <w:rsid w:val="00A903E3"/>
    <w:pPr>
      <w:spacing w:before="0" w:line="276" w:lineRule="auto"/>
      <w:ind w:left="283"/>
      <w:jc w:val="left"/>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A903E3"/>
    <w:rPr>
      <w:rFonts w:eastAsiaTheme="minorHAnsi"/>
      <w:sz w:val="16"/>
      <w:szCs w:val="16"/>
      <w:lang w:eastAsia="en-US"/>
    </w:rPr>
  </w:style>
  <w:style w:type="character" w:customStyle="1" w:styleId="st">
    <w:name w:val="st"/>
    <w:basedOn w:val="DefaultParagraphFont"/>
    <w:rsid w:val="00A903E3"/>
  </w:style>
  <w:style w:type="paragraph" w:customStyle="1" w:styleId="Text4">
    <w:name w:val="Text 4"/>
    <w:basedOn w:val="Normal"/>
    <w:rsid w:val="00A903E3"/>
    <w:pPr>
      <w:spacing w:before="0" w:line="240" w:lineRule="auto"/>
    </w:pPr>
    <w:rPr>
      <w:rFonts w:ascii="Times New Roman" w:hAnsi="Times New Roman"/>
      <w:szCs w:val="20"/>
      <w:lang w:val="en-GB" w:eastAsia="en-US"/>
    </w:rPr>
  </w:style>
  <w:style w:type="character" w:customStyle="1" w:styleId="Normal2">
    <w:name w:val="Normal2"/>
    <w:basedOn w:val="DefaultParagraphFont"/>
    <w:rsid w:val="00A903E3"/>
  </w:style>
  <w:style w:type="character" w:customStyle="1" w:styleId="normal0">
    <w:name w:val="_normal"/>
    <w:basedOn w:val="DefaultParagraphFont"/>
    <w:rsid w:val="00A903E3"/>
  </w:style>
  <w:style w:type="character" w:customStyle="1" w:styleId="subhead">
    <w:name w:val="subhead"/>
    <w:basedOn w:val="DefaultParagraphFont"/>
    <w:rsid w:val="0093492B"/>
  </w:style>
  <w:style w:type="paragraph" w:styleId="TableofFigures">
    <w:name w:val="table of figures"/>
    <w:basedOn w:val="Normal"/>
    <w:next w:val="Normal"/>
    <w:uiPriority w:val="99"/>
    <w:unhideWhenUsed/>
    <w:rsid w:val="001D45A9"/>
    <w:pPr>
      <w:spacing w:after="0"/>
    </w:pPr>
  </w:style>
  <w:style w:type="table" w:styleId="GridTable1Light-Accent1">
    <w:name w:val="Grid Table 1 Light Accent 1"/>
    <w:basedOn w:val="TableNormal"/>
    <w:uiPriority w:val="46"/>
    <w:rsid w:val="009D62E9"/>
    <w:pPr>
      <w:spacing w:after="0" w:line="240" w:lineRule="auto"/>
    </w:pPr>
    <w:rPr>
      <w:lang w:eastAsia="zh-TW"/>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mallfon4">
    <w:name w:val="smallfon4"/>
    <w:basedOn w:val="DefaultParagraphFont"/>
    <w:rsid w:val="000D5C76"/>
    <w:rPr>
      <w:rFonts w:ascii="Verdana" w:hAnsi="Verdana" w:hint="default"/>
      <w:color w:val="333366"/>
      <w:sz w:val="15"/>
      <w:szCs w:val="15"/>
    </w:rPr>
  </w:style>
  <w:style w:type="paragraph" w:customStyle="1" w:styleId="Style4">
    <w:name w:val="Style4"/>
    <w:basedOn w:val="Normal"/>
    <w:uiPriority w:val="99"/>
    <w:rsid w:val="000E4281"/>
    <w:pPr>
      <w:widowControl w:val="0"/>
      <w:autoSpaceDE w:val="0"/>
      <w:autoSpaceDN w:val="0"/>
      <w:adjustRightInd w:val="0"/>
      <w:spacing w:before="0" w:after="0" w:line="240" w:lineRule="auto"/>
      <w:jc w:val="left"/>
    </w:pPr>
    <w:rPr>
      <w:rFonts w:ascii="Times New Roman" w:eastAsiaTheme="minorEastAsia" w:hAnsi="Times New Roman"/>
      <w:sz w:val="24"/>
    </w:rPr>
  </w:style>
  <w:style w:type="paragraph" w:customStyle="1" w:styleId="Style5">
    <w:name w:val="Style5"/>
    <w:basedOn w:val="Normal"/>
    <w:uiPriority w:val="99"/>
    <w:rsid w:val="000E4281"/>
    <w:pPr>
      <w:widowControl w:val="0"/>
      <w:autoSpaceDE w:val="0"/>
      <w:autoSpaceDN w:val="0"/>
      <w:adjustRightInd w:val="0"/>
      <w:spacing w:before="0" w:after="0" w:line="240" w:lineRule="auto"/>
      <w:jc w:val="left"/>
    </w:pPr>
    <w:rPr>
      <w:rFonts w:ascii="Times New Roman" w:eastAsiaTheme="minorEastAsia" w:hAnsi="Times New Roman"/>
      <w:sz w:val="24"/>
    </w:rPr>
  </w:style>
  <w:style w:type="paragraph" w:customStyle="1" w:styleId="Style6">
    <w:name w:val="Style6"/>
    <w:basedOn w:val="Normal"/>
    <w:uiPriority w:val="99"/>
    <w:rsid w:val="000E4281"/>
    <w:pPr>
      <w:widowControl w:val="0"/>
      <w:autoSpaceDE w:val="0"/>
      <w:autoSpaceDN w:val="0"/>
      <w:adjustRightInd w:val="0"/>
      <w:spacing w:before="0" w:after="0" w:line="240" w:lineRule="auto"/>
      <w:jc w:val="left"/>
    </w:pPr>
    <w:rPr>
      <w:rFonts w:ascii="Times New Roman" w:eastAsiaTheme="minorEastAsia" w:hAnsi="Times New Roman"/>
      <w:sz w:val="24"/>
    </w:rPr>
  </w:style>
  <w:style w:type="paragraph" w:customStyle="1" w:styleId="Style7">
    <w:name w:val="Style7"/>
    <w:basedOn w:val="Normal"/>
    <w:uiPriority w:val="99"/>
    <w:rsid w:val="000E4281"/>
    <w:pPr>
      <w:widowControl w:val="0"/>
      <w:autoSpaceDE w:val="0"/>
      <w:autoSpaceDN w:val="0"/>
      <w:adjustRightInd w:val="0"/>
      <w:spacing w:before="0" w:after="0" w:line="240" w:lineRule="auto"/>
      <w:jc w:val="left"/>
    </w:pPr>
    <w:rPr>
      <w:rFonts w:ascii="Times New Roman" w:eastAsiaTheme="minorEastAsia" w:hAnsi="Times New Roman"/>
      <w:sz w:val="24"/>
    </w:rPr>
  </w:style>
  <w:style w:type="paragraph" w:customStyle="1" w:styleId="Style8">
    <w:name w:val="Style8"/>
    <w:basedOn w:val="Normal"/>
    <w:uiPriority w:val="99"/>
    <w:rsid w:val="000E4281"/>
    <w:pPr>
      <w:widowControl w:val="0"/>
      <w:autoSpaceDE w:val="0"/>
      <w:autoSpaceDN w:val="0"/>
      <w:adjustRightInd w:val="0"/>
      <w:spacing w:before="0" w:after="0" w:line="154" w:lineRule="exact"/>
      <w:jc w:val="center"/>
    </w:pPr>
    <w:rPr>
      <w:rFonts w:ascii="Times New Roman" w:eastAsiaTheme="minorEastAsia" w:hAnsi="Times New Roman"/>
      <w:sz w:val="24"/>
    </w:rPr>
  </w:style>
  <w:style w:type="character" w:customStyle="1" w:styleId="FontStyle21">
    <w:name w:val="Font Style21"/>
    <w:basedOn w:val="DefaultParagraphFont"/>
    <w:uiPriority w:val="99"/>
    <w:rsid w:val="000E4281"/>
    <w:rPr>
      <w:rFonts w:ascii="Times New Roman" w:hAnsi="Times New Roman" w:cs="Times New Roman"/>
      <w:b/>
      <w:bCs/>
      <w:sz w:val="12"/>
      <w:szCs w:val="12"/>
    </w:rPr>
  </w:style>
  <w:style w:type="character" w:customStyle="1" w:styleId="FontStyle22">
    <w:name w:val="Font Style22"/>
    <w:basedOn w:val="DefaultParagraphFont"/>
    <w:uiPriority w:val="99"/>
    <w:rsid w:val="000E4281"/>
    <w:rPr>
      <w:rFonts w:ascii="Times New Roman" w:hAnsi="Times New Roman" w:cs="Times New Roman"/>
      <w:b/>
      <w:bCs/>
      <w:sz w:val="10"/>
      <w:szCs w:val="10"/>
    </w:rPr>
  </w:style>
  <w:style w:type="character" w:customStyle="1" w:styleId="FontStyle23">
    <w:name w:val="Font Style23"/>
    <w:basedOn w:val="DefaultParagraphFont"/>
    <w:uiPriority w:val="99"/>
    <w:rsid w:val="000E4281"/>
    <w:rPr>
      <w:rFonts w:ascii="Times New Roman" w:hAnsi="Times New Roman" w:cs="Times New Roman"/>
      <w:b/>
      <w:bCs/>
      <w:smallCaps/>
      <w:sz w:val="10"/>
      <w:szCs w:val="10"/>
    </w:rPr>
  </w:style>
  <w:style w:type="character" w:customStyle="1" w:styleId="FontStyle24">
    <w:name w:val="Font Style24"/>
    <w:basedOn w:val="DefaultParagraphFont"/>
    <w:uiPriority w:val="99"/>
    <w:rsid w:val="000E4281"/>
    <w:rPr>
      <w:rFonts w:ascii="Book Antiqua" w:hAnsi="Book Antiqua" w:cs="Book Antiqua"/>
      <w:b/>
      <w:bCs/>
      <w:i/>
      <w:iCs/>
      <w:sz w:val="12"/>
      <w:szCs w:val="12"/>
    </w:rPr>
  </w:style>
  <w:style w:type="character" w:customStyle="1" w:styleId="FontStyle25">
    <w:name w:val="Font Style25"/>
    <w:basedOn w:val="DefaultParagraphFont"/>
    <w:uiPriority w:val="99"/>
    <w:rsid w:val="000E4281"/>
    <w:rPr>
      <w:rFonts w:ascii="Times New Roman" w:hAnsi="Times New Roman" w:cs="Times New Roman"/>
      <w:b/>
      <w:bCs/>
      <w:i/>
      <w:iCs/>
      <w:sz w:val="10"/>
      <w:szCs w:val="10"/>
    </w:rPr>
  </w:style>
  <w:style w:type="character" w:customStyle="1" w:styleId="FontStyle32">
    <w:name w:val="Font Style32"/>
    <w:basedOn w:val="DefaultParagraphFont"/>
    <w:uiPriority w:val="99"/>
    <w:rsid w:val="000E4281"/>
    <w:rPr>
      <w:rFonts w:ascii="Arial Unicode MS" w:eastAsia="Arial Unicode MS" w:cs="Arial Unicode MS"/>
      <w:b/>
      <w:bCs/>
      <w:sz w:val="14"/>
      <w:szCs w:val="14"/>
    </w:rPr>
  </w:style>
  <w:style w:type="paragraph" w:customStyle="1" w:styleId="TABLENOTE">
    <w:name w:val="TABLENOTE"/>
    <w:basedOn w:val="Normal"/>
    <w:link w:val="TABLENOTEChar"/>
    <w:qFormat/>
    <w:rsid w:val="001A77F4"/>
    <w:pPr>
      <w:spacing w:before="60" w:after="240" w:line="240" w:lineRule="auto"/>
    </w:pPr>
    <w:rPr>
      <w:rFonts w:asciiTheme="minorHAnsi" w:hAnsiTheme="minorHAnsi" w:cs="TimesNewRomanPSMT"/>
      <w:b/>
      <w:i/>
      <w:sz w:val="16"/>
      <w:szCs w:val="16"/>
      <w:lang w:eastAsia="en-US"/>
    </w:rPr>
  </w:style>
  <w:style w:type="character" w:customStyle="1" w:styleId="TABLENOTEChar">
    <w:name w:val="TABLENOTE Char"/>
    <w:basedOn w:val="DefaultParagraphFont"/>
    <w:link w:val="TABLENOTE"/>
    <w:rsid w:val="001A77F4"/>
    <w:rPr>
      <w:rFonts w:eastAsia="Times New Roman" w:cs="TimesNewRomanPSMT"/>
      <w:b/>
      <w:i/>
      <w:sz w:val="16"/>
      <w:szCs w:val="16"/>
      <w:lang w:eastAsia="en-US"/>
    </w:rPr>
  </w:style>
  <w:style w:type="paragraph" w:customStyle="1" w:styleId="Style10">
    <w:name w:val="Style10"/>
    <w:basedOn w:val="Normal"/>
    <w:uiPriority w:val="99"/>
    <w:rsid w:val="00B54ADF"/>
    <w:pPr>
      <w:widowControl w:val="0"/>
      <w:autoSpaceDE w:val="0"/>
      <w:autoSpaceDN w:val="0"/>
      <w:adjustRightInd w:val="0"/>
      <w:spacing w:before="0" w:after="0" w:line="240" w:lineRule="auto"/>
      <w:jc w:val="left"/>
    </w:pPr>
    <w:rPr>
      <w:rFonts w:ascii="Times New Roman" w:eastAsiaTheme="minorEastAsia" w:hAnsi="Times New Roman"/>
      <w:sz w:val="24"/>
    </w:rPr>
  </w:style>
  <w:style w:type="paragraph" w:customStyle="1" w:styleId="Style12">
    <w:name w:val="Style12"/>
    <w:basedOn w:val="Normal"/>
    <w:uiPriority w:val="99"/>
    <w:rsid w:val="00B54ADF"/>
    <w:pPr>
      <w:widowControl w:val="0"/>
      <w:autoSpaceDE w:val="0"/>
      <w:autoSpaceDN w:val="0"/>
      <w:adjustRightInd w:val="0"/>
      <w:spacing w:before="0" w:after="0" w:line="269" w:lineRule="exact"/>
      <w:jc w:val="left"/>
    </w:pPr>
    <w:rPr>
      <w:rFonts w:ascii="Times New Roman" w:eastAsiaTheme="minorEastAsia" w:hAnsi="Times New Roman"/>
      <w:sz w:val="24"/>
    </w:rPr>
  </w:style>
  <w:style w:type="paragraph" w:customStyle="1" w:styleId="Style13">
    <w:name w:val="Style13"/>
    <w:basedOn w:val="Normal"/>
    <w:uiPriority w:val="99"/>
    <w:rsid w:val="00B54ADF"/>
    <w:pPr>
      <w:widowControl w:val="0"/>
      <w:autoSpaceDE w:val="0"/>
      <w:autoSpaceDN w:val="0"/>
      <w:adjustRightInd w:val="0"/>
      <w:spacing w:before="0" w:after="0" w:line="274" w:lineRule="exact"/>
      <w:jc w:val="center"/>
    </w:pPr>
    <w:rPr>
      <w:rFonts w:ascii="Times New Roman" w:eastAsiaTheme="minorEastAsia" w:hAnsi="Times New Roman"/>
      <w:sz w:val="24"/>
    </w:rPr>
  </w:style>
  <w:style w:type="character" w:customStyle="1" w:styleId="FontStyle26">
    <w:name w:val="Font Style26"/>
    <w:basedOn w:val="DefaultParagraphFont"/>
    <w:uiPriority w:val="99"/>
    <w:rsid w:val="00B54ADF"/>
    <w:rPr>
      <w:rFonts w:ascii="Calibri" w:hAnsi="Calibri" w:cs="Calibri"/>
      <w:b/>
      <w:bCs/>
      <w:sz w:val="20"/>
      <w:szCs w:val="20"/>
    </w:rPr>
  </w:style>
  <w:style w:type="character" w:customStyle="1" w:styleId="FontStyle27">
    <w:name w:val="Font Style27"/>
    <w:basedOn w:val="DefaultParagraphFont"/>
    <w:uiPriority w:val="99"/>
    <w:rsid w:val="00B54ADF"/>
    <w:rPr>
      <w:rFonts w:ascii="Calibri" w:hAnsi="Calibri" w:cs="Calibri"/>
      <w:b/>
      <w:bCs/>
      <w:smallCaps/>
      <w:sz w:val="18"/>
      <w:szCs w:val="18"/>
    </w:rPr>
  </w:style>
  <w:style w:type="character" w:customStyle="1" w:styleId="FontStyle28">
    <w:name w:val="Font Style28"/>
    <w:basedOn w:val="DefaultParagraphFont"/>
    <w:uiPriority w:val="99"/>
    <w:rsid w:val="00B54ADF"/>
    <w:rPr>
      <w:rFonts w:ascii="Calibri" w:hAnsi="Calibri" w:cs="Calibri"/>
      <w:b/>
      <w:bCs/>
      <w:smallCaps/>
      <w:sz w:val="20"/>
      <w:szCs w:val="20"/>
    </w:rPr>
  </w:style>
  <w:style w:type="character" w:customStyle="1" w:styleId="FontStyle30">
    <w:name w:val="Font Style30"/>
    <w:basedOn w:val="DefaultParagraphFont"/>
    <w:uiPriority w:val="99"/>
    <w:rsid w:val="00B54ADF"/>
    <w:rPr>
      <w:rFonts w:ascii="Times New Roman" w:hAnsi="Times New Roman" w:cs="Times New Roman"/>
      <w:b/>
      <w:bCs/>
      <w:sz w:val="20"/>
      <w:szCs w:val="20"/>
    </w:rPr>
  </w:style>
  <w:style w:type="character" w:customStyle="1" w:styleId="FontStyle34">
    <w:name w:val="Font Style34"/>
    <w:basedOn w:val="DefaultParagraphFont"/>
    <w:uiPriority w:val="99"/>
    <w:rsid w:val="00530003"/>
    <w:rPr>
      <w:rFonts w:ascii="Calibri" w:hAnsi="Calibri" w:cs="Calibri"/>
      <w:sz w:val="20"/>
      <w:szCs w:val="20"/>
    </w:rPr>
  </w:style>
  <w:style w:type="character" w:customStyle="1" w:styleId="FontStyle31">
    <w:name w:val="Font Style31"/>
    <w:basedOn w:val="DefaultParagraphFont"/>
    <w:uiPriority w:val="99"/>
    <w:rsid w:val="007E07B4"/>
    <w:rPr>
      <w:rFonts w:ascii="Times New Roman" w:hAnsi="Times New Roman" w:cs="Times New Roman"/>
      <w:sz w:val="20"/>
      <w:szCs w:val="20"/>
    </w:rPr>
  </w:style>
  <w:style w:type="paragraph" w:customStyle="1" w:styleId="21">
    <w:name w:val="Σώμα κείμενου με εσοχή 21"/>
    <w:basedOn w:val="Normal"/>
    <w:rsid w:val="003F501D"/>
    <w:pPr>
      <w:suppressAutoHyphens/>
      <w:spacing w:before="0" w:line="480" w:lineRule="auto"/>
      <w:ind w:left="283"/>
      <w:jc w:val="left"/>
    </w:pPr>
    <w:rPr>
      <w:rFonts w:ascii="Times New Roman" w:hAnsi="Times New Roman"/>
      <w:sz w:val="24"/>
      <w:lang w:eastAsia="ar-SA"/>
    </w:rPr>
  </w:style>
  <w:style w:type="paragraph" w:customStyle="1" w:styleId="FOOTNOTE">
    <w:name w:val="FOOTNOTE"/>
    <w:basedOn w:val="FootnoteText"/>
    <w:link w:val="FOOTNOTEChar"/>
    <w:qFormat/>
    <w:rsid w:val="00063D20"/>
    <w:pPr>
      <w:spacing w:before="0" w:after="0" w:line="240" w:lineRule="auto"/>
    </w:pPr>
    <w:rPr>
      <w:sz w:val="18"/>
      <w:szCs w:val="18"/>
    </w:rPr>
  </w:style>
  <w:style w:type="character" w:customStyle="1" w:styleId="FOOTNOTEChar">
    <w:name w:val="FOOTNOTE Char"/>
    <w:basedOn w:val="FootnoteTextChar"/>
    <w:link w:val="FOOTNOTE"/>
    <w:rsid w:val="00063D20"/>
    <w:rPr>
      <w:rFonts w:ascii="Calibri" w:eastAsia="Times New Roman" w:hAnsi="Calibri" w:cs="Times New Roman"/>
      <w:sz w:val="18"/>
      <w:szCs w:val="18"/>
      <w:lang w:eastAsia="el-GR"/>
    </w:rPr>
  </w:style>
  <w:style w:type="paragraph" w:customStyle="1" w:styleId="NormalJustify">
    <w:name w:val="Normal (Justify)"/>
    <w:rsid w:val="00E93106"/>
    <w:pPr>
      <w:spacing w:after="120"/>
      <w:jc w:val="both"/>
    </w:pPr>
    <w:rPr>
      <w:rFonts w:asciiTheme="majorHAnsi" w:hAnsiTheme="majorHAnsi" w:cstheme="majorHAnsi"/>
      <w:lang w:eastAsia="en-US"/>
    </w:rPr>
  </w:style>
  <w:style w:type="paragraph" w:customStyle="1" w:styleId="10">
    <w:name w:val="Παράγραφος λίστας1"/>
    <w:basedOn w:val="Normal"/>
    <w:uiPriority w:val="34"/>
    <w:qFormat/>
    <w:rsid w:val="00B25081"/>
    <w:pPr>
      <w:spacing w:before="0" w:after="200" w:line="276" w:lineRule="auto"/>
      <w:ind w:left="720"/>
      <w:contextualSpacing/>
      <w:jc w:val="left"/>
    </w:pPr>
    <w:rPr>
      <w:rFonts w:eastAsia="Calibri"/>
      <w:sz w:val="22"/>
      <w:szCs w:val="22"/>
      <w:lang w:val="en-GB" w:eastAsia="en-US"/>
    </w:rPr>
  </w:style>
  <w:style w:type="table" w:styleId="ListTable1Light-Accent3">
    <w:name w:val="List Table 1 Light Accent 3"/>
    <w:basedOn w:val="TableNormal"/>
    <w:uiPriority w:val="46"/>
    <w:rsid w:val="00725B6F"/>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EndnoteText">
    <w:name w:val="endnote text"/>
    <w:basedOn w:val="Normal"/>
    <w:link w:val="EndnoteTextChar"/>
    <w:uiPriority w:val="99"/>
    <w:semiHidden/>
    <w:unhideWhenUsed/>
    <w:rsid w:val="00B81081"/>
    <w:pPr>
      <w:spacing w:before="0" w:after="0" w:line="240" w:lineRule="auto"/>
    </w:pPr>
    <w:rPr>
      <w:szCs w:val="20"/>
    </w:rPr>
  </w:style>
  <w:style w:type="character" w:customStyle="1" w:styleId="EndnoteTextChar">
    <w:name w:val="Endnote Text Char"/>
    <w:basedOn w:val="DefaultParagraphFont"/>
    <w:link w:val="EndnoteText"/>
    <w:uiPriority w:val="99"/>
    <w:semiHidden/>
    <w:rsid w:val="00B81081"/>
    <w:rPr>
      <w:rFonts w:ascii="Calibri" w:eastAsia="Times New Roman" w:hAnsi="Calibri" w:cs="Times New Roman"/>
      <w:sz w:val="20"/>
      <w:szCs w:val="20"/>
      <w:lang w:eastAsia="el-GR"/>
    </w:rPr>
  </w:style>
  <w:style w:type="character" w:styleId="EndnoteReference">
    <w:name w:val="endnote reference"/>
    <w:basedOn w:val="DefaultParagraphFont"/>
    <w:uiPriority w:val="99"/>
    <w:semiHidden/>
    <w:unhideWhenUsed/>
    <w:rsid w:val="00B81081"/>
    <w:rPr>
      <w:vertAlign w:val="superscript"/>
    </w:rPr>
  </w:style>
  <w:style w:type="character" w:styleId="FollowedHyperlink">
    <w:name w:val="FollowedHyperlink"/>
    <w:basedOn w:val="DefaultParagraphFont"/>
    <w:uiPriority w:val="99"/>
    <w:semiHidden/>
    <w:unhideWhenUsed/>
    <w:rsid w:val="00810318"/>
    <w:rPr>
      <w:color w:val="954F72"/>
      <w:u w:val="single"/>
    </w:rPr>
  </w:style>
  <w:style w:type="paragraph" w:customStyle="1" w:styleId="font5">
    <w:name w:val="font5"/>
    <w:basedOn w:val="Normal"/>
    <w:rsid w:val="00810318"/>
    <w:pPr>
      <w:spacing w:before="100" w:beforeAutospacing="1" w:after="100" w:afterAutospacing="1" w:line="240" w:lineRule="auto"/>
      <w:jc w:val="left"/>
    </w:pPr>
    <w:rPr>
      <w:color w:val="000000"/>
      <w:szCs w:val="20"/>
      <w:lang w:val="en-US" w:eastAsia="en-US"/>
    </w:rPr>
  </w:style>
  <w:style w:type="paragraph" w:customStyle="1" w:styleId="xl64">
    <w:name w:val="xl64"/>
    <w:basedOn w:val="Normal"/>
    <w:rsid w:val="00810318"/>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szCs w:val="20"/>
      <w:lang w:val="en-US" w:eastAsia="en-US"/>
    </w:rPr>
  </w:style>
  <w:style w:type="paragraph" w:customStyle="1" w:styleId="xl65">
    <w:name w:val="xl65"/>
    <w:basedOn w:val="Normal"/>
    <w:rsid w:val="00810318"/>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66">
    <w:name w:val="xl66"/>
    <w:basedOn w:val="Normal"/>
    <w:rsid w:val="00810318"/>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szCs w:val="20"/>
      <w:lang w:val="en-US" w:eastAsia="en-US"/>
    </w:rPr>
  </w:style>
  <w:style w:type="paragraph" w:customStyle="1" w:styleId="xl67">
    <w:name w:val="xl67"/>
    <w:basedOn w:val="Normal"/>
    <w:rsid w:val="00810318"/>
    <w:pPr>
      <w:pBdr>
        <w:top w:val="single" w:sz="4" w:space="0" w:color="0070C0"/>
        <w:left w:val="single" w:sz="4" w:space="0" w:color="0070C0"/>
        <w:bottom w:val="single" w:sz="4" w:space="0" w:color="0070C0"/>
        <w:right w:val="single" w:sz="4" w:space="0" w:color="0070C0"/>
      </w:pBdr>
      <w:shd w:val="clear" w:color="000000" w:fill="E2EFDA"/>
      <w:spacing w:before="100" w:beforeAutospacing="1" w:after="100" w:afterAutospacing="1" w:line="240" w:lineRule="auto"/>
      <w:jc w:val="center"/>
      <w:textAlignment w:val="center"/>
    </w:pPr>
    <w:rPr>
      <w:rFonts w:ascii="Times New Roman" w:hAnsi="Times New Roman"/>
      <w:b/>
      <w:bCs/>
      <w:szCs w:val="20"/>
      <w:lang w:val="en-US" w:eastAsia="en-US"/>
    </w:rPr>
  </w:style>
  <w:style w:type="paragraph" w:customStyle="1" w:styleId="xl68">
    <w:name w:val="xl68"/>
    <w:basedOn w:val="Normal"/>
    <w:rsid w:val="00810318"/>
    <w:pPr>
      <w:pBdr>
        <w:top w:val="single" w:sz="4" w:space="0" w:color="0070C0"/>
        <w:left w:val="single" w:sz="4" w:space="0" w:color="0070C0"/>
        <w:bottom w:val="single" w:sz="4" w:space="0" w:color="0070C0"/>
        <w:right w:val="single" w:sz="4" w:space="0" w:color="0070C0"/>
      </w:pBdr>
      <w:shd w:val="clear" w:color="000000" w:fill="E2EFDA"/>
      <w:spacing w:before="100" w:beforeAutospacing="1" w:after="100" w:afterAutospacing="1" w:line="240" w:lineRule="auto"/>
      <w:jc w:val="center"/>
      <w:textAlignment w:val="center"/>
    </w:pPr>
    <w:rPr>
      <w:rFonts w:ascii="Times New Roman" w:hAnsi="Times New Roman"/>
      <w:b/>
      <w:bCs/>
      <w:szCs w:val="20"/>
      <w:lang w:val="en-US" w:eastAsia="en-US"/>
    </w:rPr>
  </w:style>
  <w:style w:type="paragraph" w:customStyle="1" w:styleId="xl69">
    <w:name w:val="xl69"/>
    <w:basedOn w:val="Normal"/>
    <w:rsid w:val="00810318"/>
    <w:pPr>
      <w:pBdr>
        <w:top w:val="single" w:sz="4" w:space="0" w:color="0070C0"/>
        <w:left w:val="single" w:sz="4" w:space="0" w:color="0070C0"/>
        <w:bottom w:val="single" w:sz="4" w:space="0" w:color="0070C0"/>
        <w:right w:val="single" w:sz="4" w:space="0" w:color="0070C0"/>
      </w:pBdr>
      <w:shd w:val="clear" w:color="000000" w:fill="E2EFDA"/>
      <w:spacing w:before="100" w:beforeAutospacing="1" w:after="100" w:afterAutospacing="1" w:line="240" w:lineRule="auto"/>
      <w:jc w:val="center"/>
      <w:textAlignment w:val="center"/>
    </w:pPr>
    <w:rPr>
      <w:rFonts w:ascii="Times New Roman" w:hAnsi="Times New Roman"/>
      <w:b/>
      <w:bCs/>
      <w:szCs w:val="20"/>
      <w:lang w:val="en-US" w:eastAsia="en-US"/>
    </w:rPr>
  </w:style>
  <w:style w:type="paragraph" w:customStyle="1" w:styleId="xl70">
    <w:name w:val="xl70"/>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right"/>
      <w:textAlignment w:val="center"/>
    </w:pPr>
    <w:rPr>
      <w:rFonts w:ascii="Times New Roman" w:hAnsi="Times New Roman"/>
      <w:szCs w:val="20"/>
      <w:lang w:val="en-US" w:eastAsia="en-US"/>
    </w:rPr>
  </w:style>
  <w:style w:type="paragraph" w:customStyle="1" w:styleId="xl71">
    <w:name w:val="xl71"/>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right"/>
      <w:textAlignment w:val="center"/>
    </w:pPr>
    <w:rPr>
      <w:rFonts w:ascii="Times New Roman" w:hAnsi="Times New Roman"/>
      <w:color w:val="FF0000"/>
      <w:szCs w:val="20"/>
      <w:lang w:val="en-US" w:eastAsia="en-US"/>
    </w:rPr>
  </w:style>
  <w:style w:type="paragraph" w:customStyle="1" w:styleId="xl72">
    <w:name w:val="xl72"/>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right"/>
      <w:textAlignment w:val="center"/>
    </w:pPr>
    <w:rPr>
      <w:rFonts w:ascii="Times New Roman" w:hAnsi="Times New Roman"/>
      <w:szCs w:val="20"/>
      <w:lang w:val="en-US" w:eastAsia="en-US"/>
    </w:rPr>
  </w:style>
  <w:style w:type="paragraph" w:customStyle="1" w:styleId="xl73">
    <w:name w:val="xl73"/>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right"/>
      <w:textAlignment w:val="center"/>
    </w:pPr>
    <w:rPr>
      <w:rFonts w:ascii="Times New Roman" w:hAnsi="Times New Roman"/>
      <w:szCs w:val="20"/>
      <w:lang w:val="en-US" w:eastAsia="en-US"/>
    </w:rPr>
  </w:style>
  <w:style w:type="paragraph" w:customStyle="1" w:styleId="xl74">
    <w:name w:val="xl74"/>
    <w:basedOn w:val="Normal"/>
    <w:rsid w:val="00810318"/>
    <w:pPr>
      <w:pBdr>
        <w:top w:val="single" w:sz="4" w:space="0" w:color="0070C0"/>
        <w:left w:val="single" w:sz="4" w:space="0" w:color="0070C0"/>
        <w:bottom w:val="single" w:sz="4" w:space="0" w:color="0070C0"/>
        <w:right w:val="single" w:sz="4" w:space="0" w:color="0070C0"/>
      </w:pBdr>
      <w:shd w:val="clear" w:color="000000" w:fill="FFFFFF"/>
      <w:spacing w:before="100" w:beforeAutospacing="1" w:after="100" w:afterAutospacing="1" w:line="240" w:lineRule="auto"/>
      <w:jc w:val="right"/>
      <w:textAlignment w:val="center"/>
    </w:pPr>
    <w:rPr>
      <w:rFonts w:ascii="Times New Roman" w:hAnsi="Times New Roman"/>
      <w:color w:val="FF0000"/>
      <w:szCs w:val="20"/>
      <w:lang w:val="en-US" w:eastAsia="en-US"/>
    </w:rPr>
  </w:style>
  <w:style w:type="paragraph" w:customStyle="1" w:styleId="xl75">
    <w:name w:val="xl75"/>
    <w:basedOn w:val="Normal"/>
    <w:rsid w:val="00810318"/>
    <w:pPr>
      <w:pBdr>
        <w:top w:val="single" w:sz="4" w:space="0" w:color="0070C0"/>
        <w:left w:val="single" w:sz="4" w:space="0" w:color="0070C0"/>
        <w:bottom w:val="single" w:sz="4" w:space="0" w:color="0070C0"/>
        <w:right w:val="single" w:sz="4" w:space="0" w:color="0070C0"/>
      </w:pBdr>
      <w:shd w:val="clear" w:color="000000" w:fill="FFFFFF"/>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76">
    <w:name w:val="xl76"/>
    <w:basedOn w:val="Normal"/>
    <w:rsid w:val="00810318"/>
    <w:pPr>
      <w:pBdr>
        <w:top w:val="single" w:sz="4" w:space="0" w:color="0070C0"/>
        <w:left w:val="single" w:sz="4" w:space="0" w:color="0070C0"/>
        <w:bottom w:val="single" w:sz="4" w:space="0" w:color="0070C0"/>
        <w:right w:val="single" w:sz="4" w:space="0" w:color="0070C0"/>
      </w:pBdr>
      <w:shd w:val="clear" w:color="000000" w:fill="FFFFFF"/>
      <w:spacing w:before="100" w:beforeAutospacing="1" w:after="100" w:afterAutospacing="1" w:line="240" w:lineRule="auto"/>
      <w:jc w:val="right"/>
      <w:textAlignment w:val="center"/>
    </w:pPr>
    <w:rPr>
      <w:rFonts w:ascii="Times New Roman" w:hAnsi="Times New Roman"/>
      <w:szCs w:val="20"/>
      <w:lang w:val="en-US" w:eastAsia="en-US"/>
    </w:rPr>
  </w:style>
  <w:style w:type="paragraph" w:customStyle="1" w:styleId="xl77">
    <w:name w:val="xl77"/>
    <w:basedOn w:val="Normal"/>
    <w:rsid w:val="00810318"/>
    <w:pPr>
      <w:pBdr>
        <w:top w:val="single" w:sz="4" w:space="0" w:color="0070C0"/>
        <w:left w:val="single" w:sz="4" w:space="0" w:color="0070C0"/>
        <w:bottom w:val="single" w:sz="4" w:space="0" w:color="0070C0"/>
        <w:right w:val="single" w:sz="4" w:space="0" w:color="0070C0"/>
      </w:pBdr>
      <w:shd w:val="clear" w:color="000000" w:fill="FFFFFF"/>
      <w:spacing w:before="100" w:beforeAutospacing="1" w:after="100" w:afterAutospacing="1" w:line="240" w:lineRule="auto"/>
      <w:jc w:val="right"/>
      <w:textAlignment w:val="center"/>
    </w:pPr>
    <w:rPr>
      <w:rFonts w:ascii="Times New Roman" w:hAnsi="Times New Roman"/>
      <w:szCs w:val="20"/>
      <w:lang w:val="en-US" w:eastAsia="en-US"/>
    </w:rPr>
  </w:style>
  <w:style w:type="paragraph" w:customStyle="1" w:styleId="xl78">
    <w:name w:val="xl78"/>
    <w:basedOn w:val="Normal"/>
    <w:rsid w:val="00810318"/>
    <w:pPr>
      <w:pBdr>
        <w:top w:val="single" w:sz="4" w:space="0" w:color="0070C0"/>
        <w:left w:val="single" w:sz="4" w:space="0" w:color="0070C0"/>
        <w:bottom w:val="single" w:sz="4" w:space="0" w:color="0070C0"/>
        <w:right w:val="single" w:sz="4" w:space="0" w:color="0070C0"/>
      </w:pBdr>
      <w:shd w:val="clear" w:color="000000" w:fill="FFFFFF"/>
      <w:spacing w:before="100" w:beforeAutospacing="1" w:after="100" w:afterAutospacing="1" w:line="240" w:lineRule="auto"/>
      <w:jc w:val="right"/>
      <w:textAlignment w:val="center"/>
    </w:pPr>
    <w:rPr>
      <w:rFonts w:ascii="Times New Roman" w:hAnsi="Times New Roman"/>
      <w:szCs w:val="20"/>
      <w:lang w:val="en-US" w:eastAsia="en-US"/>
    </w:rPr>
  </w:style>
  <w:style w:type="paragraph" w:customStyle="1" w:styleId="xl79">
    <w:name w:val="xl79"/>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right"/>
      <w:textAlignment w:val="center"/>
    </w:pPr>
    <w:rPr>
      <w:rFonts w:ascii="Times New Roman" w:hAnsi="Times New Roman"/>
      <w:color w:val="FF0000"/>
      <w:szCs w:val="20"/>
      <w:lang w:val="en-US" w:eastAsia="en-US"/>
    </w:rPr>
  </w:style>
  <w:style w:type="paragraph" w:customStyle="1" w:styleId="xl80">
    <w:name w:val="xl80"/>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left"/>
      <w:textAlignment w:val="center"/>
    </w:pPr>
    <w:rPr>
      <w:rFonts w:ascii="Times New Roman" w:hAnsi="Times New Roman"/>
      <w:color w:val="FF0000"/>
      <w:szCs w:val="20"/>
      <w:lang w:val="en-US" w:eastAsia="en-US"/>
    </w:rPr>
  </w:style>
  <w:style w:type="paragraph" w:customStyle="1" w:styleId="xl81">
    <w:name w:val="xl81"/>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82">
    <w:name w:val="xl82"/>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83">
    <w:name w:val="xl83"/>
    <w:basedOn w:val="Normal"/>
    <w:rsid w:val="00810318"/>
    <w:pPr>
      <w:pBdr>
        <w:top w:val="single" w:sz="4" w:space="0" w:color="0070C0"/>
        <w:left w:val="single" w:sz="4" w:space="0" w:color="0070C0"/>
        <w:bottom w:val="single" w:sz="4" w:space="0" w:color="0070C0"/>
        <w:right w:val="single" w:sz="4" w:space="0" w:color="0070C0"/>
      </w:pBdr>
      <w:shd w:val="clear" w:color="000000" w:fill="F8CBAD"/>
      <w:spacing w:before="100" w:beforeAutospacing="1" w:after="100" w:afterAutospacing="1" w:line="240" w:lineRule="auto"/>
      <w:jc w:val="left"/>
      <w:textAlignment w:val="center"/>
    </w:pPr>
    <w:rPr>
      <w:rFonts w:ascii="Times New Roman" w:hAnsi="Times New Roman"/>
      <w:b/>
      <w:bCs/>
      <w:sz w:val="24"/>
      <w:lang w:val="en-US" w:eastAsia="en-US"/>
    </w:rPr>
  </w:style>
  <w:style w:type="paragraph" w:customStyle="1" w:styleId="xl84">
    <w:name w:val="xl84"/>
    <w:basedOn w:val="Normal"/>
    <w:rsid w:val="00810318"/>
    <w:pPr>
      <w:pBdr>
        <w:top w:val="single" w:sz="4" w:space="0" w:color="0070C0"/>
        <w:left w:val="single" w:sz="4" w:space="0" w:color="0070C0"/>
        <w:bottom w:val="single" w:sz="4" w:space="0" w:color="0070C0"/>
        <w:right w:val="single" w:sz="4" w:space="0" w:color="0070C0"/>
      </w:pBdr>
      <w:shd w:val="clear" w:color="000000" w:fill="F8CBAD"/>
      <w:spacing w:before="100" w:beforeAutospacing="1" w:after="100" w:afterAutospacing="1" w:line="240" w:lineRule="auto"/>
      <w:jc w:val="left"/>
      <w:textAlignment w:val="center"/>
    </w:pPr>
    <w:rPr>
      <w:rFonts w:ascii="Times New Roman" w:hAnsi="Times New Roman"/>
      <w:b/>
      <w:bCs/>
      <w:sz w:val="24"/>
      <w:lang w:val="en-US" w:eastAsia="en-US"/>
    </w:rPr>
  </w:style>
  <w:style w:type="paragraph" w:customStyle="1" w:styleId="xl85">
    <w:name w:val="xl85"/>
    <w:basedOn w:val="Normal"/>
    <w:rsid w:val="00810318"/>
    <w:pPr>
      <w:pBdr>
        <w:top w:val="single" w:sz="4" w:space="0" w:color="0070C0"/>
        <w:left w:val="single" w:sz="4" w:space="0" w:color="0070C0"/>
        <w:bottom w:val="single" w:sz="4" w:space="0" w:color="0070C0"/>
        <w:right w:val="single" w:sz="4" w:space="0" w:color="0070C0"/>
      </w:pBdr>
      <w:shd w:val="clear" w:color="000000" w:fill="F8CBAD"/>
      <w:spacing w:before="100" w:beforeAutospacing="1" w:after="100" w:afterAutospacing="1" w:line="240" w:lineRule="auto"/>
      <w:jc w:val="left"/>
      <w:textAlignment w:val="center"/>
    </w:pPr>
    <w:rPr>
      <w:rFonts w:ascii="Times New Roman" w:hAnsi="Times New Roman"/>
      <w:b/>
      <w:bCs/>
      <w:sz w:val="24"/>
      <w:lang w:val="en-US" w:eastAsia="en-US"/>
    </w:rPr>
  </w:style>
  <w:style w:type="paragraph" w:customStyle="1" w:styleId="xl86">
    <w:name w:val="xl86"/>
    <w:basedOn w:val="Normal"/>
    <w:rsid w:val="00810318"/>
    <w:pPr>
      <w:pBdr>
        <w:top w:val="single" w:sz="4" w:space="0" w:color="0070C0"/>
        <w:left w:val="single" w:sz="4" w:space="0" w:color="0070C0"/>
        <w:bottom w:val="single" w:sz="4" w:space="0" w:color="0070C0"/>
        <w:right w:val="single" w:sz="4" w:space="0" w:color="0070C0"/>
      </w:pBdr>
      <w:shd w:val="clear" w:color="000000" w:fill="DDEBF7"/>
      <w:spacing w:before="100" w:beforeAutospacing="1" w:after="100" w:afterAutospacing="1" w:line="240" w:lineRule="auto"/>
      <w:jc w:val="center"/>
      <w:textAlignment w:val="center"/>
    </w:pPr>
    <w:rPr>
      <w:rFonts w:ascii="Times New Roman" w:hAnsi="Times New Roman"/>
      <w:b/>
      <w:bCs/>
      <w:szCs w:val="20"/>
      <w:lang w:val="en-US" w:eastAsia="en-US"/>
    </w:rPr>
  </w:style>
  <w:style w:type="paragraph" w:customStyle="1" w:styleId="xl87">
    <w:name w:val="xl87"/>
    <w:basedOn w:val="Normal"/>
    <w:rsid w:val="00810318"/>
    <w:pPr>
      <w:pBdr>
        <w:top w:val="single" w:sz="4" w:space="0" w:color="0070C0"/>
        <w:left w:val="single" w:sz="4" w:space="0" w:color="0070C0"/>
        <w:bottom w:val="single" w:sz="4" w:space="0" w:color="0070C0"/>
        <w:right w:val="single" w:sz="4" w:space="0" w:color="0070C0"/>
      </w:pBdr>
      <w:shd w:val="clear" w:color="000000" w:fill="DDEBF7"/>
      <w:spacing w:before="100" w:beforeAutospacing="1" w:after="100" w:afterAutospacing="1" w:line="240" w:lineRule="auto"/>
      <w:jc w:val="center"/>
      <w:textAlignment w:val="center"/>
    </w:pPr>
    <w:rPr>
      <w:rFonts w:ascii="Times New Roman" w:hAnsi="Times New Roman"/>
      <w:b/>
      <w:bCs/>
      <w:szCs w:val="20"/>
      <w:lang w:val="en-US" w:eastAsia="en-US"/>
    </w:rPr>
  </w:style>
  <w:style w:type="paragraph" w:customStyle="1" w:styleId="xl88">
    <w:name w:val="xl88"/>
    <w:basedOn w:val="Normal"/>
    <w:rsid w:val="00810318"/>
    <w:pPr>
      <w:pBdr>
        <w:top w:val="single" w:sz="4" w:space="0" w:color="0070C0"/>
        <w:left w:val="single" w:sz="4" w:space="0" w:color="0070C0"/>
        <w:bottom w:val="single" w:sz="4" w:space="0" w:color="0070C0"/>
        <w:right w:val="single" w:sz="4" w:space="0" w:color="0070C0"/>
      </w:pBdr>
      <w:shd w:val="clear" w:color="000000" w:fill="DDEBF7"/>
      <w:spacing w:before="100" w:beforeAutospacing="1" w:after="100" w:afterAutospacing="1" w:line="240" w:lineRule="auto"/>
      <w:jc w:val="center"/>
      <w:textAlignment w:val="center"/>
    </w:pPr>
    <w:rPr>
      <w:rFonts w:ascii="Times New Roman" w:hAnsi="Times New Roman"/>
      <w:b/>
      <w:bCs/>
      <w:szCs w:val="20"/>
      <w:lang w:val="en-US" w:eastAsia="en-US"/>
    </w:rPr>
  </w:style>
  <w:style w:type="paragraph" w:customStyle="1" w:styleId="xl89">
    <w:name w:val="xl89"/>
    <w:basedOn w:val="Normal"/>
    <w:rsid w:val="00810318"/>
    <w:pPr>
      <w:pBdr>
        <w:top w:val="single" w:sz="4" w:space="0" w:color="0070C0"/>
        <w:left w:val="single" w:sz="4" w:space="0" w:color="0070C0"/>
        <w:bottom w:val="single" w:sz="4" w:space="0" w:color="0070C0"/>
        <w:right w:val="single" w:sz="4" w:space="0" w:color="0070C0"/>
      </w:pBdr>
      <w:shd w:val="clear" w:color="000000" w:fill="DDEBF7"/>
      <w:spacing w:before="100" w:beforeAutospacing="1" w:after="100" w:afterAutospacing="1" w:line="240" w:lineRule="auto"/>
      <w:jc w:val="center"/>
      <w:textAlignment w:val="center"/>
    </w:pPr>
    <w:rPr>
      <w:rFonts w:ascii="Times New Roman" w:hAnsi="Times New Roman"/>
      <w:b/>
      <w:bCs/>
      <w:szCs w:val="20"/>
      <w:lang w:val="en-US" w:eastAsia="en-US"/>
    </w:rPr>
  </w:style>
  <w:style w:type="paragraph" w:customStyle="1" w:styleId="xl90">
    <w:name w:val="xl90"/>
    <w:basedOn w:val="Normal"/>
    <w:rsid w:val="00810318"/>
    <w:pPr>
      <w:pBdr>
        <w:top w:val="single" w:sz="4" w:space="0" w:color="0070C0"/>
        <w:left w:val="single" w:sz="4" w:space="0" w:color="0070C0"/>
        <w:bottom w:val="single" w:sz="4" w:space="0" w:color="0070C0"/>
        <w:right w:val="single" w:sz="4" w:space="0" w:color="0070C0"/>
      </w:pBdr>
      <w:shd w:val="clear" w:color="000000" w:fill="F8CBAD"/>
      <w:spacing w:before="100" w:beforeAutospacing="1" w:after="100" w:afterAutospacing="1" w:line="240" w:lineRule="auto"/>
      <w:jc w:val="left"/>
    </w:pPr>
    <w:rPr>
      <w:rFonts w:ascii="Times New Roman" w:hAnsi="Times New Roman"/>
      <w:sz w:val="24"/>
      <w:lang w:val="en-US" w:eastAsia="en-US"/>
    </w:rPr>
  </w:style>
  <w:style w:type="paragraph" w:customStyle="1" w:styleId="xl91">
    <w:name w:val="xl91"/>
    <w:basedOn w:val="Normal"/>
    <w:rsid w:val="00810318"/>
    <w:pPr>
      <w:pBdr>
        <w:top w:val="single" w:sz="4" w:space="0" w:color="0070C0"/>
        <w:left w:val="single" w:sz="4" w:space="0" w:color="0070C0"/>
        <w:bottom w:val="single" w:sz="4" w:space="0" w:color="0070C0"/>
        <w:right w:val="single" w:sz="4" w:space="0" w:color="0070C0"/>
      </w:pBdr>
      <w:shd w:val="clear" w:color="000000" w:fill="F8CBAD"/>
      <w:spacing w:before="100" w:beforeAutospacing="1" w:after="100" w:afterAutospacing="1" w:line="240" w:lineRule="auto"/>
      <w:jc w:val="left"/>
    </w:pPr>
    <w:rPr>
      <w:rFonts w:ascii="Times New Roman" w:hAnsi="Times New Roman"/>
      <w:sz w:val="24"/>
      <w:lang w:val="en-US" w:eastAsia="en-US"/>
    </w:rPr>
  </w:style>
  <w:style w:type="paragraph" w:customStyle="1" w:styleId="xl92">
    <w:name w:val="xl92"/>
    <w:basedOn w:val="Normal"/>
    <w:rsid w:val="00810318"/>
    <w:pPr>
      <w:pBdr>
        <w:top w:val="single" w:sz="4" w:space="0" w:color="0070C0"/>
        <w:left w:val="single" w:sz="4" w:space="0" w:color="0070C0"/>
        <w:bottom w:val="single" w:sz="4" w:space="0" w:color="0070C0"/>
        <w:right w:val="single" w:sz="4" w:space="0" w:color="0070C0"/>
      </w:pBdr>
      <w:shd w:val="clear" w:color="000000" w:fill="F8CBAD"/>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93">
    <w:name w:val="xl93"/>
    <w:basedOn w:val="Normal"/>
    <w:rsid w:val="00810318"/>
    <w:pPr>
      <w:pBdr>
        <w:top w:val="single" w:sz="4" w:space="0" w:color="0070C0"/>
        <w:left w:val="single" w:sz="4" w:space="0" w:color="0070C0"/>
        <w:bottom w:val="single" w:sz="4" w:space="0" w:color="0070C0"/>
        <w:right w:val="single" w:sz="4" w:space="0" w:color="0070C0"/>
      </w:pBdr>
      <w:shd w:val="clear" w:color="000000" w:fill="F8CBAD"/>
      <w:spacing w:before="100" w:beforeAutospacing="1" w:after="100" w:afterAutospacing="1" w:line="240" w:lineRule="auto"/>
      <w:jc w:val="left"/>
    </w:pPr>
    <w:rPr>
      <w:rFonts w:ascii="Times New Roman" w:hAnsi="Times New Roman"/>
      <w:b/>
      <w:bCs/>
      <w:sz w:val="24"/>
      <w:lang w:val="en-US" w:eastAsia="en-US"/>
    </w:rPr>
  </w:style>
  <w:style w:type="paragraph" w:customStyle="1" w:styleId="xl94">
    <w:name w:val="xl94"/>
    <w:basedOn w:val="Normal"/>
    <w:rsid w:val="00810318"/>
    <w:pPr>
      <w:pBdr>
        <w:top w:val="single" w:sz="4" w:space="0" w:color="0070C0"/>
        <w:left w:val="single" w:sz="4" w:space="0" w:color="0070C0"/>
        <w:bottom w:val="single" w:sz="4" w:space="0" w:color="0070C0"/>
        <w:right w:val="single" w:sz="4" w:space="0" w:color="0070C0"/>
      </w:pBdr>
      <w:shd w:val="clear" w:color="000000" w:fill="F8CBAD"/>
      <w:spacing w:before="100" w:beforeAutospacing="1" w:after="100" w:afterAutospacing="1" w:line="240" w:lineRule="auto"/>
      <w:jc w:val="left"/>
    </w:pPr>
    <w:rPr>
      <w:rFonts w:ascii="Times New Roman" w:hAnsi="Times New Roman"/>
      <w:b/>
      <w:bCs/>
      <w:sz w:val="24"/>
      <w:lang w:val="en-US" w:eastAsia="en-US"/>
    </w:rPr>
  </w:style>
  <w:style w:type="paragraph" w:customStyle="1" w:styleId="xl95">
    <w:name w:val="xl95"/>
    <w:basedOn w:val="Normal"/>
    <w:rsid w:val="00810318"/>
    <w:pPr>
      <w:shd w:val="clear" w:color="000000" w:fill="FFFFFF"/>
      <w:spacing w:before="100" w:beforeAutospacing="1" w:after="100" w:afterAutospacing="1" w:line="240" w:lineRule="auto"/>
      <w:jc w:val="left"/>
    </w:pPr>
    <w:rPr>
      <w:rFonts w:ascii="Times New Roman" w:hAnsi="Times New Roman"/>
      <w:sz w:val="24"/>
      <w:lang w:val="en-US" w:eastAsia="en-US"/>
    </w:rPr>
  </w:style>
  <w:style w:type="paragraph" w:customStyle="1" w:styleId="xl96">
    <w:name w:val="xl96"/>
    <w:basedOn w:val="Normal"/>
    <w:rsid w:val="00810318"/>
    <w:pPr>
      <w:shd w:val="clear" w:color="000000" w:fill="FFFFFF"/>
      <w:spacing w:before="100" w:beforeAutospacing="1" w:after="100" w:afterAutospacing="1" w:line="240" w:lineRule="auto"/>
      <w:jc w:val="left"/>
    </w:pPr>
    <w:rPr>
      <w:rFonts w:ascii="Times New Roman" w:hAnsi="Times New Roman"/>
      <w:sz w:val="24"/>
      <w:lang w:val="en-US" w:eastAsia="en-US"/>
    </w:rPr>
  </w:style>
  <w:style w:type="paragraph" w:customStyle="1" w:styleId="xl97">
    <w:name w:val="xl97"/>
    <w:basedOn w:val="Normal"/>
    <w:rsid w:val="00810318"/>
    <w:pPr>
      <w:shd w:val="clear" w:color="000000" w:fill="FFFFFF"/>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98">
    <w:name w:val="xl98"/>
    <w:basedOn w:val="Normal"/>
    <w:rsid w:val="00810318"/>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99">
    <w:name w:val="xl99"/>
    <w:basedOn w:val="Normal"/>
    <w:rsid w:val="00810318"/>
    <w:pPr>
      <w:pBdr>
        <w:top w:val="single" w:sz="4" w:space="0" w:color="00B0F0"/>
        <w:left w:val="single" w:sz="4" w:space="0" w:color="00B0F0"/>
        <w:bottom w:val="single" w:sz="4" w:space="0" w:color="00B0F0"/>
        <w:right w:val="single" w:sz="4" w:space="0" w:color="00B0F0"/>
      </w:pBdr>
      <w:shd w:val="clear" w:color="000000" w:fill="E2EFDA"/>
      <w:spacing w:before="100" w:beforeAutospacing="1" w:after="100" w:afterAutospacing="1" w:line="240" w:lineRule="auto"/>
      <w:jc w:val="left"/>
    </w:pPr>
    <w:rPr>
      <w:rFonts w:ascii="Times New Roman" w:hAnsi="Times New Roman"/>
      <w:b/>
      <w:bCs/>
      <w:sz w:val="24"/>
      <w:lang w:val="en-US" w:eastAsia="en-US"/>
    </w:rPr>
  </w:style>
  <w:style w:type="paragraph" w:customStyle="1" w:styleId="xl100">
    <w:name w:val="xl100"/>
    <w:basedOn w:val="Normal"/>
    <w:rsid w:val="00810318"/>
    <w:pPr>
      <w:pBdr>
        <w:top w:val="single" w:sz="4" w:space="0" w:color="00B0F0"/>
        <w:left w:val="single" w:sz="4" w:space="0" w:color="00B0F0"/>
        <w:bottom w:val="single" w:sz="4" w:space="0" w:color="00B0F0"/>
        <w:right w:val="single" w:sz="4" w:space="0" w:color="00B0F0"/>
      </w:pBdr>
      <w:shd w:val="clear" w:color="000000" w:fill="E2EFDA"/>
      <w:spacing w:before="100" w:beforeAutospacing="1" w:after="100" w:afterAutospacing="1" w:line="240" w:lineRule="auto"/>
      <w:jc w:val="left"/>
      <w:textAlignment w:val="center"/>
    </w:pPr>
    <w:rPr>
      <w:rFonts w:ascii="Times New Roman" w:hAnsi="Times New Roman"/>
      <w:b/>
      <w:bCs/>
      <w:sz w:val="24"/>
      <w:lang w:val="en-US" w:eastAsia="en-US"/>
    </w:rPr>
  </w:style>
  <w:style w:type="paragraph" w:customStyle="1" w:styleId="xl101">
    <w:name w:val="xl101"/>
    <w:basedOn w:val="Normal"/>
    <w:rsid w:val="00810318"/>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szCs w:val="20"/>
      <w:lang w:val="en-US" w:eastAsia="en-US"/>
    </w:rPr>
  </w:style>
  <w:style w:type="paragraph" w:customStyle="1" w:styleId="xl102">
    <w:name w:val="xl102"/>
    <w:basedOn w:val="Normal"/>
    <w:rsid w:val="00810318"/>
    <w:pPr>
      <w:pBdr>
        <w:top w:val="single" w:sz="4" w:space="0" w:color="00B0F0"/>
        <w:left w:val="single" w:sz="4" w:space="0" w:color="00B0F0"/>
        <w:bottom w:val="single" w:sz="4" w:space="0" w:color="00B0F0"/>
        <w:right w:val="single" w:sz="4" w:space="0" w:color="00B0F0"/>
      </w:pBdr>
      <w:shd w:val="clear" w:color="000000" w:fill="E2EFDA"/>
      <w:spacing w:before="100" w:beforeAutospacing="1" w:after="100" w:afterAutospacing="1" w:line="240" w:lineRule="auto"/>
      <w:jc w:val="center"/>
      <w:textAlignment w:val="center"/>
    </w:pPr>
    <w:rPr>
      <w:rFonts w:ascii="Times New Roman" w:hAnsi="Times New Roman"/>
      <w:szCs w:val="20"/>
      <w:lang w:val="en-US" w:eastAsia="en-US"/>
    </w:rPr>
  </w:style>
  <w:style w:type="paragraph" w:customStyle="1" w:styleId="xl103">
    <w:name w:val="xl103"/>
    <w:basedOn w:val="Normal"/>
    <w:rsid w:val="00810318"/>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left"/>
      <w:textAlignment w:val="center"/>
    </w:pPr>
    <w:rPr>
      <w:rFonts w:ascii="Times New Roman" w:hAnsi="Times New Roman"/>
      <w:b/>
      <w:bCs/>
      <w:color w:val="0070C0"/>
      <w:szCs w:val="20"/>
      <w:u w:val="single"/>
      <w:lang w:val="en-US" w:eastAsia="en-US"/>
    </w:rPr>
  </w:style>
  <w:style w:type="paragraph" w:customStyle="1" w:styleId="xl104">
    <w:name w:val="xl104"/>
    <w:basedOn w:val="Normal"/>
    <w:rsid w:val="00810318"/>
    <w:pPr>
      <w:pBdr>
        <w:top w:val="single" w:sz="4" w:space="0" w:color="00B0F0"/>
        <w:left w:val="single" w:sz="4" w:space="0" w:color="00B0F0"/>
        <w:bottom w:val="single" w:sz="4" w:space="0" w:color="00B0F0"/>
        <w:right w:val="single" w:sz="4" w:space="0" w:color="00B0F0"/>
      </w:pBdr>
      <w:shd w:val="clear" w:color="000000" w:fill="E2EFDA"/>
      <w:spacing w:before="100" w:beforeAutospacing="1" w:after="100" w:afterAutospacing="1" w:line="240" w:lineRule="auto"/>
      <w:jc w:val="center"/>
      <w:textAlignment w:val="center"/>
    </w:pPr>
    <w:rPr>
      <w:rFonts w:ascii="Times New Roman" w:hAnsi="Times New Roman"/>
      <w:szCs w:val="20"/>
      <w:lang w:val="en-US" w:eastAsia="en-US"/>
    </w:rPr>
  </w:style>
  <w:style w:type="paragraph" w:customStyle="1" w:styleId="xl105">
    <w:name w:val="xl105"/>
    <w:basedOn w:val="Normal"/>
    <w:rsid w:val="00810318"/>
    <w:pPr>
      <w:pBdr>
        <w:top w:val="single" w:sz="4" w:space="0" w:color="0070C0"/>
        <w:left w:val="single" w:sz="4" w:space="0" w:color="0070C0"/>
        <w:bottom w:val="single" w:sz="4" w:space="0" w:color="0070C0"/>
        <w:right w:val="single" w:sz="4" w:space="0" w:color="0070C0"/>
      </w:pBdr>
      <w:shd w:val="clear" w:color="000000" w:fill="FFFF00"/>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06">
    <w:name w:val="xl106"/>
    <w:basedOn w:val="Normal"/>
    <w:rsid w:val="00810318"/>
    <w:pPr>
      <w:pBdr>
        <w:top w:val="single" w:sz="4" w:space="0" w:color="0070C0"/>
        <w:left w:val="single" w:sz="4" w:space="0" w:color="0070C0"/>
        <w:bottom w:val="single" w:sz="4" w:space="0" w:color="0070C0"/>
        <w:right w:val="single" w:sz="4" w:space="0" w:color="0070C0"/>
      </w:pBdr>
      <w:shd w:val="clear" w:color="000000" w:fill="FFFF00"/>
      <w:spacing w:before="100" w:beforeAutospacing="1" w:after="100" w:afterAutospacing="1" w:line="240" w:lineRule="auto"/>
      <w:jc w:val="right"/>
      <w:textAlignment w:val="center"/>
    </w:pPr>
    <w:rPr>
      <w:rFonts w:ascii="Times New Roman" w:hAnsi="Times New Roman"/>
      <w:szCs w:val="20"/>
      <w:lang w:val="en-US" w:eastAsia="en-US"/>
    </w:rPr>
  </w:style>
  <w:style w:type="paragraph" w:customStyle="1" w:styleId="xl107">
    <w:name w:val="xl107"/>
    <w:basedOn w:val="Normal"/>
    <w:rsid w:val="00810318"/>
    <w:pPr>
      <w:pBdr>
        <w:top w:val="single" w:sz="4" w:space="0" w:color="0070C0"/>
        <w:left w:val="single" w:sz="4" w:space="0" w:color="0070C0"/>
        <w:bottom w:val="single" w:sz="4" w:space="0" w:color="0070C0"/>
        <w:right w:val="single" w:sz="4" w:space="0" w:color="0070C0"/>
      </w:pBdr>
      <w:shd w:val="clear" w:color="000000" w:fill="FFFF00"/>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08">
    <w:name w:val="xl108"/>
    <w:basedOn w:val="Normal"/>
    <w:rsid w:val="00810318"/>
    <w:pPr>
      <w:pBdr>
        <w:top w:val="single" w:sz="4" w:space="0" w:color="0070C0"/>
        <w:left w:val="single" w:sz="4" w:space="0" w:color="0070C0"/>
        <w:bottom w:val="single" w:sz="4" w:space="0" w:color="0070C0"/>
        <w:right w:val="single" w:sz="4" w:space="0" w:color="0070C0"/>
      </w:pBdr>
      <w:shd w:val="clear" w:color="000000" w:fill="FFFF00"/>
      <w:spacing w:before="100" w:beforeAutospacing="1" w:after="100" w:afterAutospacing="1" w:line="240" w:lineRule="auto"/>
      <w:jc w:val="left"/>
      <w:textAlignment w:val="center"/>
    </w:pPr>
    <w:rPr>
      <w:rFonts w:ascii="Times New Roman" w:hAnsi="Times New Roman"/>
      <w:color w:val="FF0000"/>
      <w:szCs w:val="20"/>
      <w:lang w:val="en-US" w:eastAsia="en-US"/>
    </w:rPr>
  </w:style>
  <w:style w:type="paragraph" w:customStyle="1" w:styleId="xl109">
    <w:name w:val="xl109"/>
    <w:basedOn w:val="Normal"/>
    <w:rsid w:val="00810318"/>
    <w:pPr>
      <w:pBdr>
        <w:top w:val="single" w:sz="4" w:space="0" w:color="0070C0"/>
        <w:left w:val="single" w:sz="4" w:space="0" w:color="0070C0"/>
        <w:bottom w:val="single" w:sz="4" w:space="0" w:color="0070C0"/>
        <w:right w:val="single" w:sz="4" w:space="0" w:color="0070C0"/>
      </w:pBdr>
      <w:shd w:val="clear" w:color="000000" w:fill="FFFF00"/>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10">
    <w:name w:val="xl110"/>
    <w:basedOn w:val="Normal"/>
    <w:rsid w:val="00810318"/>
    <w:pPr>
      <w:pBdr>
        <w:top w:val="single" w:sz="4" w:space="0" w:color="0070C0"/>
        <w:left w:val="single" w:sz="4" w:space="0" w:color="0070C0"/>
        <w:bottom w:val="single" w:sz="4" w:space="0" w:color="0070C0"/>
        <w:right w:val="single" w:sz="4" w:space="0" w:color="0070C0"/>
      </w:pBdr>
      <w:shd w:val="clear" w:color="000000" w:fill="FFFF00"/>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11">
    <w:name w:val="xl111"/>
    <w:basedOn w:val="Normal"/>
    <w:rsid w:val="00810318"/>
    <w:pPr>
      <w:spacing w:before="100" w:beforeAutospacing="1" w:after="100" w:afterAutospacing="1" w:line="240" w:lineRule="auto"/>
      <w:jc w:val="left"/>
    </w:pPr>
    <w:rPr>
      <w:rFonts w:ascii="Times New Roman" w:hAnsi="Times New Roman"/>
      <w:szCs w:val="20"/>
      <w:lang w:val="en-US" w:eastAsia="en-US"/>
    </w:rPr>
  </w:style>
  <w:style w:type="paragraph" w:customStyle="1" w:styleId="xl112">
    <w:name w:val="xl112"/>
    <w:basedOn w:val="Normal"/>
    <w:rsid w:val="00810318"/>
    <w:pPr>
      <w:spacing w:before="100" w:beforeAutospacing="1" w:after="100" w:afterAutospacing="1" w:line="240" w:lineRule="auto"/>
      <w:jc w:val="left"/>
    </w:pPr>
    <w:rPr>
      <w:rFonts w:ascii="Times New Roman" w:hAnsi="Times New Roman"/>
      <w:szCs w:val="20"/>
      <w:lang w:val="en-US" w:eastAsia="en-US"/>
    </w:rPr>
  </w:style>
  <w:style w:type="paragraph" w:customStyle="1" w:styleId="xl113">
    <w:name w:val="xl113"/>
    <w:basedOn w:val="Normal"/>
    <w:rsid w:val="00810318"/>
    <w:pPr>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14">
    <w:name w:val="xl114"/>
    <w:basedOn w:val="Normal"/>
    <w:rsid w:val="00810318"/>
    <w:pPr>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15">
    <w:name w:val="xl115"/>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pPr>
    <w:rPr>
      <w:rFonts w:ascii="Times New Roman" w:hAnsi="Times New Roman"/>
      <w:b/>
      <w:bCs/>
      <w:szCs w:val="20"/>
      <w:lang w:val="en-US" w:eastAsia="en-US"/>
    </w:rPr>
  </w:style>
  <w:style w:type="paragraph" w:customStyle="1" w:styleId="xl116">
    <w:name w:val="xl116"/>
    <w:basedOn w:val="Normal"/>
    <w:rsid w:val="00810318"/>
    <w:pPr>
      <w:pBdr>
        <w:top w:val="single" w:sz="4" w:space="0" w:color="0070C0"/>
        <w:left w:val="single" w:sz="4" w:space="0" w:color="0070C0"/>
        <w:bottom w:val="single" w:sz="4" w:space="0" w:color="0070C0"/>
        <w:right w:val="single" w:sz="4" w:space="0" w:color="0070C0"/>
      </w:pBdr>
      <w:shd w:val="clear" w:color="000000" w:fill="E2EFDA"/>
      <w:spacing w:before="100" w:beforeAutospacing="1" w:after="100" w:afterAutospacing="1" w:line="240" w:lineRule="auto"/>
      <w:jc w:val="center"/>
      <w:textAlignment w:val="center"/>
    </w:pPr>
    <w:rPr>
      <w:rFonts w:ascii="Times New Roman" w:hAnsi="Times New Roman"/>
      <w:b/>
      <w:bCs/>
      <w:szCs w:val="20"/>
      <w:lang w:val="en-US" w:eastAsia="en-US"/>
    </w:rPr>
  </w:style>
  <w:style w:type="paragraph" w:customStyle="1" w:styleId="xl117">
    <w:name w:val="xl117"/>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18">
    <w:name w:val="xl118"/>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19">
    <w:name w:val="xl119"/>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20">
    <w:name w:val="xl120"/>
    <w:basedOn w:val="Normal"/>
    <w:rsid w:val="00810318"/>
    <w:pPr>
      <w:pBdr>
        <w:top w:val="single" w:sz="4" w:space="0" w:color="0070C0"/>
        <w:left w:val="single" w:sz="4" w:space="0" w:color="0070C0"/>
        <w:bottom w:val="single" w:sz="4" w:space="0" w:color="0070C0"/>
        <w:right w:val="single" w:sz="4" w:space="0" w:color="0070C0"/>
      </w:pBdr>
      <w:shd w:val="clear" w:color="000000" w:fill="FFFFFF"/>
      <w:spacing w:before="100" w:beforeAutospacing="1" w:after="100" w:afterAutospacing="1" w:line="240" w:lineRule="auto"/>
      <w:jc w:val="right"/>
      <w:textAlignment w:val="center"/>
    </w:pPr>
    <w:rPr>
      <w:rFonts w:ascii="Times New Roman" w:hAnsi="Times New Roman"/>
      <w:i/>
      <w:iCs/>
      <w:szCs w:val="20"/>
      <w:lang w:val="en-US" w:eastAsia="en-US"/>
    </w:rPr>
  </w:style>
  <w:style w:type="paragraph" w:customStyle="1" w:styleId="xl121">
    <w:name w:val="xl121"/>
    <w:basedOn w:val="Normal"/>
    <w:rsid w:val="00810318"/>
    <w:pPr>
      <w:pBdr>
        <w:top w:val="single" w:sz="4" w:space="0" w:color="0070C0"/>
        <w:left w:val="single" w:sz="4" w:space="0" w:color="0070C0"/>
        <w:bottom w:val="single" w:sz="4" w:space="0" w:color="0070C0"/>
        <w:right w:val="single" w:sz="4" w:space="0" w:color="0070C0"/>
      </w:pBdr>
      <w:shd w:val="clear" w:color="000000" w:fill="FFFFFF"/>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22">
    <w:name w:val="xl122"/>
    <w:basedOn w:val="Normal"/>
    <w:rsid w:val="00810318"/>
    <w:pPr>
      <w:pBdr>
        <w:top w:val="single" w:sz="4" w:space="0" w:color="0070C0"/>
        <w:left w:val="single" w:sz="4" w:space="0" w:color="0070C0"/>
        <w:bottom w:val="single" w:sz="4" w:space="0" w:color="0070C0"/>
        <w:right w:val="single" w:sz="4" w:space="0" w:color="0070C0"/>
      </w:pBdr>
      <w:shd w:val="clear" w:color="000000" w:fill="FFFFFF"/>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23">
    <w:name w:val="xl123"/>
    <w:basedOn w:val="Normal"/>
    <w:rsid w:val="00810318"/>
    <w:pPr>
      <w:pBdr>
        <w:top w:val="single" w:sz="4" w:space="0" w:color="0070C0"/>
        <w:left w:val="single" w:sz="4" w:space="0" w:color="0070C0"/>
        <w:bottom w:val="single" w:sz="4" w:space="0" w:color="0070C0"/>
        <w:right w:val="single" w:sz="4" w:space="0" w:color="0070C0"/>
      </w:pBdr>
      <w:shd w:val="clear" w:color="000000" w:fill="F8CBAD"/>
      <w:spacing w:before="100" w:beforeAutospacing="1" w:after="100" w:afterAutospacing="1" w:line="240" w:lineRule="auto"/>
      <w:jc w:val="left"/>
      <w:textAlignment w:val="center"/>
    </w:pPr>
    <w:rPr>
      <w:rFonts w:ascii="Times New Roman" w:hAnsi="Times New Roman"/>
      <w:b/>
      <w:bCs/>
      <w:sz w:val="24"/>
      <w:lang w:val="en-US" w:eastAsia="en-US"/>
    </w:rPr>
  </w:style>
  <w:style w:type="paragraph" w:customStyle="1" w:styleId="xl124">
    <w:name w:val="xl124"/>
    <w:basedOn w:val="Normal"/>
    <w:rsid w:val="00810318"/>
    <w:pPr>
      <w:pBdr>
        <w:top w:val="single" w:sz="4" w:space="0" w:color="0070C0"/>
        <w:left w:val="single" w:sz="4" w:space="0" w:color="0070C0"/>
        <w:bottom w:val="single" w:sz="4" w:space="0" w:color="0070C0"/>
        <w:right w:val="single" w:sz="4" w:space="0" w:color="0070C0"/>
      </w:pBdr>
      <w:shd w:val="clear" w:color="000000" w:fill="FFFF00"/>
      <w:spacing w:before="100" w:beforeAutospacing="1" w:after="100" w:afterAutospacing="1" w:line="240" w:lineRule="auto"/>
      <w:jc w:val="right"/>
      <w:textAlignment w:val="center"/>
    </w:pPr>
    <w:rPr>
      <w:rFonts w:ascii="Times New Roman" w:hAnsi="Times New Roman"/>
      <w:szCs w:val="20"/>
      <w:lang w:val="en-US" w:eastAsia="en-US"/>
    </w:rPr>
  </w:style>
  <w:style w:type="paragraph" w:customStyle="1" w:styleId="xl125">
    <w:name w:val="xl125"/>
    <w:basedOn w:val="Normal"/>
    <w:rsid w:val="00810318"/>
    <w:pPr>
      <w:spacing w:before="100" w:beforeAutospacing="1" w:after="100" w:afterAutospacing="1" w:line="240" w:lineRule="auto"/>
      <w:jc w:val="left"/>
    </w:pPr>
    <w:rPr>
      <w:rFonts w:ascii="Times New Roman" w:hAnsi="Times New Roman"/>
      <w:b/>
      <w:bCs/>
      <w:szCs w:val="20"/>
      <w:lang w:val="en-US" w:eastAsia="en-US"/>
    </w:rPr>
  </w:style>
  <w:style w:type="paragraph" w:customStyle="1" w:styleId="xl126">
    <w:name w:val="xl126"/>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left"/>
    </w:pPr>
    <w:rPr>
      <w:rFonts w:ascii="Times New Roman" w:hAnsi="Times New Roman"/>
      <w:szCs w:val="20"/>
      <w:lang w:val="en-US" w:eastAsia="en-US"/>
    </w:rPr>
  </w:style>
  <w:style w:type="paragraph" w:customStyle="1" w:styleId="xl127">
    <w:name w:val="xl127"/>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left"/>
    </w:pPr>
    <w:rPr>
      <w:rFonts w:ascii="Times New Roman" w:hAnsi="Times New Roman"/>
      <w:szCs w:val="20"/>
      <w:lang w:val="en-US" w:eastAsia="en-US"/>
    </w:rPr>
  </w:style>
  <w:style w:type="paragraph" w:customStyle="1" w:styleId="xl128">
    <w:name w:val="xl128"/>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left"/>
    </w:pPr>
    <w:rPr>
      <w:rFonts w:ascii="Times New Roman" w:hAnsi="Times New Roman"/>
      <w:szCs w:val="20"/>
      <w:lang w:val="en-US" w:eastAsia="en-US"/>
    </w:rPr>
  </w:style>
  <w:style w:type="paragraph" w:customStyle="1" w:styleId="xl129">
    <w:name w:val="xl129"/>
    <w:basedOn w:val="Normal"/>
    <w:rsid w:val="00810318"/>
    <w:pPr>
      <w:shd w:val="clear" w:color="000000" w:fill="9BC2E6"/>
      <w:spacing w:before="100" w:beforeAutospacing="1" w:after="100" w:afterAutospacing="1" w:line="240" w:lineRule="auto"/>
      <w:jc w:val="left"/>
    </w:pPr>
    <w:rPr>
      <w:rFonts w:ascii="Times New Roman" w:hAnsi="Times New Roman"/>
      <w:szCs w:val="20"/>
      <w:lang w:val="en-US" w:eastAsia="en-US"/>
    </w:rPr>
  </w:style>
  <w:style w:type="paragraph" w:customStyle="1" w:styleId="xl130">
    <w:name w:val="xl130"/>
    <w:basedOn w:val="Normal"/>
    <w:rsid w:val="00810318"/>
    <w:pPr>
      <w:shd w:val="clear" w:color="000000" w:fill="9BC2E6"/>
      <w:spacing w:before="100" w:beforeAutospacing="1" w:after="100" w:afterAutospacing="1" w:line="240" w:lineRule="auto"/>
      <w:jc w:val="left"/>
    </w:pPr>
    <w:rPr>
      <w:rFonts w:ascii="Times New Roman" w:hAnsi="Times New Roman"/>
      <w:b/>
      <w:bCs/>
      <w:szCs w:val="20"/>
      <w:lang w:val="en-US" w:eastAsia="en-US"/>
    </w:rPr>
  </w:style>
  <w:style w:type="paragraph" w:customStyle="1" w:styleId="xl131">
    <w:name w:val="xl131"/>
    <w:basedOn w:val="Normal"/>
    <w:rsid w:val="00810318"/>
    <w:pPr>
      <w:pBdr>
        <w:top w:val="single" w:sz="4" w:space="0" w:color="0070C0"/>
        <w:left w:val="single" w:sz="4" w:space="0" w:color="0070C0"/>
        <w:bottom w:val="single" w:sz="4" w:space="0" w:color="0070C0"/>
        <w:right w:val="single" w:sz="4" w:space="0" w:color="0070C0"/>
      </w:pBdr>
      <w:shd w:val="clear" w:color="000000" w:fill="E2EFDA"/>
      <w:spacing w:before="100" w:beforeAutospacing="1" w:after="100" w:afterAutospacing="1" w:line="240" w:lineRule="auto"/>
      <w:jc w:val="left"/>
    </w:pPr>
    <w:rPr>
      <w:rFonts w:ascii="Times New Roman" w:hAnsi="Times New Roman"/>
      <w:sz w:val="24"/>
      <w:lang w:val="en-US" w:eastAsia="en-US"/>
    </w:rPr>
  </w:style>
  <w:style w:type="paragraph" w:customStyle="1" w:styleId="xl132">
    <w:name w:val="xl132"/>
    <w:basedOn w:val="Normal"/>
    <w:rsid w:val="00810318"/>
    <w:pPr>
      <w:pBdr>
        <w:top w:val="single" w:sz="4" w:space="0" w:color="0070C0"/>
        <w:left w:val="single" w:sz="4" w:space="0" w:color="0070C0"/>
        <w:bottom w:val="single" w:sz="4" w:space="0" w:color="0070C0"/>
        <w:right w:val="single" w:sz="4" w:space="0" w:color="0070C0"/>
      </w:pBdr>
      <w:shd w:val="clear" w:color="000000" w:fill="E7E6E6"/>
      <w:spacing w:before="100" w:beforeAutospacing="1" w:after="100" w:afterAutospacing="1" w:line="240" w:lineRule="auto"/>
      <w:jc w:val="left"/>
      <w:textAlignment w:val="center"/>
    </w:pPr>
    <w:rPr>
      <w:rFonts w:ascii="Times New Roman" w:hAnsi="Times New Roman"/>
      <w:sz w:val="18"/>
      <w:szCs w:val="18"/>
      <w:lang w:val="en-US" w:eastAsia="en-US"/>
    </w:rPr>
  </w:style>
  <w:style w:type="paragraph" w:customStyle="1" w:styleId="xl133">
    <w:name w:val="xl133"/>
    <w:basedOn w:val="Normal"/>
    <w:rsid w:val="00810318"/>
    <w:pPr>
      <w:pBdr>
        <w:top w:val="single" w:sz="4" w:space="0" w:color="0070C0"/>
        <w:left w:val="single" w:sz="4" w:space="0" w:color="0070C0"/>
        <w:bottom w:val="single" w:sz="4" w:space="0" w:color="0070C0"/>
        <w:right w:val="single" w:sz="4" w:space="0" w:color="0070C0"/>
      </w:pBdr>
      <w:shd w:val="clear" w:color="000000" w:fill="E7E6E6"/>
      <w:spacing w:before="100" w:beforeAutospacing="1" w:after="100" w:afterAutospacing="1" w:line="240" w:lineRule="auto"/>
      <w:jc w:val="center"/>
      <w:textAlignment w:val="center"/>
    </w:pPr>
    <w:rPr>
      <w:rFonts w:ascii="Times New Roman" w:hAnsi="Times New Roman"/>
      <w:b/>
      <w:bCs/>
      <w:color w:val="FF0000"/>
      <w:sz w:val="18"/>
      <w:szCs w:val="18"/>
      <w:lang w:val="en-US" w:eastAsia="en-US"/>
    </w:rPr>
  </w:style>
  <w:style w:type="paragraph" w:customStyle="1" w:styleId="xl134">
    <w:name w:val="xl134"/>
    <w:basedOn w:val="Normal"/>
    <w:rsid w:val="00810318"/>
    <w:pPr>
      <w:pBdr>
        <w:top w:val="single" w:sz="4" w:space="0" w:color="0070C0"/>
        <w:left w:val="single" w:sz="4" w:space="0" w:color="0070C0"/>
        <w:bottom w:val="single" w:sz="4" w:space="0" w:color="0070C0"/>
        <w:right w:val="single" w:sz="4" w:space="0" w:color="0070C0"/>
      </w:pBdr>
      <w:shd w:val="clear" w:color="000000" w:fill="E7E6E6"/>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35">
    <w:name w:val="xl135"/>
    <w:basedOn w:val="Normal"/>
    <w:rsid w:val="00810318"/>
    <w:pPr>
      <w:pBdr>
        <w:top w:val="single" w:sz="4" w:space="0" w:color="0070C0"/>
        <w:left w:val="single" w:sz="4" w:space="0" w:color="0070C0"/>
        <w:bottom w:val="single" w:sz="4" w:space="0" w:color="0070C0"/>
        <w:right w:val="single" w:sz="4" w:space="0" w:color="0070C0"/>
      </w:pBdr>
      <w:shd w:val="clear" w:color="000000" w:fill="E7E6E6"/>
      <w:spacing w:before="100" w:beforeAutospacing="1" w:after="100" w:afterAutospacing="1" w:line="240" w:lineRule="auto"/>
      <w:jc w:val="right"/>
      <w:textAlignment w:val="center"/>
    </w:pPr>
    <w:rPr>
      <w:rFonts w:ascii="Times New Roman" w:hAnsi="Times New Roman"/>
      <w:i/>
      <w:iCs/>
      <w:sz w:val="18"/>
      <w:szCs w:val="18"/>
      <w:lang w:val="en-US" w:eastAsia="en-US"/>
    </w:rPr>
  </w:style>
  <w:style w:type="paragraph" w:customStyle="1" w:styleId="xl136">
    <w:name w:val="xl136"/>
    <w:basedOn w:val="Normal"/>
    <w:rsid w:val="00810318"/>
    <w:pPr>
      <w:pBdr>
        <w:top w:val="single" w:sz="4" w:space="0" w:color="0070C0"/>
        <w:left w:val="single" w:sz="4" w:space="0" w:color="0070C0"/>
        <w:bottom w:val="single" w:sz="4" w:space="0" w:color="0070C0"/>
        <w:right w:val="single" w:sz="4" w:space="0" w:color="0070C0"/>
      </w:pBdr>
      <w:shd w:val="clear" w:color="000000" w:fill="E2EFDA"/>
      <w:spacing w:before="100" w:beforeAutospacing="1" w:after="100" w:afterAutospacing="1" w:line="240" w:lineRule="auto"/>
      <w:jc w:val="left"/>
    </w:pPr>
    <w:rPr>
      <w:rFonts w:ascii="Times New Roman" w:hAnsi="Times New Roman"/>
      <w:sz w:val="24"/>
      <w:lang w:val="en-US" w:eastAsia="en-US"/>
    </w:rPr>
  </w:style>
  <w:style w:type="paragraph" w:customStyle="1" w:styleId="xl137">
    <w:name w:val="xl137"/>
    <w:basedOn w:val="Normal"/>
    <w:rsid w:val="00810318"/>
    <w:pPr>
      <w:pBdr>
        <w:top w:val="single" w:sz="4" w:space="0" w:color="0070C0"/>
        <w:left w:val="single" w:sz="4" w:space="0" w:color="0070C0"/>
        <w:bottom w:val="single" w:sz="4" w:space="0" w:color="0070C0"/>
        <w:right w:val="single" w:sz="4" w:space="0" w:color="0070C0"/>
      </w:pBdr>
      <w:shd w:val="clear" w:color="000000" w:fill="E2EFDA"/>
      <w:spacing w:before="100" w:beforeAutospacing="1" w:after="100" w:afterAutospacing="1" w:line="240" w:lineRule="auto"/>
      <w:jc w:val="left"/>
    </w:pPr>
    <w:rPr>
      <w:rFonts w:ascii="Times New Roman" w:hAnsi="Times New Roman"/>
      <w:sz w:val="24"/>
      <w:lang w:val="en-US" w:eastAsia="en-US"/>
    </w:rPr>
  </w:style>
  <w:style w:type="paragraph" w:customStyle="1" w:styleId="xl138">
    <w:name w:val="xl138"/>
    <w:basedOn w:val="Normal"/>
    <w:rsid w:val="00810318"/>
    <w:pPr>
      <w:shd w:val="clear" w:color="000000" w:fill="FFFFFF"/>
      <w:spacing w:before="100" w:beforeAutospacing="1" w:after="100" w:afterAutospacing="1" w:line="240" w:lineRule="auto"/>
      <w:jc w:val="left"/>
    </w:pPr>
    <w:rPr>
      <w:rFonts w:ascii="Times New Roman" w:hAnsi="Times New Roman"/>
      <w:b/>
      <w:bCs/>
      <w:sz w:val="24"/>
      <w:lang w:val="en-US" w:eastAsia="en-US"/>
    </w:rPr>
  </w:style>
  <w:style w:type="paragraph" w:customStyle="1" w:styleId="xl139">
    <w:name w:val="xl139"/>
    <w:basedOn w:val="Normal"/>
    <w:rsid w:val="00810318"/>
    <w:pPr>
      <w:shd w:val="clear" w:color="000000" w:fill="FFFFFF"/>
      <w:spacing w:before="100" w:beforeAutospacing="1" w:after="100" w:afterAutospacing="1" w:line="240" w:lineRule="auto"/>
      <w:jc w:val="left"/>
    </w:pPr>
    <w:rPr>
      <w:rFonts w:ascii="Times New Roman" w:hAnsi="Times New Roman"/>
      <w:b/>
      <w:bCs/>
      <w:sz w:val="24"/>
      <w:lang w:val="en-US" w:eastAsia="en-US"/>
    </w:rPr>
  </w:style>
  <w:style w:type="paragraph" w:customStyle="1" w:styleId="xl140">
    <w:name w:val="xl140"/>
    <w:basedOn w:val="Normal"/>
    <w:rsid w:val="00810318"/>
    <w:pPr>
      <w:pBdr>
        <w:top w:val="single" w:sz="4" w:space="0" w:color="0070C0"/>
        <w:left w:val="single" w:sz="4" w:space="0" w:color="0070C0"/>
        <w:bottom w:val="single" w:sz="4" w:space="0" w:color="0070C0"/>
        <w:right w:val="single" w:sz="4" w:space="0" w:color="0070C0"/>
      </w:pBdr>
      <w:shd w:val="clear" w:color="000000" w:fill="ED7D31"/>
      <w:spacing w:before="100" w:beforeAutospacing="1" w:after="100" w:afterAutospacing="1" w:line="240" w:lineRule="auto"/>
      <w:jc w:val="center"/>
      <w:textAlignment w:val="center"/>
    </w:pPr>
    <w:rPr>
      <w:rFonts w:ascii="Times New Roman" w:hAnsi="Times New Roman"/>
      <w:b/>
      <w:bCs/>
      <w:color w:val="FF0000"/>
      <w:sz w:val="18"/>
      <w:szCs w:val="18"/>
      <w:lang w:val="en-US" w:eastAsia="en-US"/>
    </w:rPr>
  </w:style>
  <w:style w:type="paragraph" w:customStyle="1" w:styleId="xl141">
    <w:name w:val="xl141"/>
    <w:basedOn w:val="Normal"/>
    <w:rsid w:val="00810318"/>
    <w:pPr>
      <w:pBdr>
        <w:top w:val="single" w:sz="4" w:space="0" w:color="0070C0"/>
        <w:left w:val="single" w:sz="4" w:space="0" w:color="0070C0"/>
        <w:bottom w:val="single" w:sz="4" w:space="0" w:color="0070C0"/>
        <w:right w:val="single" w:sz="4" w:space="0" w:color="0070C0"/>
      </w:pBdr>
      <w:shd w:val="clear" w:color="000000" w:fill="ED7D31"/>
      <w:spacing w:before="100" w:beforeAutospacing="1" w:after="100" w:afterAutospacing="1" w:line="240" w:lineRule="auto"/>
      <w:jc w:val="right"/>
      <w:textAlignment w:val="center"/>
    </w:pPr>
    <w:rPr>
      <w:rFonts w:ascii="Times New Roman" w:hAnsi="Times New Roman"/>
      <w:szCs w:val="20"/>
      <w:lang w:val="en-US" w:eastAsia="en-US"/>
    </w:rPr>
  </w:style>
  <w:style w:type="paragraph" w:customStyle="1" w:styleId="xl142">
    <w:name w:val="xl142"/>
    <w:basedOn w:val="Normal"/>
    <w:rsid w:val="00810318"/>
    <w:pPr>
      <w:pBdr>
        <w:top w:val="single" w:sz="4" w:space="0" w:color="0070C0"/>
        <w:left w:val="single" w:sz="4" w:space="0" w:color="0070C0"/>
        <w:bottom w:val="single" w:sz="4" w:space="0" w:color="0070C0"/>
        <w:right w:val="single" w:sz="4" w:space="0" w:color="0070C0"/>
      </w:pBdr>
      <w:shd w:val="clear" w:color="000000" w:fill="ED7D31"/>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43">
    <w:name w:val="xl143"/>
    <w:basedOn w:val="Normal"/>
    <w:rsid w:val="00810318"/>
    <w:pPr>
      <w:pBdr>
        <w:top w:val="single" w:sz="4" w:space="0" w:color="0070C0"/>
        <w:left w:val="single" w:sz="4" w:space="0" w:color="0070C0"/>
        <w:bottom w:val="single" w:sz="4" w:space="0" w:color="0070C0"/>
        <w:right w:val="single" w:sz="4" w:space="0" w:color="0070C0"/>
      </w:pBdr>
      <w:shd w:val="clear" w:color="000000" w:fill="ED7D31"/>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44">
    <w:name w:val="xl144"/>
    <w:basedOn w:val="Normal"/>
    <w:rsid w:val="00810318"/>
    <w:pPr>
      <w:pBdr>
        <w:top w:val="single" w:sz="4" w:space="0" w:color="0070C0"/>
        <w:left w:val="single" w:sz="4" w:space="0" w:color="0070C0"/>
        <w:bottom w:val="single" w:sz="4" w:space="0" w:color="0070C0"/>
        <w:right w:val="single" w:sz="4" w:space="0" w:color="0070C0"/>
      </w:pBdr>
      <w:shd w:val="clear" w:color="000000" w:fill="ED7D31"/>
      <w:spacing w:before="100" w:beforeAutospacing="1" w:after="100" w:afterAutospacing="1" w:line="240" w:lineRule="auto"/>
      <w:jc w:val="right"/>
      <w:textAlignment w:val="center"/>
    </w:pPr>
    <w:rPr>
      <w:rFonts w:ascii="Times New Roman" w:hAnsi="Times New Roman"/>
      <w:color w:val="FF0000"/>
      <w:szCs w:val="20"/>
      <w:lang w:val="en-US" w:eastAsia="en-US"/>
    </w:rPr>
  </w:style>
  <w:style w:type="paragraph" w:customStyle="1" w:styleId="xl145">
    <w:name w:val="xl145"/>
    <w:basedOn w:val="Normal"/>
    <w:rsid w:val="00810318"/>
    <w:pPr>
      <w:pBdr>
        <w:top w:val="single" w:sz="4" w:space="0" w:color="0070C0"/>
        <w:left w:val="single" w:sz="4" w:space="0" w:color="0070C0"/>
        <w:bottom w:val="single" w:sz="4" w:space="0" w:color="0070C0"/>
        <w:right w:val="single" w:sz="4" w:space="0" w:color="0070C0"/>
      </w:pBdr>
      <w:shd w:val="clear" w:color="000000" w:fill="ED7D31"/>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46">
    <w:name w:val="xl146"/>
    <w:basedOn w:val="Normal"/>
    <w:rsid w:val="00810318"/>
    <w:pPr>
      <w:pBdr>
        <w:top w:val="single" w:sz="4" w:space="0" w:color="0070C0"/>
        <w:left w:val="single" w:sz="4" w:space="0" w:color="0070C0"/>
        <w:bottom w:val="single" w:sz="4" w:space="0" w:color="0070C0"/>
        <w:right w:val="single" w:sz="4" w:space="0" w:color="0070C0"/>
      </w:pBdr>
      <w:shd w:val="clear" w:color="000000" w:fill="ED7D31"/>
      <w:spacing w:before="100" w:beforeAutospacing="1" w:after="100" w:afterAutospacing="1" w:line="240" w:lineRule="auto"/>
      <w:jc w:val="right"/>
      <w:textAlignment w:val="center"/>
    </w:pPr>
    <w:rPr>
      <w:rFonts w:ascii="Times New Roman" w:hAnsi="Times New Roman"/>
      <w:szCs w:val="20"/>
      <w:lang w:val="en-US" w:eastAsia="en-US"/>
    </w:rPr>
  </w:style>
  <w:style w:type="paragraph" w:customStyle="1" w:styleId="xl147">
    <w:name w:val="xl147"/>
    <w:basedOn w:val="Normal"/>
    <w:rsid w:val="00810318"/>
    <w:pPr>
      <w:pBdr>
        <w:top w:val="single" w:sz="4" w:space="0" w:color="auto"/>
        <w:bottom w:val="single" w:sz="4" w:space="0" w:color="auto"/>
        <w:right w:val="single" w:sz="4" w:space="0" w:color="auto"/>
      </w:pBdr>
      <w:shd w:val="clear" w:color="000000" w:fill="ED7D31"/>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48">
    <w:name w:val="xl148"/>
    <w:basedOn w:val="Normal"/>
    <w:rsid w:val="00810318"/>
    <w:pPr>
      <w:shd w:val="clear" w:color="000000" w:fill="ED7D31"/>
      <w:spacing w:before="100" w:beforeAutospacing="1" w:after="100" w:afterAutospacing="1" w:line="240" w:lineRule="auto"/>
      <w:jc w:val="left"/>
    </w:pPr>
    <w:rPr>
      <w:rFonts w:ascii="Times New Roman" w:hAnsi="Times New Roman"/>
      <w:sz w:val="24"/>
      <w:lang w:val="en-US" w:eastAsia="en-US"/>
    </w:rPr>
  </w:style>
  <w:style w:type="paragraph" w:customStyle="1" w:styleId="xl149">
    <w:name w:val="xl149"/>
    <w:basedOn w:val="Normal"/>
    <w:rsid w:val="00810318"/>
    <w:pPr>
      <w:pBdr>
        <w:top w:val="single" w:sz="4" w:space="0" w:color="0070C0"/>
        <w:left w:val="single" w:sz="4" w:space="0" w:color="0070C0"/>
        <w:bottom w:val="single" w:sz="4" w:space="0" w:color="0070C0"/>
      </w:pBdr>
      <w:spacing w:before="100" w:beforeAutospacing="1" w:after="100" w:afterAutospacing="1" w:line="240" w:lineRule="auto"/>
      <w:jc w:val="left"/>
    </w:pPr>
    <w:rPr>
      <w:rFonts w:ascii="Times New Roman" w:hAnsi="Times New Roman"/>
      <w:szCs w:val="20"/>
      <w:lang w:val="en-US" w:eastAsia="en-US"/>
    </w:rPr>
  </w:style>
  <w:style w:type="paragraph" w:customStyle="1" w:styleId="xl150">
    <w:name w:val="xl150"/>
    <w:basedOn w:val="Normal"/>
    <w:rsid w:val="00810318"/>
    <w:pPr>
      <w:pBdr>
        <w:top w:val="single" w:sz="4" w:space="0" w:color="0070C0"/>
        <w:left w:val="single" w:sz="4" w:space="0" w:color="0070C0"/>
        <w:bottom w:val="single" w:sz="4" w:space="0" w:color="0070C0"/>
      </w:pBdr>
      <w:spacing w:before="100" w:beforeAutospacing="1" w:after="100" w:afterAutospacing="1" w:line="240" w:lineRule="auto"/>
      <w:jc w:val="right"/>
      <w:textAlignment w:val="center"/>
    </w:pPr>
    <w:rPr>
      <w:rFonts w:ascii="Times New Roman" w:hAnsi="Times New Roman"/>
      <w:szCs w:val="20"/>
      <w:lang w:val="en-US" w:eastAsia="en-US"/>
    </w:rPr>
  </w:style>
  <w:style w:type="paragraph" w:customStyle="1" w:styleId="xl151">
    <w:name w:val="xl151"/>
    <w:basedOn w:val="Normal"/>
    <w:rsid w:val="00810318"/>
    <w:pPr>
      <w:pBdr>
        <w:top w:val="single" w:sz="4" w:space="0" w:color="0070C0"/>
        <w:left w:val="single" w:sz="4" w:space="0" w:color="0070C0"/>
        <w:bottom w:val="single" w:sz="4" w:space="0" w:color="0070C0"/>
      </w:pBdr>
      <w:shd w:val="clear" w:color="000000" w:fill="ED7D31"/>
      <w:spacing w:before="100" w:beforeAutospacing="1" w:after="100" w:afterAutospacing="1" w:line="240" w:lineRule="auto"/>
      <w:jc w:val="right"/>
      <w:textAlignment w:val="center"/>
    </w:pPr>
    <w:rPr>
      <w:rFonts w:ascii="Times New Roman" w:hAnsi="Times New Roman"/>
      <w:szCs w:val="20"/>
      <w:lang w:val="en-US" w:eastAsia="en-US"/>
    </w:rPr>
  </w:style>
  <w:style w:type="paragraph" w:customStyle="1" w:styleId="xl152">
    <w:name w:val="xl152"/>
    <w:basedOn w:val="Normal"/>
    <w:rsid w:val="00810318"/>
    <w:pPr>
      <w:pBdr>
        <w:top w:val="single" w:sz="4" w:space="0" w:color="0070C0"/>
        <w:left w:val="single" w:sz="4" w:space="0" w:color="0070C0"/>
        <w:bottom w:val="single" w:sz="4" w:space="0" w:color="0070C0"/>
      </w:pBdr>
      <w:shd w:val="clear" w:color="000000" w:fill="F8CBAD"/>
      <w:spacing w:before="100" w:beforeAutospacing="1" w:after="100" w:afterAutospacing="1" w:line="240" w:lineRule="auto"/>
      <w:jc w:val="left"/>
      <w:textAlignment w:val="center"/>
    </w:pPr>
    <w:rPr>
      <w:rFonts w:ascii="Times New Roman" w:hAnsi="Times New Roman"/>
      <w:b/>
      <w:bCs/>
      <w:sz w:val="24"/>
      <w:lang w:val="en-US" w:eastAsia="en-US"/>
    </w:rPr>
  </w:style>
  <w:style w:type="paragraph" w:customStyle="1" w:styleId="xl153">
    <w:name w:val="xl153"/>
    <w:basedOn w:val="Normal"/>
    <w:rsid w:val="00810318"/>
    <w:pPr>
      <w:pBdr>
        <w:top w:val="single" w:sz="4" w:space="0" w:color="0070C0"/>
        <w:left w:val="single" w:sz="4" w:space="0" w:color="0070C0"/>
        <w:bottom w:val="single" w:sz="4" w:space="0" w:color="0070C0"/>
      </w:pBdr>
      <w:shd w:val="clear" w:color="000000" w:fill="F8CBAD"/>
      <w:spacing w:before="100" w:beforeAutospacing="1" w:after="100" w:afterAutospacing="1" w:line="240" w:lineRule="auto"/>
      <w:jc w:val="left"/>
    </w:pPr>
    <w:rPr>
      <w:rFonts w:ascii="Times New Roman" w:hAnsi="Times New Roman"/>
      <w:b/>
      <w:bCs/>
      <w:sz w:val="24"/>
      <w:lang w:val="en-US" w:eastAsia="en-US"/>
    </w:rPr>
  </w:style>
  <w:style w:type="paragraph" w:customStyle="1" w:styleId="xl154">
    <w:name w:val="xl154"/>
    <w:basedOn w:val="Normal"/>
    <w:rsid w:val="00810318"/>
    <w:pPr>
      <w:pBdr>
        <w:top w:val="single" w:sz="4" w:space="0" w:color="00B0F0"/>
        <w:left w:val="single" w:sz="4" w:space="0" w:color="00B0F0"/>
        <w:bottom w:val="single" w:sz="4" w:space="0" w:color="00B0F0"/>
      </w:pBdr>
      <w:spacing w:before="100" w:beforeAutospacing="1" w:after="100" w:afterAutospacing="1" w:line="240" w:lineRule="auto"/>
      <w:jc w:val="center"/>
      <w:textAlignment w:val="center"/>
    </w:pPr>
    <w:rPr>
      <w:rFonts w:ascii="Times New Roman" w:hAnsi="Times New Roman"/>
      <w:szCs w:val="20"/>
      <w:lang w:val="en-US" w:eastAsia="en-US"/>
    </w:rPr>
  </w:style>
  <w:style w:type="paragraph" w:customStyle="1" w:styleId="xl155">
    <w:name w:val="xl155"/>
    <w:basedOn w:val="Normal"/>
    <w:rsid w:val="00810318"/>
    <w:pPr>
      <w:pBdr>
        <w:top w:val="single" w:sz="4" w:space="0" w:color="00B0F0"/>
        <w:left w:val="single" w:sz="4" w:space="0" w:color="00B0F0"/>
        <w:bottom w:val="single" w:sz="4" w:space="0" w:color="00B0F0"/>
      </w:pBdr>
      <w:shd w:val="clear" w:color="000000" w:fill="E2EFDA"/>
      <w:spacing w:before="100" w:beforeAutospacing="1" w:after="100" w:afterAutospacing="1" w:line="240" w:lineRule="auto"/>
      <w:jc w:val="center"/>
      <w:textAlignment w:val="center"/>
    </w:pPr>
    <w:rPr>
      <w:rFonts w:ascii="Times New Roman" w:hAnsi="Times New Roman"/>
      <w:szCs w:val="20"/>
      <w:lang w:val="en-US" w:eastAsia="en-US"/>
    </w:rPr>
  </w:style>
  <w:style w:type="paragraph" w:customStyle="1" w:styleId="xl156">
    <w:name w:val="xl156"/>
    <w:basedOn w:val="Normal"/>
    <w:rsid w:val="00810318"/>
    <w:pPr>
      <w:pBdr>
        <w:top w:val="single" w:sz="4" w:space="0" w:color="00B0F0"/>
        <w:left w:val="single" w:sz="4" w:space="0" w:color="00B0F0"/>
        <w:bottom w:val="single" w:sz="4" w:space="0" w:color="00B0F0"/>
      </w:pBdr>
      <w:shd w:val="clear" w:color="000000" w:fill="E2EFDA"/>
      <w:spacing w:before="100" w:beforeAutospacing="1" w:after="100" w:afterAutospacing="1" w:line="240" w:lineRule="auto"/>
      <w:jc w:val="left"/>
    </w:pPr>
    <w:rPr>
      <w:rFonts w:ascii="Times New Roman" w:hAnsi="Times New Roman"/>
      <w:b/>
      <w:bCs/>
      <w:sz w:val="24"/>
      <w:lang w:val="en-US" w:eastAsia="en-US"/>
    </w:rPr>
  </w:style>
  <w:style w:type="paragraph" w:customStyle="1" w:styleId="xl157">
    <w:name w:val="xl157"/>
    <w:basedOn w:val="Normal"/>
    <w:rsid w:val="00810318"/>
    <w:pPr>
      <w:shd w:val="clear" w:color="000000" w:fill="BDD7EE"/>
      <w:spacing w:before="100" w:beforeAutospacing="1" w:after="100" w:afterAutospacing="1" w:line="240" w:lineRule="auto"/>
      <w:jc w:val="left"/>
    </w:pPr>
    <w:rPr>
      <w:rFonts w:ascii="Times New Roman" w:hAnsi="Times New Roman"/>
      <w:sz w:val="24"/>
      <w:lang w:val="en-US" w:eastAsia="en-US"/>
    </w:rPr>
  </w:style>
  <w:style w:type="paragraph" w:customStyle="1" w:styleId="xl158">
    <w:name w:val="xl158"/>
    <w:basedOn w:val="Normal"/>
    <w:rsid w:val="00810318"/>
    <w:pPr>
      <w:shd w:val="clear" w:color="000000" w:fill="DDEBF7"/>
      <w:spacing w:before="100" w:beforeAutospacing="1" w:after="100" w:afterAutospacing="1" w:line="240" w:lineRule="auto"/>
      <w:jc w:val="left"/>
    </w:pPr>
    <w:rPr>
      <w:rFonts w:ascii="Times New Roman" w:hAnsi="Times New Roman"/>
      <w:sz w:val="24"/>
      <w:lang w:val="en-US" w:eastAsia="en-US"/>
    </w:rPr>
  </w:style>
  <w:style w:type="paragraph" w:customStyle="1" w:styleId="xl159">
    <w:name w:val="xl159"/>
    <w:basedOn w:val="Normal"/>
    <w:rsid w:val="00810318"/>
    <w:pPr>
      <w:pBdr>
        <w:top w:val="single" w:sz="4" w:space="0" w:color="0070C0"/>
        <w:left w:val="single" w:sz="4" w:space="0" w:color="0070C0"/>
        <w:bottom w:val="single" w:sz="4" w:space="0" w:color="0070C0"/>
        <w:right w:val="single" w:sz="4" w:space="0" w:color="0070C0"/>
      </w:pBdr>
      <w:shd w:val="clear" w:color="000000" w:fill="FFFFFF"/>
      <w:spacing w:before="100" w:beforeAutospacing="1" w:after="100" w:afterAutospacing="1" w:line="240" w:lineRule="auto"/>
      <w:jc w:val="left"/>
      <w:textAlignment w:val="center"/>
    </w:pPr>
    <w:rPr>
      <w:rFonts w:ascii="Times New Roman" w:hAnsi="Times New Roman"/>
      <w:szCs w:val="20"/>
      <w:lang w:val="en-US" w:eastAsia="en-US"/>
    </w:rPr>
  </w:style>
  <w:style w:type="paragraph" w:customStyle="1" w:styleId="xl160">
    <w:name w:val="xl160"/>
    <w:basedOn w:val="Normal"/>
    <w:rsid w:val="00810318"/>
    <w:pPr>
      <w:pBdr>
        <w:top w:val="single" w:sz="4" w:space="0" w:color="0070C0"/>
        <w:left w:val="single" w:sz="4" w:space="0" w:color="0070C0"/>
        <w:bottom w:val="single" w:sz="4" w:space="0" w:color="0070C0"/>
        <w:right w:val="single" w:sz="4" w:space="0" w:color="0070C0"/>
      </w:pBdr>
      <w:shd w:val="clear" w:color="000000" w:fill="E2EFDA"/>
      <w:spacing w:before="100" w:beforeAutospacing="1" w:after="100" w:afterAutospacing="1" w:line="240" w:lineRule="auto"/>
      <w:jc w:val="left"/>
      <w:textAlignment w:val="center"/>
    </w:pPr>
    <w:rPr>
      <w:rFonts w:ascii="Times New Roman" w:hAnsi="Times New Roman"/>
      <w:b/>
      <w:bCs/>
      <w:color w:val="000000"/>
      <w:szCs w:val="20"/>
      <w:lang w:val="en-US" w:eastAsia="en-US"/>
    </w:rPr>
  </w:style>
  <w:style w:type="paragraph" w:customStyle="1" w:styleId="xl161">
    <w:name w:val="xl161"/>
    <w:basedOn w:val="Normal"/>
    <w:rsid w:val="00810318"/>
    <w:pPr>
      <w:pBdr>
        <w:top w:val="single" w:sz="4" w:space="0" w:color="0070C0"/>
        <w:bottom w:val="single" w:sz="4" w:space="0" w:color="0070C0"/>
        <w:right w:val="single" w:sz="4" w:space="0" w:color="0070C0"/>
      </w:pBdr>
      <w:shd w:val="clear" w:color="000000" w:fill="E2EFDA"/>
      <w:spacing w:before="100" w:beforeAutospacing="1" w:after="100" w:afterAutospacing="1" w:line="240" w:lineRule="auto"/>
      <w:jc w:val="left"/>
      <w:textAlignment w:val="center"/>
    </w:pPr>
    <w:rPr>
      <w:rFonts w:ascii="Times New Roman" w:hAnsi="Times New Roman"/>
      <w:b/>
      <w:bCs/>
      <w:color w:val="000000"/>
      <w:szCs w:val="20"/>
      <w:lang w:val="en-US" w:eastAsia="en-US"/>
    </w:rPr>
  </w:style>
  <w:style w:type="paragraph" w:customStyle="1" w:styleId="xl162">
    <w:name w:val="xl162"/>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hAnsi="Times New Roman"/>
      <w:szCs w:val="20"/>
      <w:lang w:val="en-US" w:eastAsia="en-US"/>
    </w:rPr>
  </w:style>
  <w:style w:type="paragraph" w:customStyle="1" w:styleId="xl163">
    <w:name w:val="xl163"/>
    <w:basedOn w:val="Normal"/>
    <w:rsid w:val="00810318"/>
    <w:pPr>
      <w:pBdr>
        <w:top w:val="single" w:sz="4" w:space="0" w:color="0070C0"/>
        <w:left w:val="single" w:sz="4" w:space="0" w:color="0070C0"/>
        <w:bottom w:val="single" w:sz="4" w:space="0" w:color="0070C0"/>
        <w:right w:val="single" w:sz="4" w:space="0" w:color="0070C0"/>
      </w:pBdr>
      <w:shd w:val="clear" w:color="000000" w:fill="F2F2F2"/>
      <w:spacing w:before="100" w:beforeAutospacing="1" w:after="100" w:afterAutospacing="1" w:line="240" w:lineRule="auto"/>
      <w:jc w:val="center"/>
      <w:textAlignment w:val="center"/>
    </w:pPr>
    <w:rPr>
      <w:rFonts w:ascii="Times New Roman" w:hAnsi="Times New Roman"/>
      <w:szCs w:val="20"/>
      <w:lang w:val="en-US" w:eastAsia="en-US"/>
    </w:rPr>
  </w:style>
  <w:style w:type="paragraph" w:customStyle="1" w:styleId="xl164">
    <w:name w:val="xl164"/>
    <w:basedOn w:val="Normal"/>
    <w:rsid w:val="00810318"/>
    <w:pPr>
      <w:pBdr>
        <w:top w:val="single" w:sz="4" w:space="0" w:color="0070C0"/>
        <w:left w:val="single" w:sz="4" w:space="0" w:color="0070C0"/>
        <w:bottom w:val="single" w:sz="4" w:space="0" w:color="0070C0"/>
        <w:right w:val="single" w:sz="4" w:space="0" w:color="0070C0"/>
      </w:pBdr>
      <w:shd w:val="clear" w:color="000000" w:fill="FFFF00"/>
      <w:spacing w:before="100" w:beforeAutospacing="1" w:after="100" w:afterAutospacing="1" w:line="240" w:lineRule="auto"/>
      <w:jc w:val="center"/>
      <w:textAlignment w:val="center"/>
    </w:pPr>
    <w:rPr>
      <w:rFonts w:ascii="Times New Roman" w:hAnsi="Times New Roman"/>
      <w:szCs w:val="20"/>
      <w:lang w:val="en-US" w:eastAsia="en-US"/>
    </w:rPr>
  </w:style>
  <w:style w:type="paragraph" w:customStyle="1" w:styleId="xl165">
    <w:name w:val="xl165"/>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hAnsi="Times New Roman"/>
      <w:b/>
      <w:bCs/>
      <w:szCs w:val="20"/>
      <w:lang w:val="en-US" w:eastAsia="en-US"/>
    </w:rPr>
  </w:style>
  <w:style w:type="paragraph" w:customStyle="1" w:styleId="xl166">
    <w:name w:val="xl166"/>
    <w:basedOn w:val="Normal"/>
    <w:rsid w:val="00810318"/>
    <w:pPr>
      <w:pBdr>
        <w:top w:val="single" w:sz="4" w:space="0" w:color="0070C0"/>
        <w:left w:val="single" w:sz="4" w:space="0" w:color="0070C0"/>
        <w:bottom w:val="single" w:sz="4" w:space="0" w:color="0070C0"/>
        <w:right w:val="single" w:sz="4" w:space="0" w:color="0070C0"/>
      </w:pBdr>
      <w:shd w:val="clear" w:color="000000" w:fill="F2F2F2"/>
      <w:spacing w:before="100" w:beforeAutospacing="1" w:after="100" w:afterAutospacing="1" w:line="240" w:lineRule="auto"/>
      <w:jc w:val="center"/>
      <w:textAlignment w:val="center"/>
    </w:pPr>
    <w:rPr>
      <w:rFonts w:ascii="Times New Roman" w:hAnsi="Times New Roman"/>
      <w:b/>
      <w:bCs/>
      <w:szCs w:val="20"/>
      <w:lang w:val="en-US" w:eastAsia="en-US"/>
    </w:rPr>
  </w:style>
  <w:style w:type="paragraph" w:customStyle="1" w:styleId="xl167">
    <w:name w:val="xl167"/>
    <w:basedOn w:val="Normal"/>
    <w:rsid w:val="00810318"/>
    <w:pPr>
      <w:pBdr>
        <w:top w:val="single" w:sz="8" w:space="0" w:color="auto"/>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Times New Roman" w:hAnsi="Times New Roman"/>
      <w:b/>
      <w:bCs/>
      <w:szCs w:val="20"/>
      <w:lang w:val="en-US" w:eastAsia="en-US"/>
    </w:rPr>
  </w:style>
  <w:style w:type="paragraph" w:customStyle="1" w:styleId="xl168">
    <w:name w:val="xl168"/>
    <w:basedOn w:val="Normal"/>
    <w:rsid w:val="00810318"/>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Times New Roman" w:hAnsi="Times New Roman"/>
      <w:b/>
      <w:bCs/>
      <w:szCs w:val="20"/>
      <w:lang w:val="en-US" w:eastAsia="en-US"/>
    </w:rPr>
  </w:style>
  <w:style w:type="paragraph" w:customStyle="1" w:styleId="xl169">
    <w:name w:val="xl169"/>
    <w:basedOn w:val="Normal"/>
    <w:rsid w:val="00810318"/>
    <w:pPr>
      <w:pBdr>
        <w:top w:val="single" w:sz="4" w:space="0" w:color="00B0F0"/>
        <w:left w:val="single" w:sz="4" w:space="0" w:color="00B0F0"/>
        <w:bottom w:val="single" w:sz="4" w:space="0" w:color="00B0F0"/>
      </w:pBdr>
      <w:shd w:val="clear" w:color="000000" w:fill="E2EFDA"/>
      <w:spacing w:before="100" w:beforeAutospacing="1" w:after="100" w:afterAutospacing="1" w:line="240" w:lineRule="auto"/>
      <w:jc w:val="right"/>
      <w:textAlignment w:val="center"/>
    </w:pPr>
    <w:rPr>
      <w:rFonts w:ascii="Times New Roman" w:hAnsi="Times New Roman"/>
      <w:b/>
      <w:bCs/>
      <w:sz w:val="24"/>
      <w:lang w:val="en-US" w:eastAsia="en-US"/>
    </w:rPr>
  </w:style>
  <w:style w:type="paragraph" w:customStyle="1" w:styleId="xl170">
    <w:name w:val="xl170"/>
    <w:basedOn w:val="Normal"/>
    <w:rsid w:val="00810318"/>
    <w:pPr>
      <w:pBdr>
        <w:top w:val="single" w:sz="4" w:space="0" w:color="00B0F0"/>
        <w:bottom w:val="single" w:sz="4" w:space="0" w:color="00B0F0"/>
        <w:right w:val="single" w:sz="4" w:space="0" w:color="00B0F0"/>
      </w:pBdr>
      <w:shd w:val="clear" w:color="000000" w:fill="E2EFDA"/>
      <w:spacing w:before="100" w:beforeAutospacing="1" w:after="100" w:afterAutospacing="1" w:line="240" w:lineRule="auto"/>
      <w:jc w:val="right"/>
      <w:textAlignment w:val="center"/>
    </w:pPr>
    <w:rPr>
      <w:rFonts w:ascii="Times New Roman" w:hAnsi="Times New Roman"/>
      <w:b/>
      <w:bCs/>
      <w:sz w:val="24"/>
      <w:lang w:val="en-US" w:eastAsia="en-US"/>
    </w:rPr>
  </w:style>
  <w:style w:type="paragraph" w:customStyle="1" w:styleId="xl171">
    <w:name w:val="xl171"/>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pPr>
    <w:rPr>
      <w:rFonts w:ascii="Times New Roman" w:hAnsi="Times New Roman"/>
      <w:szCs w:val="20"/>
      <w:lang w:val="en-US" w:eastAsia="en-US"/>
    </w:rPr>
  </w:style>
  <w:style w:type="paragraph" w:customStyle="1" w:styleId="xl172">
    <w:name w:val="xl172"/>
    <w:basedOn w:val="Normal"/>
    <w:rsid w:val="00810318"/>
    <w:pPr>
      <w:pBdr>
        <w:top w:val="single" w:sz="4" w:space="0" w:color="0070C0"/>
        <w:left w:val="single" w:sz="4" w:space="0" w:color="0070C0"/>
        <w:bottom w:val="single" w:sz="4" w:space="0" w:color="0070C0"/>
        <w:right w:val="single" w:sz="4" w:space="0" w:color="0070C0"/>
      </w:pBdr>
      <w:spacing w:before="100" w:beforeAutospacing="1" w:after="100" w:afterAutospacing="1" w:line="240" w:lineRule="auto"/>
      <w:jc w:val="center"/>
    </w:pPr>
    <w:rPr>
      <w:rFonts w:ascii="Times New Roman" w:hAnsi="Times New Roman"/>
      <w:szCs w:val="20"/>
      <w:lang w:val="en-US" w:eastAsia="en-US"/>
    </w:rPr>
  </w:style>
  <w:style w:type="paragraph" w:customStyle="1" w:styleId="xl173">
    <w:name w:val="xl173"/>
    <w:basedOn w:val="Normal"/>
    <w:rsid w:val="00810318"/>
    <w:pPr>
      <w:pBdr>
        <w:top w:val="single" w:sz="4" w:space="0" w:color="0070C0"/>
        <w:left w:val="single" w:sz="4" w:space="0" w:color="0070C0"/>
        <w:bottom w:val="single" w:sz="4" w:space="0" w:color="0070C0"/>
      </w:pBdr>
      <w:spacing w:before="100" w:beforeAutospacing="1" w:after="100" w:afterAutospacing="1" w:line="240" w:lineRule="auto"/>
      <w:jc w:val="center"/>
      <w:textAlignment w:val="center"/>
    </w:pPr>
    <w:rPr>
      <w:rFonts w:ascii="Times New Roman" w:hAnsi="Times New Roman"/>
      <w:szCs w:val="20"/>
      <w:lang w:val="en-US" w:eastAsia="en-US"/>
    </w:rPr>
  </w:style>
  <w:style w:type="paragraph" w:customStyle="1" w:styleId="xl174">
    <w:name w:val="xl174"/>
    <w:basedOn w:val="Normal"/>
    <w:rsid w:val="00810318"/>
    <w:pPr>
      <w:pBdr>
        <w:top w:val="single" w:sz="4" w:space="0" w:color="0070C0"/>
        <w:bottom w:val="single" w:sz="4" w:space="0" w:color="0070C0"/>
        <w:right w:val="single" w:sz="4" w:space="0" w:color="0070C0"/>
      </w:pBdr>
      <w:spacing w:before="100" w:beforeAutospacing="1" w:after="100" w:afterAutospacing="1" w:line="240" w:lineRule="auto"/>
      <w:jc w:val="center"/>
      <w:textAlignment w:val="center"/>
    </w:pPr>
    <w:rPr>
      <w:rFonts w:ascii="Times New Roman" w:hAnsi="Times New Roman"/>
      <w:szCs w:val="20"/>
      <w:lang w:val="en-US" w:eastAsia="en-US"/>
    </w:rPr>
  </w:style>
  <w:style w:type="paragraph" w:customStyle="1" w:styleId="xl175">
    <w:name w:val="xl175"/>
    <w:basedOn w:val="Normal"/>
    <w:rsid w:val="00810318"/>
    <w:pPr>
      <w:pBdr>
        <w:top w:val="single" w:sz="4" w:space="0" w:color="0070C0"/>
        <w:left w:val="single" w:sz="4" w:space="0" w:color="0070C0"/>
        <w:bottom w:val="single" w:sz="4" w:space="0" w:color="0070C0"/>
        <w:right w:val="single" w:sz="4" w:space="0" w:color="0070C0"/>
      </w:pBdr>
      <w:shd w:val="clear" w:color="000000" w:fill="ED7D31"/>
      <w:spacing w:before="100" w:beforeAutospacing="1" w:after="100" w:afterAutospacing="1" w:line="240" w:lineRule="auto"/>
      <w:jc w:val="center"/>
    </w:pPr>
    <w:rPr>
      <w:rFonts w:ascii="Times New Roman" w:hAnsi="Times New Roman"/>
      <w:szCs w:val="20"/>
      <w:lang w:val="en-US" w:eastAsia="en-US"/>
    </w:rPr>
  </w:style>
  <w:style w:type="paragraph" w:customStyle="1" w:styleId="xl63">
    <w:name w:val="xl63"/>
    <w:basedOn w:val="Normal"/>
    <w:rsid w:val="00383FA2"/>
    <w:pPr>
      <w:spacing w:before="100" w:beforeAutospacing="1" w:after="100" w:afterAutospacing="1" w:line="240" w:lineRule="auto"/>
      <w:jc w:val="left"/>
      <w:textAlignment w:val="center"/>
    </w:pPr>
    <w:rPr>
      <w:rFonts w:ascii="Times New Roman" w:hAnsi="Times New Roman"/>
      <w:sz w:val="24"/>
      <w:lang w:eastAsia="zh-TW"/>
    </w:rPr>
  </w:style>
  <w:style w:type="paragraph" w:customStyle="1" w:styleId="HEADINGALEVEL1">
    <w:name w:val="HEADING A.LEVEL1"/>
    <w:basedOn w:val="Normal"/>
    <w:rsid w:val="003F0B98"/>
    <w:pPr>
      <w:pageBreakBefore/>
      <w:numPr>
        <w:numId w:val="8"/>
      </w:numPr>
      <w:shd w:val="clear" w:color="auto" w:fill="215868" w:themeFill="accent5" w:themeFillShade="80"/>
      <w:tabs>
        <w:tab w:val="left" w:pos="709"/>
      </w:tabs>
      <w:spacing w:after="0" w:line="240" w:lineRule="auto"/>
      <w:jc w:val="left"/>
      <w:outlineLvl w:val="0"/>
    </w:pPr>
    <w:rPr>
      <w:rFonts w:cs="Calibri"/>
      <w:b/>
      <w:bCs/>
      <w:caps/>
      <w:color w:val="FFFFFF" w:themeColor="background1"/>
      <w:spacing w:val="8"/>
      <w:sz w:val="26"/>
      <w:szCs w:val="40"/>
    </w:rPr>
  </w:style>
  <w:style w:type="paragraph" w:customStyle="1" w:styleId="HEADINGALEVEL2">
    <w:name w:val="HEADING A.LEVEL2"/>
    <w:basedOn w:val="Heading2"/>
    <w:rsid w:val="003F0B98"/>
    <w:pPr>
      <w:keepNext w:val="0"/>
      <w:numPr>
        <w:ilvl w:val="0"/>
        <w:numId w:val="0"/>
      </w:numPr>
      <w:tabs>
        <w:tab w:val="left" w:pos="700"/>
      </w:tabs>
      <w:spacing w:before="0" w:after="200" w:line="276" w:lineRule="auto"/>
      <w:ind w:left="576" w:hanging="576"/>
    </w:pPr>
    <w:rPr>
      <w:rFonts w:eastAsiaTheme="minorHAnsi" w:cstheme="minorBidi"/>
      <w:bCs w:val="0"/>
      <w:iCs w:val="0"/>
      <w:color w:val="1C4D5A"/>
    </w:rPr>
  </w:style>
  <w:style w:type="paragraph" w:customStyle="1" w:styleId="HEADINGALEVEL3">
    <w:name w:val="HEADING A.LEVEL3"/>
    <w:basedOn w:val="Heading3"/>
    <w:next w:val="Normal"/>
    <w:link w:val="HEADINGALEVEL3Char"/>
    <w:rsid w:val="003F0B98"/>
    <w:pPr>
      <w:keepNext w:val="0"/>
      <w:numPr>
        <w:ilvl w:val="0"/>
        <w:numId w:val="0"/>
      </w:numPr>
      <w:pBdr>
        <w:bottom w:val="double" w:sz="4" w:space="1" w:color="F79646" w:themeColor="accent6"/>
      </w:pBdr>
      <w:tabs>
        <w:tab w:val="clear" w:pos="728"/>
        <w:tab w:val="left" w:pos="851"/>
      </w:tabs>
      <w:spacing w:before="0" w:after="200" w:line="276" w:lineRule="auto"/>
      <w:ind w:left="851" w:hanging="851"/>
      <w:jc w:val="left"/>
    </w:pPr>
    <w:rPr>
      <w:rFonts w:eastAsiaTheme="minorHAnsi"/>
      <w:bCs w:val="0"/>
      <w:i/>
      <w:color w:val="1C4D5A"/>
      <w14:textFill>
        <w14:solidFill>
          <w14:srgbClr w14:val="1C4D5A">
            <w14:lumMod w14:val="75000"/>
          </w14:srgbClr>
        </w14:solidFill>
      </w14:textFill>
    </w:rPr>
  </w:style>
  <w:style w:type="character" w:customStyle="1" w:styleId="HEADINGALEVEL3Char">
    <w:name w:val="HEADING A.LEVEL3 Char"/>
    <w:basedOn w:val="Heading3Char"/>
    <w:link w:val="HEADINGALEVEL3"/>
    <w:rsid w:val="003F0B98"/>
    <w:rPr>
      <w:rFonts w:ascii="Calibri" w:eastAsiaTheme="minorHAnsi" w:hAnsi="Calibri" w:cs="Arial"/>
      <w:b/>
      <w:bCs w:val="0"/>
      <w:i/>
      <w:color w:val="1C4D5A"/>
      <w:sz w:val="20"/>
      <w:szCs w:val="20"/>
      <w:lang w:eastAsia="en-US"/>
      <w14:textFill>
        <w14:solidFill>
          <w14:srgbClr w14:val="1C4D5A">
            <w14:lumMod w14:val="75000"/>
          </w14:srgbClr>
        </w14:solidFill>
      </w14:textFill>
    </w:rPr>
  </w:style>
  <w:style w:type="table" w:styleId="GridTable4-Accent5">
    <w:name w:val="Grid Table 4 Accent 5"/>
    <w:basedOn w:val="TableNormal"/>
    <w:uiPriority w:val="49"/>
    <w:rsid w:val="004F32F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D35EC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80519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5F7D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a">
    <w:name w:val="Συμπεράσματα"/>
    <w:basedOn w:val="ListParagraph"/>
    <w:rsid w:val="00315832"/>
    <w:pPr>
      <w:numPr>
        <w:numId w:val="10"/>
      </w:numPr>
      <w:tabs>
        <w:tab w:val="left" w:pos="567"/>
      </w:tabs>
      <w:spacing w:line="320" w:lineRule="atLeast"/>
      <w:contextualSpacing w:val="0"/>
    </w:pPr>
    <w:rPr>
      <w:rFonts w:asciiTheme="minorHAnsi" w:eastAsiaTheme="minorEastAsia" w:hAnsiTheme="minorHAnsi" w:cs="Calibri"/>
      <w:sz w:val="22"/>
      <w:szCs w:val="20"/>
      <w:lang w:eastAsia="en-US"/>
    </w:rPr>
  </w:style>
  <w:style w:type="paragraph" w:customStyle="1" w:styleId="Bullets12">
    <w:name w:val="Bullets 1.2"/>
    <w:qFormat/>
    <w:rsid w:val="00315832"/>
    <w:pPr>
      <w:numPr>
        <w:numId w:val="12"/>
      </w:numPr>
      <w:spacing w:before="200"/>
    </w:pPr>
    <w:rPr>
      <w:rFonts w:cs="Calibri"/>
      <w:sz w:val="20"/>
      <w:szCs w:val="20"/>
      <w:lang w:val="en-US" w:eastAsia="en-US"/>
    </w:rPr>
  </w:style>
  <w:style w:type="paragraph" w:customStyle="1" w:styleId="Bullet1">
    <w:name w:val="Bullet1"/>
    <w:basedOn w:val="Normal"/>
    <w:link w:val="Bullet1Char"/>
    <w:qFormat/>
    <w:rsid w:val="00315832"/>
    <w:pPr>
      <w:numPr>
        <w:numId w:val="11"/>
      </w:numPr>
      <w:tabs>
        <w:tab w:val="left" w:pos="567"/>
      </w:tabs>
      <w:spacing w:line="320" w:lineRule="atLeast"/>
    </w:pPr>
    <w:rPr>
      <w:rFonts w:asciiTheme="minorHAnsi" w:eastAsiaTheme="minorEastAsia" w:hAnsiTheme="minorHAnsi" w:cs="Calibri"/>
      <w:sz w:val="22"/>
      <w:szCs w:val="20"/>
      <w:lang w:val="en-US"/>
    </w:rPr>
  </w:style>
  <w:style w:type="character" w:customStyle="1" w:styleId="Bullet1Char">
    <w:name w:val="Bullet1 Char"/>
    <w:basedOn w:val="DefaultParagraphFont"/>
    <w:link w:val="Bullet1"/>
    <w:rsid w:val="00315832"/>
    <w:rPr>
      <w:rFonts w:cs="Calibri"/>
      <w:szCs w:val="20"/>
      <w:lang w:val="en-US" w:eastAsia="el-GR"/>
    </w:rPr>
  </w:style>
  <w:style w:type="paragraph" w:customStyle="1" w:styleId="Bullets40">
    <w:name w:val="Bullets 4"/>
    <w:basedOn w:val="Bullets4"/>
    <w:link w:val="Bullets4Char0"/>
    <w:qFormat/>
    <w:rsid w:val="00315832"/>
    <w:pPr>
      <w:tabs>
        <w:tab w:val="left" w:pos="567"/>
      </w:tabs>
      <w:spacing w:after="120" w:line="320" w:lineRule="atLeast"/>
    </w:pPr>
  </w:style>
  <w:style w:type="character" w:customStyle="1" w:styleId="Bullets4Char">
    <w:name w:val="Bullets4 Char"/>
    <w:basedOn w:val="DefaultParagraphFont"/>
    <w:link w:val="Bullets4"/>
    <w:rsid w:val="00315832"/>
    <w:rPr>
      <w:rFonts w:ascii="Calibri" w:eastAsia="Times New Roman" w:hAnsi="Calibri" w:cs="Times New Roman"/>
      <w:b/>
      <w:sz w:val="20"/>
      <w:szCs w:val="24"/>
      <w:u w:val="single"/>
      <w:lang w:eastAsia="el-GR"/>
    </w:rPr>
  </w:style>
  <w:style w:type="character" w:customStyle="1" w:styleId="Bullets4Char0">
    <w:name w:val="Bullets 4 Char"/>
    <w:basedOn w:val="Bullets4Char"/>
    <w:link w:val="Bullets40"/>
    <w:rsid w:val="00315832"/>
    <w:rPr>
      <w:rFonts w:ascii="Calibri" w:eastAsia="Times New Roman" w:hAnsi="Calibri" w:cs="Times New Roman"/>
      <w:b/>
      <w:sz w:val="20"/>
      <w:szCs w:val="24"/>
      <w:u w:val="single"/>
      <w:lang w:eastAsia="el-GR"/>
    </w:rPr>
  </w:style>
  <w:style w:type="paragraph" w:customStyle="1" w:styleId="Bullets6">
    <w:name w:val="Bullets6"/>
    <w:basedOn w:val="Bullets12"/>
    <w:qFormat/>
    <w:rsid w:val="00315832"/>
    <w:pPr>
      <w:spacing w:before="120" w:after="120" w:line="320" w:lineRule="atLeast"/>
      <w:jc w:val="both"/>
    </w:pPr>
    <w:rPr>
      <w:i/>
      <w:sz w:val="22"/>
      <w:lang w:val="el-GR"/>
    </w:rPr>
  </w:style>
  <w:style w:type="table" w:styleId="MediumShading1-Accent1">
    <w:name w:val="Medium Shading 1 Accent 1"/>
    <w:basedOn w:val="TableNormal"/>
    <w:uiPriority w:val="63"/>
    <w:rsid w:val="00035E82"/>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Table3-Accent5">
    <w:name w:val="List Table 3 Accent 5"/>
    <w:basedOn w:val="TableNormal"/>
    <w:uiPriority w:val="48"/>
    <w:rsid w:val="006A710F"/>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Bodytext75pt">
    <w:name w:val="Body text + 7;5 pt"/>
    <w:basedOn w:val="DefaultParagraphFont"/>
    <w:rsid w:val="008B665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l-GR"/>
    </w:rPr>
  </w:style>
  <w:style w:type="paragraph" w:customStyle="1" w:styleId="2">
    <w:name w:val="Σώμα κειμένου2"/>
    <w:basedOn w:val="Normal"/>
    <w:rsid w:val="008B6659"/>
    <w:pPr>
      <w:widowControl w:val="0"/>
      <w:shd w:val="clear" w:color="auto" w:fill="FFFFFF"/>
      <w:spacing w:before="0" w:after="480" w:line="274" w:lineRule="exact"/>
      <w:ind w:hanging="2420"/>
      <w:jc w:val="left"/>
    </w:pPr>
    <w:rPr>
      <w:rFonts w:ascii="Times New Roman" w:hAnsi="Times New Roman"/>
      <w:color w:val="000000"/>
      <w:sz w:val="23"/>
      <w:szCs w:val="23"/>
    </w:rPr>
  </w:style>
  <w:style w:type="character" w:customStyle="1" w:styleId="Headerorfooter">
    <w:name w:val="Header or footer_"/>
    <w:basedOn w:val="DefaultParagraphFont"/>
    <w:link w:val="Headerorfooter1"/>
    <w:rsid w:val="008B6659"/>
    <w:rPr>
      <w:rFonts w:ascii="Times New Roman" w:eastAsia="Times New Roman" w:hAnsi="Times New Roman" w:cs="Times New Roman"/>
      <w:sz w:val="17"/>
      <w:szCs w:val="17"/>
      <w:shd w:val="clear" w:color="auto" w:fill="FFFFFF"/>
    </w:rPr>
  </w:style>
  <w:style w:type="paragraph" w:customStyle="1" w:styleId="Headerorfooter1">
    <w:name w:val="Header or footer1"/>
    <w:basedOn w:val="Normal"/>
    <w:link w:val="Headerorfooter"/>
    <w:rsid w:val="008B6659"/>
    <w:pPr>
      <w:widowControl w:val="0"/>
      <w:shd w:val="clear" w:color="auto" w:fill="FFFFFF"/>
      <w:spacing w:before="0" w:after="0" w:line="206" w:lineRule="exact"/>
      <w:jc w:val="left"/>
    </w:pPr>
    <w:rPr>
      <w:rFonts w:ascii="Times New Roman" w:hAnsi="Times New Roman"/>
      <w:sz w:val="17"/>
      <w:szCs w:val="17"/>
      <w:lang w:eastAsia="zh-CN"/>
    </w:rPr>
  </w:style>
  <w:style w:type="character" w:customStyle="1" w:styleId="bold">
    <w:name w:val="bold"/>
    <w:basedOn w:val="DefaultParagraphFont"/>
    <w:rsid w:val="00E01402"/>
  </w:style>
  <w:style w:type="paragraph" w:customStyle="1" w:styleId="ti-tbl">
    <w:name w:val="ti-tbl"/>
    <w:basedOn w:val="Normal"/>
    <w:rsid w:val="00E01402"/>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52">
      <w:bodyDiv w:val="1"/>
      <w:marLeft w:val="0"/>
      <w:marRight w:val="0"/>
      <w:marTop w:val="0"/>
      <w:marBottom w:val="0"/>
      <w:divBdr>
        <w:top w:val="none" w:sz="0" w:space="0" w:color="auto"/>
        <w:left w:val="none" w:sz="0" w:space="0" w:color="auto"/>
        <w:bottom w:val="none" w:sz="0" w:space="0" w:color="auto"/>
        <w:right w:val="none" w:sz="0" w:space="0" w:color="auto"/>
      </w:divBdr>
    </w:div>
    <w:div w:id="10766221">
      <w:bodyDiv w:val="1"/>
      <w:marLeft w:val="0"/>
      <w:marRight w:val="0"/>
      <w:marTop w:val="0"/>
      <w:marBottom w:val="0"/>
      <w:divBdr>
        <w:top w:val="none" w:sz="0" w:space="0" w:color="auto"/>
        <w:left w:val="none" w:sz="0" w:space="0" w:color="auto"/>
        <w:bottom w:val="none" w:sz="0" w:space="0" w:color="auto"/>
        <w:right w:val="none" w:sz="0" w:space="0" w:color="auto"/>
      </w:divBdr>
    </w:div>
    <w:div w:id="13043564">
      <w:bodyDiv w:val="1"/>
      <w:marLeft w:val="0"/>
      <w:marRight w:val="0"/>
      <w:marTop w:val="0"/>
      <w:marBottom w:val="0"/>
      <w:divBdr>
        <w:top w:val="none" w:sz="0" w:space="0" w:color="auto"/>
        <w:left w:val="none" w:sz="0" w:space="0" w:color="auto"/>
        <w:bottom w:val="none" w:sz="0" w:space="0" w:color="auto"/>
        <w:right w:val="none" w:sz="0" w:space="0" w:color="auto"/>
      </w:divBdr>
    </w:div>
    <w:div w:id="43062536">
      <w:bodyDiv w:val="1"/>
      <w:marLeft w:val="0"/>
      <w:marRight w:val="0"/>
      <w:marTop w:val="0"/>
      <w:marBottom w:val="0"/>
      <w:divBdr>
        <w:top w:val="none" w:sz="0" w:space="0" w:color="auto"/>
        <w:left w:val="none" w:sz="0" w:space="0" w:color="auto"/>
        <w:bottom w:val="none" w:sz="0" w:space="0" w:color="auto"/>
        <w:right w:val="none" w:sz="0" w:space="0" w:color="auto"/>
      </w:divBdr>
    </w:div>
    <w:div w:id="58479973">
      <w:bodyDiv w:val="1"/>
      <w:marLeft w:val="0"/>
      <w:marRight w:val="0"/>
      <w:marTop w:val="0"/>
      <w:marBottom w:val="0"/>
      <w:divBdr>
        <w:top w:val="none" w:sz="0" w:space="0" w:color="auto"/>
        <w:left w:val="none" w:sz="0" w:space="0" w:color="auto"/>
        <w:bottom w:val="none" w:sz="0" w:space="0" w:color="auto"/>
        <w:right w:val="none" w:sz="0" w:space="0" w:color="auto"/>
      </w:divBdr>
    </w:div>
    <w:div w:id="81728623">
      <w:bodyDiv w:val="1"/>
      <w:marLeft w:val="0"/>
      <w:marRight w:val="0"/>
      <w:marTop w:val="0"/>
      <w:marBottom w:val="0"/>
      <w:divBdr>
        <w:top w:val="none" w:sz="0" w:space="0" w:color="auto"/>
        <w:left w:val="none" w:sz="0" w:space="0" w:color="auto"/>
        <w:bottom w:val="none" w:sz="0" w:space="0" w:color="auto"/>
        <w:right w:val="none" w:sz="0" w:space="0" w:color="auto"/>
      </w:divBdr>
    </w:div>
    <w:div w:id="84113155">
      <w:bodyDiv w:val="1"/>
      <w:marLeft w:val="0"/>
      <w:marRight w:val="0"/>
      <w:marTop w:val="0"/>
      <w:marBottom w:val="0"/>
      <w:divBdr>
        <w:top w:val="none" w:sz="0" w:space="0" w:color="auto"/>
        <w:left w:val="none" w:sz="0" w:space="0" w:color="auto"/>
        <w:bottom w:val="none" w:sz="0" w:space="0" w:color="auto"/>
        <w:right w:val="none" w:sz="0" w:space="0" w:color="auto"/>
      </w:divBdr>
    </w:div>
    <w:div w:id="84151884">
      <w:bodyDiv w:val="1"/>
      <w:marLeft w:val="0"/>
      <w:marRight w:val="0"/>
      <w:marTop w:val="0"/>
      <w:marBottom w:val="0"/>
      <w:divBdr>
        <w:top w:val="none" w:sz="0" w:space="0" w:color="auto"/>
        <w:left w:val="none" w:sz="0" w:space="0" w:color="auto"/>
        <w:bottom w:val="none" w:sz="0" w:space="0" w:color="auto"/>
        <w:right w:val="none" w:sz="0" w:space="0" w:color="auto"/>
      </w:divBdr>
    </w:div>
    <w:div w:id="93979467">
      <w:bodyDiv w:val="1"/>
      <w:marLeft w:val="0"/>
      <w:marRight w:val="0"/>
      <w:marTop w:val="0"/>
      <w:marBottom w:val="0"/>
      <w:divBdr>
        <w:top w:val="none" w:sz="0" w:space="0" w:color="auto"/>
        <w:left w:val="none" w:sz="0" w:space="0" w:color="auto"/>
        <w:bottom w:val="none" w:sz="0" w:space="0" w:color="auto"/>
        <w:right w:val="none" w:sz="0" w:space="0" w:color="auto"/>
      </w:divBdr>
    </w:div>
    <w:div w:id="98261500">
      <w:bodyDiv w:val="1"/>
      <w:marLeft w:val="0"/>
      <w:marRight w:val="0"/>
      <w:marTop w:val="0"/>
      <w:marBottom w:val="0"/>
      <w:divBdr>
        <w:top w:val="none" w:sz="0" w:space="0" w:color="auto"/>
        <w:left w:val="none" w:sz="0" w:space="0" w:color="auto"/>
        <w:bottom w:val="none" w:sz="0" w:space="0" w:color="auto"/>
        <w:right w:val="none" w:sz="0" w:space="0" w:color="auto"/>
      </w:divBdr>
    </w:div>
    <w:div w:id="105855756">
      <w:bodyDiv w:val="1"/>
      <w:marLeft w:val="0"/>
      <w:marRight w:val="0"/>
      <w:marTop w:val="0"/>
      <w:marBottom w:val="0"/>
      <w:divBdr>
        <w:top w:val="none" w:sz="0" w:space="0" w:color="auto"/>
        <w:left w:val="none" w:sz="0" w:space="0" w:color="auto"/>
        <w:bottom w:val="none" w:sz="0" w:space="0" w:color="auto"/>
        <w:right w:val="none" w:sz="0" w:space="0" w:color="auto"/>
      </w:divBdr>
    </w:div>
    <w:div w:id="108665689">
      <w:bodyDiv w:val="1"/>
      <w:marLeft w:val="0"/>
      <w:marRight w:val="0"/>
      <w:marTop w:val="0"/>
      <w:marBottom w:val="0"/>
      <w:divBdr>
        <w:top w:val="none" w:sz="0" w:space="0" w:color="auto"/>
        <w:left w:val="none" w:sz="0" w:space="0" w:color="auto"/>
        <w:bottom w:val="none" w:sz="0" w:space="0" w:color="auto"/>
        <w:right w:val="none" w:sz="0" w:space="0" w:color="auto"/>
      </w:divBdr>
    </w:div>
    <w:div w:id="108816490">
      <w:bodyDiv w:val="1"/>
      <w:marLeft w:val="0"/>
      <w:marRight w:val="0"/>
      <w:marTop w:val="0"/>
      <w:marBottom w:val="0"/>
      <w:divBdr>
        <w:top w:val="none" w:sz="0" w:space="0" w:color="auto"/>
        <w:left w:val="none" w:sz="0" w:space="0" w:color="auto"/>
        <w:bottom w:val="none" w:sz="0" w:space="0" w:color="auto"/>
        <w:right w:val="none" w:sz="0" w:space="0" w:color="auto"/>
      </w:divBdr>
    </w:div>
    <w:div w:id="109208390">
      <w:bodyDiv w:val="1"/>
      <w:marLeft w:val="0"/>
      <w:marRight w:val="0"/>
      <w:marTop w:val="0"/>
      <w:marBottom w:val="0"/>
      <w:divBdr>
        <w:top w:val="none" w:sz="0" w:space="0" w:color="auto"/>
        <w:left w:val="none" w:sz="0" w:space="0" w:color="auto"/>
        <w:bottom w:val="none" w:sz="0" w:space="0" w:color="auto"/>
        <w:right w:val="none" w:sz="0" w:space="0" w:color="auto"/>
      </w:divBdr>
    </w:div>
    <w:div w:id="118188696">
      <w:bodyDiv w:val="1"/>
      <w:marLeft w:val="0"/>
      <w:marRight w:val="0"/>
      <w:marTop w:val="0"/>
      <w:marBottom w:val="0"/>
      <w:divBdr>
        <w:top w:val="none" w:sz="0" w:space="0" w:color="auto"/>
        <w:left w:val="none" w:sz="0" w:space="0" w:color="auto"/>
        <w:bottom w:val="none" w:sz="0" w:space="0" w:color="auto"/>
        <w:right w:val="none" w:sz="0" w:space="0" w:color="auto"/>
      </w:divBdr>
    </w:div>
    <w:div w:id="122383681">
      <w:bodyDiv w:val="1"/>
      <w:marLeft w:val="0"/>
      <w:marRight w:val="0"/>
      <w:marTop w:val="0"/>
      <w:marBottom w:val="0"/>
      <w:divBdr>
        <w:top w:val="none" w:sz="0" w:space="0" w:color="auto"/>
        <w:left w:val="none" w:sz="0" w:space="0" w:color="auto"/>
        <w:bottom w:val="none" w:sz="0" w:space="0" w:color="auto"/>
        <w:right w:val="none" w:sz="0" w:space="0" w:color="auto"/>
      </w:divBdr>
    </w:div>
    <w:div w:id="148064742">
      <w:bodyDiv w:val="1"/>
      <w:marLeft w:val="0"/>
      <w:marRight w:val="0"/>
      <w:marTop w:val="0"/>
      <w:marBottom w:val="0"/>
      <w:divBdr>
        <w:top w:val="none" w:sz="0" w:space="0" w:color="auto"/>
        <w:left w:val="none" w:sz="0" w:space="0" w:color="auto"/>
        <w:bottom w:val="none" w:sz="0" w:space="0" w:color="auto"/>
        <w:right w:val="none" w:sz="0" w:space="0" w:color="auto"/>
      </w:divBdr>
    </w:div>
    <w:div w:id="152453895">
      <w:bodyDiv w:val="1"/>
      <w:marLeft w:val="0"/>
      <w:marRight w:val="0"/>
      <w:marTop w:val="0"/>
      <w:marBottom w:val="0"/>
      <w:divBdr>
        <w:top w:val="none" w:sz="0" w:space="0" w:color="auto"/>
        <w:left w:val="none" w:sz="0" w:space="0" w:color="auto"/>
        <w:bottom w:val="none" w:sz="0" w:space="0" w:color="auto"/>
        <w:right w:val="none" w:sz="0" w:space="0" w:color="auto"/>
      </w:divBdr>
    </w:div>
    <w:div w:id="159660778">
      <w:bodyDiv w:val="1"/>
      <w:marLeft w:val="0"/>
      <w:marRight w:val="0"/>
      <w:marTop w:val="0"/>
      <w:marBottom w:val="0"/>
      <w:divBdr>
        <w:top w:val="none" w:sz="0" w:space="0" w:color="auto"/>
        <w:left w:val="none" w:sz="0" w:space="0" w:color="auto"/>
        <w:bottom w:val="none" w:sz="0" w:space="0" w:color="auto"/>
        <w:right w:val="none" w:sz="0" w:space="0" w:color="auto"/>
      </w:divBdr>
    </w:div>
    <w:div w:id="172230172">
      <w:bodyDiv w:val="1"/>
      <w:marLeft w:val="0"/>
      <w:marRight w:val="0"/>
      <w:marTop w:val="0"/>
      <w:marBottom w:val="0"/>
      <w:divBdr>
        <w:top w:val="none" w:sz="0" w:space="0" w:color="auto"/>
        <w:left w:val="none" w:sz="0" w:space="0" w:color="auto"/>
        <w:bottom w:val="none" w:sz="0" w:space="0" w:color="auto"/>
        <w:right w:val="none" w:sz="0" w:space="0" w:color="auto"/>
      </w:divBdr>
    </w:div>
    <w:div w:id="182671488">
      <w:bodyDiv w:val="1"/>
      <w:marLeft w:val="0"/>
      <w:marRight w:val="0"/>
      <w:marTop w:val="0"/>
      <w:marBottom w:val="0"/>
      <w:divBdr>
        <w:top w:val="none" w:sz="0" w:space="0" w:color="auto"/>
        <w:left w:val="none" w:sz="0" w:space="0" w:color="auto"/>
        <w:bottom w:val="none" w:sz="0" w:space="0" w:color="auto"/>
        <w:right w:val="none" w:sz="0" w:space="0" w:color="auto"/>
      </w:divBdr>
    </w:div>
    <w:div w:id="186871545">
      <w:bodyDiv w:val="1"/>
      <w:marLeft w:val="0"/>
      <w:marRight w:val="0"/>
      <w:marTop w:val="0"/>
      <w:marBottom w:val="0"/>
      <w:divBdr>
        <w:top w:val="none" w:sz="0" w:space="0" w:color="auto"/>
        <w:left w:val="none" w:sz="0" w:space="0" w:color="auto"/>
        <w:bottom w:val="none" w:sz="0" w:space="0" w:color="auto"/>
        <w:right w:val="none" w:sz="0" w:space="0" w:color="auto"/>
      </w:divBdr>
    </w:div>
    <w:div w:id="200098501">
      <w:bodyDiv w:val="1"/>
      <w:marLeft w:val="0"/>
      <w:marRight w:val="0"/>
      <w:marTop w:val="0"/>
      <w:marBottom w:val="0"/>
      <w:divBdr>
        <w:top w:val="none" w:sz="0" w:space="0" w:color="auto"/>
        <w:left w:val="none" w:sz="0" w:space="0" w:color="auto"/>
        <w:bottom w:val="none" w:sz="0" w:space="0" w:color="auto"/>
        <w:right w:val="none" w:sz="0" w:space="0" w:color="auto"/>
      </w:divBdr>
    </w:div>
    <w:div w:id="222063651">
      <w:bodyDiv w:val="1"/>
      <w:marLeft w:val="0"/>
      <w:marRight w:val="0"/>
      <w:marTop w:val="0"/>
      <w:marBottom w:val="0"/>
      <w:divBdr>
        <w:top w:val="none" w:sz="0" w:space="0" w:color="auto"/>
        <w:left w:val="none" w:sz="0" w:space="0" w:color="auto"/>
        <w:bottom w:val="none" w:sz="0" w:space="0" w:color="auto"/>
        <w:right w:val="none" w:sz="0" w:space="0" w:color="auto"/>
      </w:divBdr>
    </w:div>
    <w:div w:id="222757864">
      <w:bodyDiv w:val="1"/>
      <w:marLeft w:val="0"/>
      <w:marRight w:val="0"/>
      <w:marTop w:val="0"/>
      <w:marBottom w:val="0"/>
      <w:divBdr>
        <w:top w:val="none" w:sz="0" w:space="0" w:color="auto"/>
        <w:left w:val="none" w:sz="0" w:space="0" w:color="auto"/>
        <w:bottom w:val="none" w:sz="0" w:space="0" w:color="auto"/>
        <w:right w:val="none" w:sz="0" w:space="0" w:color="auto"/>
      </w:divBdr>
    </w:div>
    <w:div w:id="227806920">
      <w:bodyDiv w:val="1"/>
      <w:marLeft w:val="0"/>
      <w:marRight w:val="0"/>
      <w:marTop w:val="0"/>
      <w:marBottom w:val="0"/>
      <w:divBdr>
        <w:top w:val="none" w:sz="0" w:space="0" w:color="auto"/>
        <w:left w:val="none" w:sz="0" w:space="0" w:color="auto"/>
        <w:bottom w:val="none" w:sz="0" w:space="0" w:color="auto"/>
        <w:right w:val="none" w:sz="0" w:space="0" w:color="auto"/>
      </w:divBdr>
    </w:div>
    <w:div w:id="233123061">
      <w:bodyDiv w:val="1"/>
      <w:marLeft w:val="0"/>
      <w:marRight w:val="0"/>
      <w:marTop w:val="0"/>
      <w:marBottom w:val="0"/>
      <w:divBdr>
        <w:top w:val="none" w:sz="0" w:space="0" w:color="auto"/>
        <w:left w:val="none" w:sz="0" w:space="0" w:color="auto"/>
        <w:bottom w:val="none" w:sz="0" w:space="0" w:color="auto"/>
        <w:right w:val="none" w:sz="0" w:space="0" w:color="auto"/>
      </w:divBdr>
    </w:div>
    <w:div w:id="244650007">
      <w:bodyDiv w:val="1"/>
      <w:marLeft w:val="0"/>
      <w:marRight w:val="0"/>
      <w:marTop w:val="0"/>
      <w:marBottom w:val="0"/>
      <w:divBdr>
        <w:top w:val="none" w:sz="0" w:space="0" w:color="auto"/>
        <w:left w:val="none" w:sz="0" w:space="0" w:color="auto"/>
        <w:bottom w:val="none" w:sz="0" w:space="0" w:color="auto"/>
        <w:right w:val="none" w:sz="0" w:space="0" w:color="auto"/>
      </w:divBdr>
    </w:div>
    <w:div w:id="245305082">
      <w:bodyDiv w:val="1"/>
      <w:marLeft w:val="0"/>
      <w:marRight w:val="0"/>
      <w:marTop w:val="0"/>
      <w:marBottom w:val="0"/>
      <w:divBdr>
        <w:top w:val="none" w:sz="0" w:space="0" w:color="auto"/>
        <w:left w:val="none" w:sz="0" w:space="0" w:color="auto"/>
        <w:bottom w:val="none" w:sz="0" w:space="0" w:color="auto"/>
        <w:right w:val="none" w:sz="0" w:space="0" w:color="auto"/>
      </w:divBdr>
    </w:div>
    <w:div w:id="255789779">
      <w:bodyDiv w:val="1"/>
      <w:marLeft w:val="0"/>
      <w:marRight w:val="0"/>
      <w:marTop w:val="0"/>
      <w:marBottom w:val="0"/>
      <w:divBdr>
        <w:top w:val="none" w:sz="0" w:space="0" w:color="auto"/>
        <w:left w:val="none" w:sz="0" w:space="0" w:color="auto"/>
        <w:bottom w:val="none" w:sz="0" w:space="0" w:color="auto"/>
        <w:right w:val="none" w:sz="0" w:space="0" w:color="auto"/>
      </w:divBdr>
    </w:div>
    <w:div w:id="257492987">
      <w:bodyDiv w:val="1"/>
      <w:marLeft w:val="0"/>
      <w:marRight w:val="0"/>
      <w:marTop w:val="0"/>
      <w:marBottom w:val="0"/>
      <w:divBdr>
        <w:top w:val="none" w:sz="0" w:space="0" w:color="auto"/>
        <w:left w:val="none" w:sz="0" w:space="0" w:color="auto"/>
        <w:bottom w:val="none" w:sz="0" w:space="0" w:color="auto"/>
        <w:right w:val="none" w:sz="0" w:space="0" w:color="auto"/>
      </w:divBdr>
    </w:div>
    <w:div w:id="260455836">
      <w:bodyDiv w:val="1"/>
      <w:marLeft w:val="0"/>
      <w:marRight w:val="0"/>
      <w:marTop w:val="0"/>
      <w:marBottom w:val="0"/>
      <w:divBdr>
        <w:top w:val="none" w:sz="0" w:space="0" w:color="auto"/>
        <w:left w:val="none" w:sz="0" w:space="0" w:color="auto"/>
        <w:bottom w:val="none" w:sz="0" w:space="0" w:color="auto"/>
        <w:right w:val="none" w:sz="0" w:space="0" w:color="auto"/>
      </w:divBdr>
    </w:div>
    <w:div w:id="262152067">
      <w:bodyDiv w:val="1"/>
      <w:marLeft w:val="0"/>
      <w:marRight w:val="0"/>
      <w:marTop w:val="0"/>
      <w:marBottom w:val="0"/>
      <w:divBdr>
        <w:top w:val="none" w:sz="0" w:space="0" w:color="auto"/>
        <w:left w:val="none" w:sz="0" w:space="0" w:color="auto"/>
        <w:bottom w:val="none" w:sz="0" w:space="0" w:color="auto"/>
        <w:right w:val="none" w:sz="0" w:space="0" w:color="auto"/>
      </w:divBdr>
    </w:div>
    <w:div w:id="283079731">
      <w:bodyDiv w:val="1"/>
      <w:marLeft w:val="0"/>
      <w:marRight w:val="0"/>
      <w:marTop w:val="0"/>
      <w:marBottom w:val="0"/>
      <w:divBdr>
        <w:top w:val="none" w:sz="0" w:space="0" w:color="auto"/>
        <w:left w:val="none" w:sz="0" w:space="0" w:color="auto"/>
        <w:bottom w:val="none" w:sz="0" w:space="0" w:color="auto"/>
        <w:right w:val="none" w:sz="0" w:space="0" w:color="auto"/>
      </w:divBdr>
    </w:div>
    <w:div w:id="285695478">
      <w:bodyDiv w:val="1"/>
      <w:marLeft w:val="0"/>
      <w:marRight w:val="0"/>
      <w:marTop w:val="0"/>
      <w:marBottom w:val="0"/>
      <w:divBdr>
        <w:top w:val="none" w:sz="0" w:space="0" w:color="auto"/>
        <w:left w:val="none" w:sz="0" w:space="0" w:color="auto"/>
        <w:bottom w:val="none" w:sz="0" w:space="0" w:color="auto"/>
        <w:right w:val="none" w:sz="0" w:space="0" w:color="auto"/>
      </w:divBdr>
      <w:divsChild>
        <w:div w:id="1586259398">
          <w:marLeft w:val="547"/>
          <w:marRight w:val="0"/>
          <w:marTop w:val="0"/>
          <w:marBottom w:val="0"/>
          <w:divBdr>
            <w:top w:val="none" w:sz="0" w:space="0" w:color="auto"/>
            <w:left w:val="none" w:sz="0" w:space="0" w:color="auto"/>
            <w:bottom w:val="none" w:sz="0" w:space="0" w:color="auto"/>
            <w:right w:val="none" w:sz="0" w:space="0" w:color="auto"/>
          </w:divBdr>
        </w:div>
      </w:divsChild>
    </w:div>
    <w:div w:id="294454285">
      <w:bodyDiv w:val="1"/>
      <w:marLeft w:val="0"/>
      <w:marRight w:val="0"/>
      <w:marTop w:val="0"/>
      <w:marBottom w:val="0"/>
      <w:divBdr>
        <w:top w:val="none" w:sz="0" w:space="0" w:color="auto"/>
        <w:left w:val="none" w:sz="0" w:space="0" w:color="auto"/>
        <w:bottom w:val="none" w:sz="0" w:space="0" w:color="auto"/>
        <w:right w:val="none" w:sz="0" w:space="0" w:color="auto"/>
      </w:divBdr>
    </w:div>
    <w:div w:id="315115152">
      <w:bodyDiv w:val="1"/>
      <w:marLeft w:val="0"/>
      <w:marRight w:val="0"/>
      <w:marTop w:val="0"/>
      <w:marBottom w:val="0"/>
      <w:divBdr>
        <w:top w:val="none" w:sz="0" w:space="0" w:color="auto"/>
        <w:left w:val="none" w:sz="0" w:space="0" w:color="auto"/>
        <w:bottom w:val="none" w:sz="0" w:space="0" w:color="auto"/>
        <w:right w:val="none" w:sz="0" w:space="0" w:color="auto"/>
      </w:divBdr>
    </w:div>
    <w:div w:id="326447743">
      <w:bodyDiv w:val="1"/>
      <w:marLeft w:val="0"/>
      <w:marRight w:val="0"/>
      <w:marTop w:val="0"/>
      <w:marBottom w:val="0"/>
      <w:divBdr>
        <w:top w:val="none" w:sz="0" w:space="0" w:color="auto"/>
        <w:left w:val="none" w:sz="0" w:space="0" w:color="auto"/>
        <w:bottom w:val="none" w:sz="0" w:space="0" w:color="auto"/>
        <w:right w:val="none" w:sz="0" w:space="0" w:color="auto"/>
      </w:divBdr>
    </w:div>
    <w:div w:id="334646433">
      <w:bodyDiv w:val="1"/>
      <w:marLeft w:val="0"/>
      <w:marRight w:val="0"/>
      <w:marTop w:val="0"/>
      <w:marBottom w:val="0"/>
      <w:divBdr>
        <w:top w:val="none" w:sz="0" w:space="0" w:color="auto"/>
        <w:left w:val="none" w:sz="0" w:space="0" w:color="auto"/>
        <w:bottom w:val="none" w:sz="0" w:space="0" w:color="auto"/>
        <w:right w:val="none" w:sz="0" w:space="0" w:color="auto"/>
      </w:divBdr>
    </w:div>
    <w:div w:id="344602805">
      <w:bodyDiv w:val="1"/>
      <w:marLeft w:val="0"/>
      <w:marRight w:val="0"/>
      <w:marTop w:val="0"/>
      <w:marBottom w:val="0"/>
      <w:divBdr>
        <w:top w:val="none" w:sz="0" w:space="0" w:color="auto"/>
        <w:left w:val="none" w:sz="0" w:space="0" w:color="auto"/>
        <w:bottom w:val="none" w:sz="0" w:space="0" w:color="auto"/>
        <w:right w:val="none" w:sz="0" w:space="0" w:color="auto"/>
      </w:divBdr>
    </w:div>
    <w:div w:id="346172943">
      <w:bodyDiv w:val="1"/>
      <w:marLeft w:val="0"/>
      <w:marRight w:val="0"/>
      <w:marTop w:val="0"/>
      <w:marBottom w:val="0"/>
      <w:divBdr>
        <w:top w:val="none" w:sz="0" w:space="0" w:color="auto"/>
        <w:left w:val="none" w:sz="0" w:space="0" w:color="auto"/>
        <w:bottom w:val="none" w:sz="0" w:space="0" w:color="auto"/>
        <w:right w:val="none" w:sz="0" w:space="0" w:color="auto"/>
      </w:divBdr>
    </w:div>
    <w:div w:id="349189063">
      <w:bodyDiv w:val="1"/>
      <w:marLeft w:val="0"/>
      <w:marRight w:val="0"/>
      <w:marTop w:val="0"/>
      <w:marBottom w:val="0"/>
      <w:divBdr>
        <w:top w:val="none" w:sz="0" w:space="0" w:color="auto"/>
        <w:left w:val="none" w:sz="0" w:space="0" w:color="auto"/>
        <w:bottom w:val="none" w:sz="0" w:space="0" w:color="auto"/>
        <w:right w:val="none" w:sz="0" w:space="0" w:color="auto"/>
      </w:divBdr>
    </w:div>
    <w:div w:id="352658088">
      <w:bodyDiv w:val="1"/>
      <w:marLeft w:val="0"/>
      <w:marRight w:val="0"/>
      <w:marTop w:val="0"/>
      <w:marBottom w:val="0"/>
      <w:divBdr>
        <w:top w:val="none" w:sz="0" w:space="0" w:color="auto"/>
        <w:left w:val="none" w:sz="0" w:space="0" w:color="auto"/>
        <w:bottom w:val="none" w:sz="0" w:space="0" w:color="auto"/>
        <w:right w:val="none" w:sz="0" w:space="0" w:color="auto"/>
      </w:divBdr>
    </w:div>
    <w:div w:id="358238190">
      <w:bodyDiv w:val="1"/>
      <w:marLeft w:val="0"/>
      <w:marRight w:val="0"/>
      <w:marTop w:val="0"/>
      <w:marBottom w:val="0"/>
      <w:divBdr>
        <w:top w:val="none" w:sz="0" w:space="0" w:color="auto"/>
        <w:left w:val="none" w:sz="0" w:space="0" w:color="auto"/>
        <w:bottom w:val="none" w:sz="0" w:space="0" w:color="auto"/>
        <w:right w:val="none" w:sz="0" w:space="0" w:color="auto"/>
      </w:divBdr>
    </w:div>
    <w:div w:id="375201202">
      <w:bodyDiv w:val="1"/>
      <w:marLeft w:val="0"/>
      <w:marRight w:val="0"/>
      <w:marTop w:val="0"/>
      <w:marBottom w:val="0"/>
      <w:divBdr>
        <w:top w:val="none" w:sz="0" w:space="0" w:color="auto"/>
        <w:left w:val="none" w:sz="0" w:space="0" w:color="auto"/>
        <w:bottom w:val="none" w:sz="0" w:space="0" w:color="auto"/>
        <w:right w:val="none" w:sz="0" w:space="0" w:color="auto"/>
      </w:divBdr>
    </w:div>
    <w:div w:id="380638252">
      <w:bodyDiv w:val="1"/>
      <w:marLeft w:val="0"/>
      <w:marRight w:val="0"/>
      <w:marTop w:val="0"/>
      <w:marBottom w:val="0"/>
      <w:divBdr>
        <w:top w:val="none" w:sz="0" w:space="0" w:color="auto"/>
        <w:left w:val="none" w:sz="0" w:space="0" w:color="auto"/>
        <w:bottom w:val="none" w:sz="0" w:space="0" w:color="auto"/>
        <w:right w:val="none" w:sz="0" w:space="0" w:color="auto"/>
      </w:divBdr>
    </w:div>
    <w:div w:id="399838903">
      <w:bodyDiv w:val="1"/>
      <w:marLeft w:val="0"/>
      <w:marRight w:val="0"/>
      <w:marTop w:val="0"/>
      <w:marBottom w:val="0"/>
      <w:divBdr>
        <w:top w:val="none" w:sz="0" w:space="0" w:color="auto"/>
        <w:left w:val="none" w:sz="0" w:space="0" w:color="auto"/>
        <w:bottom w:val="none" w:sz="0" w:space="0" w:color="auto"/>
        <w:right w:val="none" w:sz="0" w:space="0" w:color="auto"/>
      </w:divBdr>
    </w:div>
    <w:div w:id="404381446">
      <w:bodyDiv w:val="1"/>
      <w:marLeft w:val="0"/>
      <w:marRight w:val="0"/>
      <w:marTop w:val="0"/>
      <w:marBottom w:val="0"/>
      <w:divBdr>
        <w:top w:val="none" w:sz="0" w:space="0" w:color="auto"/>
        <w:left w:val="none" w:sz="0" w:space="0" w:color="auto"/>
        <w:bottom w:val="none" w:sz="0" w:space="0" w:color="auto"/>
        <w:right w:val="none" w:sz="0" w:space="0" w:color="auto"/>
      </w:divBdr>
    </w:div>
    <w:div w:id="404882409">
      <w:bodyDiv w:val="1"/>
      <w:marLeft w:val="0"/>
      <w:marRight w:val="0"/>
      <w:marTop w:val="0"/>
      <w:marBottom w:val="0"/>
      <w:divBdr>
        <w:top w:val="none" w:sz="0" w:space="0" w:color="auto"/>
        <w:left w:val="none" w:sz="0" w:space="0" w:color="auto"/>
        <w:bottom w:val="none" w:sz="0" w:space="0" w:color="auto"/>
        <w:right w:val="none" w:sz="0" w:space="0" w:color="auto"/>
      </w:divBdr>
    </w:div>
    <w:div w:id="420833869">
      <w:bodyDiv w:val="1"/>
      <w:marLeft w:val="0"/>
      <w:marRight w:val="0"/>
      <w:marTop w:val="0"/>
      <w:marBottom w:val="0"/>
      <w:divBdr>
        <w:top w:val="none" w:sz="0" w:space="0" w:color="auto"/>
        <w:left w:val="none" w:sz="0" w:space="0" w:color="auto"/>
        <w:bottom w:val="none" w:sz="0" w:space="0" w:color="auto"/>
        <w:right w:val="none" w:sz="0" w:space="0" w:color="auto"/>
      </w:divBdr>
    </w:div>
    <w:div w:id="421417882">
      <w:bodyDiv w:val="1"/>
      <w:marLeft w:val="0"/>
      <w:marRight w:val="0"/>
      <w:marTop w:val="0"/>
      <w:marBottom w:val="0"/>
      <w:divBdr>
        <w:top w:val="none" w:sz="0" w:space="0" w:color="auto"/>
        <w:left w:val="none" w:sz="0" w:space="0" w:color="auto"/>
        <w:bottom w:val="none" w:sz="0" w:space="0" w:color="auto"/>
        <w:right w:val="none" w:sz="0" w:space="0" w:color="auto"/>
      </w:divBdr>
    </w:div>
    <w:div w:id="429662250">
      <w:bodyDiv w:val="1"/>
      <w:marLeft w:val="0"/>
      <w:marRight w:val="0"/>
      <w:marTop w:val="0"/>
      <w:marBottom w:val="0"/>
      <w:divBdr>
        <w:top w:val="none" w:sz="0" w:space="0" w:color="auto"/>
        <w:left w:val="none" w:sz="0" w:space="0" w:color="auto"/>
        <w:bottom w:val="none" w:sz="0" w:space="0" w:color="auto"/>
        <w:right w:val="none" w:sz="0" w:space="0" w:color="auto"/>
      </w:divBdr>
    </w:div>
    <w:div w:id="436490224">
      <w:bodyDiv w:val="1"/>
      <w:marLeft w:val="0"/>
      <w:marRight w:val="0"/>
      <w:marTop w:val="0"/>
      <w:marBottom w:val="0"/>
      <w:divBdr>
        <w:top w:val="none" w:sz="0" w:space="0" w:color="auto"/>
        <w:left w:val="none" w:sz="0" w:space="0" w:color="auto"/>
        <w:bottom w:val="none" w:sz="0" w:space="0" w:color="auto"/>
        <w:right w:val="none" w:sz="0" w:space="0" w:color="auto"/>
      </w:divBdr>
    </w:div>
    <w:div w:id="443235888">
      <w:bodyDiv w:val="1"/>
      <w:marLeft w:val="0"/>
      <w:marRight w:val="0"/>
      <w:marTop w:val="0"/>
      <w:marBottom w:val="0"/>
      <w:divBdr>
        <w:top w:val="none" w:sz="0" w:space="0" w:color="auto"/>
        <w:left w:val="none" w:sz="0" w:space="0" w:color="auto"/>
        <w:bottom w:val="none" w:sz="0" w:space="0" w:color="auto"/>
        <w:right w:val="none" w:sz="0" w:space="0" w:color="auto"/>
      </w:divBdr>
    </w:div>
    <w:div w:id="465438501">
      <w:bodyDiv w:val="1"/>
      <w:marLeft w:val="0"/>
      <w:marRight w:val="0"/>
      <w:marTop w:val="0"/>
      <w:marBottom w:val="0"/>
      <w:divBdr>
        <w:top w:val="none" w:sz="0" w:space="0" w:color="auto"/>
        <w:left w:val="none" w:sz="0" w:space="0" w:color="auto"/>
        <w:bottom w:val="none" w:sz="0" w:space="0" w:color="auto"/>
        <w:right w:val="none" w:sz="0" w:space="0" w:color="auto"/>
      </w:divBdr>
    </w:div>
    <w:div w:id="486164278">
      <w:bodyDiv w:val="1"/>
      <w:marLeft w:val="0"/>
      <w:marRight w:val="0"/>
      <w:marTop w:val="0"/>
      <w:marBottom w:val="0"/>
      <w:divBdr>
        <w:top w:val="none" w:sz="0" w:space="0" w:color="auto"/>
        <w:left w:val="none" w:sz="0" w:space="0" w:color="auto"/>
        <w:bottom w:val="none" w:sz="0" w:space="0" w:color="auto"/>
        <w:right w:val="none" w:sz="0" w:space="0" w:color="auto"/>
      </w:divBdr>
    </w:div>
    <w:div w:id="497765731">
      <w:bodyDiv w:val="1"/>
      <w:marLeft w:val="0"/>
      <w:marRight w:val="0"/>
      <w:marTop w:val="0"/>
      <w:marBottom w:val="0"/>
      <w:divBdr>
        <w:top w:val="none" w:sz="0" w:space="0" w:color="auto"/>
        <w:left w:val="none" w:sz="0" w:space="0" w:color="auto"/>
        <w:bottom w:val="none" w:sz="0" w:space="0" w:color="auto"/>
        <w:right w:val="none" w:sz="0" w:space="0" w:color="auto"/>
      </w:divBdr>
    </w:div>
    <w:div w:id="501776236">
      <w:bodyDiv w:val="1"/>
      <w:marLeft w:val="0"/>
      <w:marRight w:val="0"/>
      <w:marTop w:val="0"/>
      <w:marBottom w:val="0"/>
      <w:divBdr>
        <w:top w:val="none" w:sz="0" w:space="0" w:color="auto"/>
        <w:left w:val="none" w:sz="0" w:space="0" w:color="auto"/>
        <w:bottom w:val="none" w:sz="0" w:space="0" w:color="auto"/>
        <w:right w:val="none" w:sz="0" w:space="0" w:color="auto"/>
      </w:divBdr>
    </w:div>
    <w:div w:id="502430025">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23177367">
      <w:bodyDiv w:val="1"/>
      <w:marLeft w:val="0"/>
      <w:marRight w:val="0"/>
      <w:marTop w:val="0"/>
      <w:marBottom w:val="0"/>
      <w:divBdr>
        <w:top w:val="none" w:sz="0" w:space="0" w:color="auto"/>
        <w:left w:val="none" w:sz="0" w:space="0" w:color="auto"/>
        <w:bottom w:val="none" w:sz="0" w:space="0" w:color="auto"/>
        <w:right w:val="none" w:sz="0" w:space="0" w:color="auto"/>
      </w:divBdr>
    </w:div>
    <w:div w:id="542255406">
      <w:bodyDiv w:val="1"/>
      <w:marLeft w:val="0"/>
      <w:marRight w:val="0"/>
      <w:marTop w:val="0"/>
      <w:marBottom w:val="0"/>
      <w:divBdr>
        <w:top w:val="none" w:sz="0" w:space="0" w:color="auto"/>
        <w:left w:val="none" w:sz="0" w:space="0" w:color="auto"/>
        <w:bottom w:val="none" w:sz="0" w:space="0" w:color="auto"/>
        <w:right w:val="none" w:sz="0" w:space="0" w:color="auto"/>
      </w:divBdr>
    </w:div>
    <w:div w:id="555943321">
      <w:bodyDiv w:val="1"/>
      <w:marLeft w:val="0"/>
      <w:marRight w:val="0"/>
      <w:marTop w:val="0"/>
      <w:marBottom w:val="0"/>
      <w:divBdr>
        <w:top w:val="none" w:sz="0" w:space="0" w:color="auto"/>
        <w:left w:val="none" w:sz="0" w:space="0" w:color="auto"/>
        <w:bottom w:val="none" w:sz="0" w:space="0" w:color="auto"/>
        <w:right w:val="none" w:sz="0" w:space="0" w:color="auto"/>
      </w:divBdr>
    </w:div>
    <w:div w:id="569539727">
      <w:bodyDiv w:val="1"/>
      <w:marLeft w:val="0"/>
      <w:marRight w:val="0"/>
      <w:marTop w:val="0"/>
      <w:marBottom w:val="0"/>
      <w:divBdr>
        <w:top w:val="none" w:sz="0" w:space="0" w:color="auto"/>
        <w:left w:val="none" w:sz="0" w:space="0" w:color="auto"/>
        <w:bottom w:val="none" w:sz="0" w:space="0" w:color="auto"/>
        <w:right w:val="none" w:sz="0" w:space="0" w:color="auto"/>
      </w:divBdr>
    </w:div>
    <w:div w:id="578059276">
      <w:bodyDiv w:val="1"/>
      <w:marLeft w:val="0"/>
      <w:marRight w:val="0"/>
      <w:marTop w:val="0"/>
      <w:marBottom w:val="0"/>
      <w:divBdr>
        <w:top w:val="none" w:sz="0" w:space="0" w:color="auto"/>
        <w:left w:val="none" w:sz="0" w:space="0" w:color="auto"/>
        <w:bottom w:val="none" w:sz="0" w:space="0" w:color="auto"/>
        <w:right w:val="none" w:sz="0" w:space="0" w:color="auto"/>
      </w:divBdr>
    </w:div>
    <w:div w:id="579798579">
      <w:bodyDiv w:val="1"/>
      <w:marLeft w:val="0"/>
      <w:marRight w:val="0"/>
      <w:marTop w:val="0"/>
      <w:marBottom w:val="0"/>
      <w:divBdr>
        <w:top w:val="none" w:sz="0" w:space="0" w:color="auto"/>
        <w:left w:val="none" w:sz="0" w:space="0" w:color="auto"/>
        <w:bottom w:val="none" w:sz="0" w:space="0" w:color="auto"/>
        <w:right w:val="none" w:sz="0" w:space="0" w:color="auto"/>
      </w:divBdr>
    </w:div>
    <w:div w:id="592934862">
      <w:bodyDiv w:val="1"/>
      <w:marLeft w:val="0"/>
      <w:marRight w:val="0"/>
      <w:marTop w:val="0"/>
      <w:marBottom w:val="0"/>
      <w:divBdr>
        <w:top w:val="none" w:sz="0" w:space="0" w:color="auto"/>
        <w:left w:val="none" w:sz="0" w:space="0" w:color="auto"/>
        <w:bottom w:val="none" w:sz="0" w:space="0" w:color="auto"/>
        <w:right w:val="none" w:sz="0" w:space="0" w:color="auto"/>
      </w:divBdr>
    </w:div>
    <w:div w:id="600377144">
      <w:bodyDiv w:val="1"/>
      <w:marLeft w:val="0"/>
      <w:marRight w:val="0"/>
      <w:marTop w:val="0"/>
      <w:marBottom w:val="0"/>
      <w:divBdr>
        <w:top w:val="none" w:sz="0" w:space="0" w:color="auto"/>
        <w:left w:val="none" w:sz="0" w:space="0" w:color="auto"/>
        <w:bottom w:val="none" w:sz="0" w:space="0" w:color="auto"/>
        <w:right w:val="none" w:sz="0" w:space="0" w:color="auto"/>
      </w:divBdr>
    </w:div>
    <w:div w:id="618218081">
      <w:bodyDiv w:val="1"/>
      <w:marLeft w:val="0"/>
      <w:marRight w:val="0"/>
      <w:marTop w:val="0"/>
      <w:marBottom w:val="0"/>
      <w:divBdr>
        <w:top w:val="none" w:sz="0" w:space="0" w:color="auto"/>
        <w:left w:val="none" w:sz="0" w:space="0" w:color="auto"/>
        <w:bottom w:val="none" w:sz="0" w:space="0" w:color="auto"/>
        <w:right w:val="none" w:sz="0" w:space="0" w:color="auto"/>
      </w:divBdr>
    </w:div>
    <w:div w:id="621347470">
      <w:bodyDiv w:val="1"/>
      <w:marLeft w:val="0"/>
      <w:marRight w:val="0"/>
      <w:marTop w:val="0"/>
      <w:marBottom w:val="0"/>
      <w:divBdr>
        <w:top w:val="none" w:sz="0" w:space="0" w:color="auto"/>
        <w:left w:val="none" w:sz="0" w:space="0" w:color="auto"/>
        <w:bottom w:val="none" w:sz="0" w:space="0" w:color="auto"/>
        <w:right w:val="none" w:sz="0" w:space="0" w:color="auto"/>
      </w:divBdr>
    </w:div>
    <w:div w:id="633292270">
      <w:bodyDiv w:val="1"/>
      <w:marLeft w:val="0"/>
      <w:marRight w:val="0"/>
      <w:marTop w:val="0"/>
      <w:marBottom w:val="0"/>
      <w:divBdr>
        <w:top w:val="none" w:sz="0" w:space="0" w:color="auto"/>
        <w:left w:val="none" w:sz="0" w:space="0" w:color="auto"/>
        <w:bottom w:val="none" w:sz="0" w:space="0" w:color="auto"/>
        <w:right w:val="none" w:sz="0" w:space="0" w:color="auto"/>
      </w:divBdr>
    </w:div>
    <w:div w:id="633371445">
      <w:bodyDiv w:val="1"/>
      <w:marLeft w:val="0"/>
      <w:marRight w:val="0"/>
      <w:marTop w:val="0"/>
      <w:marBottom w:val="0"/>
      <w:divBdr>
        <w:top w:val="none" w:sz="0" w:space="0" w:color="auto"/>
        <w:left w:val="none" w:sz="0" w:space="0" w:color="auto"/>
        <w:bottom w:val="none" w:sz="0" w:space="0" w:color="auto"/>
        <w:right w:val="none" w:sz="0" w:space="0" w:color="auto"/>
      </w:divBdr>
    </w:div>
    <w:div w:id="636836270">
      <w:bodyDiv w:val="1"/>
      <w:marLeft w:val="0"/>
      <w:marRight w:val="0"/>
      <w:marTop w:val="0"/>
      <w:marBottom w:val="0"/>
      <w:divBdr>
        <w:top w:val="none" w:sz="0" w:space="0" w:color="auto"/>
        <w:left w:val="none" w:sz="0" w:space="0" w:color="auto"/>
        <w:bottom w:val="none" w:sz="0" w:space="0" w:color="auto"/>
        <w:right w:val="none" w:sz="0" w:space="0" w:color="auto"/>
      </w:divBdr>
    </w:div>
    <w:div w:id="640498579">
      <w:bodyDiv w:val="1"/>
      <w:marLeft w:val="0"/>
      <w:marRight w:val="0"/>
      <w:marTop w:val="0"/>
      <w:marBottom w:val="0"/>
      <w:divBdr>
        <w:top w:val="none" w:sz="0" w:space="0" w:color="auto"/>
        <w:left w:val="none" w:sz="0" w:space="0" w:color="auto"/>
        <w:bottom w:val="none" w:sz="0" w:space="0" w:color="auto"/>
        <w:right w:val="none" w:sz="0" w:space="0" w:color="auto"/>
      </w:divBdr>
    </w:div>
    <w:div w:id="645167366">
      <w:bodyDiv w:val="1"/>
      <w:marLeft w:val="0"/>
      <w:marRight w:val="0"/>
      <w:marTop w:val="0"/>
      <w:marBottom w:val="0"/>
      <w:divBdr>
        <w:top w:val="none" w:sz="0" w:space="0" w:color="auto"/>
        <w:left w:val="none" w:sz="0" w:space="0" w:color="auto"/>
        <w:bottom w:val="none" w:sz="0" w:space="0" w:color="auto"/>
        <w:right w:val="none" w:sz="0" w:space="0" w:color="auto"/>
      </w:divBdr>
    </w:div>
    <w:div w:id="646472300">
      <w:bodyDiv w:val="1"/>
      <w:marLeft w:val="0"/>
      <w:marRight w:val="0"/>
      <w:marTop w:val="0"/>
      <w:marBottom w:val="0"/>
      <w:divBdr>
        <w:top w:val="none" w:sz="0" w:space="0" w:color="auto"/>
        <w:left w:val="none" w:sz="0" w:space="0" w:color="auto"/>
        <w:bottom w:val="none" w:sz="0" w:space="0" w:color="auto"/>
        <w:right w:val="none" w:sz="0" w:space="0" w:color="auto"/>
      </w:divBdr>
    </w:div>
    <w:div w:id="649752489">
      <w:bodyDiv w:val="1"/>
      <w:marLeft w:val="0"/>
      <w:marRight w:val="0"/>
      <w:marTop w:val="0"/>
      <w:marBottom w:val="0"/>
      <w:divBdr>
        <w:top w:val="none" w:sz="0" w:space="0" w:color="auto"/>
        <w:left w:val="none" w:sz="0" w:space="0" w:color="auto"/>
        <w:bottom w:val="none" w:sz="0" w:space="0" w:color="auto"/>
        <w:right w:val="none" w:sz="0" w:space="0" w:color="auto"/>
      </w:divBdr>
    </w:div>
    <w:div w:id="655301089">
      <w:bodyDiv w:val="1"/>
      <w:marLeft w:val="0"/>
      <w:marRight w:val="0"/>
      <w:marTop w:val="0"/>
      <w:marBottom w:val="0"/>
      <w:divBdr>
        <w:top w:val="none" w:sz="0" w:space="0" w:color="auto"/>
        <w:left w:val="none" w:sz="0" w:space="0" w:color="auto"/>
        <w:bottom w:val="none" w:sz="0" w:space="0" w:color="auto"/>
        <w:right w:val="none" w:sz="0" w:space="0" w:color="auto"/>
      </w:divBdr>
    </w:div>
    <w:div w:id="662272619">
      <w:bodyDiv w:val="1"/>
      <w:marLeft w:val="0"/>
      <w:marRight w:val="0"/>
      <w:marTop w:val="0"/>
      <w:marBottom w:val="0"/>
      <w:divBdr>
        <w:top w:val="none" w:sz="0" w:space="0" w:color="auto"/>
        <w:left w:val="none" w:sz="0" w:space="0" w:color="auto"/>
        <w:bottom w:val="none" w:sz="0" w:space="0" w:color="auto"/>
        <w:right w:val="none" w:sz="0" w:space="0" w:color="auto"/>
      </w:divBdr>
    </w:div>
    <w:div w:id="666832504">
      <w:bodyDiv w:val="1"/>
      <w:marLeft w:val="0"/>
      <w:marRight w:val="0"/>
      <w:marTop w:val="0"/>
      <w:marBottom w:val="0"/>
      <w:divBdr>
        <w:top w:val="none" w:sz="0" w:space="0" w:color="auto"/>
        <w:left w:val="none" w:sz="0" w:space="0" w:color="auto"/>
        <w:bottom w:val="none" w:sz="0" w:space="0" w:color="auto"/>
        <w:right w:val="none" w:sz="0" w:space="0" w:color="auto"/>
      </w:divBdr>
    </w:div>
    <w:div w:id="668824771">
      <w:bodyDiv w:val="1"/>
      <w:marLeft w:val="0"/>
      <w:marRight w:val="0"/>
      <w:marTop w:val="0"/>
      <w:marBottom w:val="0"/>
      <w:divBdr>
        <w:top w:val="none" w:sz="0" w:space="0" w:color="auto"/>
        <w:left w:val="none" w:sz="0" w:space="0" w:color="auto"/>
        <w:bottom w:val="none" w:sz="0" w:space="0" w:color="auto"/>
        <w:right w:val="none" w:sz="0" w:space="0" w:color="auto"/>
      </w:divBdr>
    </w:div>
    <w:div w:id="669210558">
      <w:bodyDiv w:val="1"/>
      <w:marLeft w:val="0"/>
      <w:marRight w:val="0"/>
      <w:marTop w:val="0"/>
      <w:marBottom w:val="0"/>
      <w:divBdr>
        <w:top w:val="none" w:sz="0" w:space="0" w:color="auto"/>
        <w:left w:val="none" w:sz="0" w:space="0" w:color="auto"/>
        <w:bottom w:val="none" w:sz="0" w:space="0" w:color="auto"/>
        <w:right w:val="none" w:sz="0" w:space="0" w:color="auto"/>
      </w:divBdr>
    </w:div>
    <w:div w:id="683282958">
      <w:bodyDiv w:val="1"/>
      <w:marLeft w:val="0"/>
      <w:marRight w:val="0"/>
      <w:marTop w:val="0"/>
      <w:marBottom w:val="0"/>
      <w:divBdr>
        <w:top w:val="none" w:sz="0" w:space="0" w:color="auto"/>
        <w:left w:val="none" w:sz="0" w:space="0" w:color="auto"/>
        <w:bottom w:val="none" w:sz="0" w:space="0" w:color="auto"/>
        <w:right w:val="none" w:sz="0" w:space="0" w:color="auto"/>
      </w:divBdr>
    </w:div>
    <w:div w:id="708729397">
      <w:bodyDiv w:val="1"/>
      <w:marLeft w:val="0"/>
      <w:marRight w:val="0"/>
      <w:marTop w:val="0"/>
      <w:marBottom w:val="0"/>
      <w:divBdr>
        <w:top w:val="none" w:sz="0" w:space="0" w:color="auto"/>
        <w:left w:val="none" w:sz="0" w:space="0" w:color="auto"/>
        <w:bottom w:val="none" w:sz="0" w:space="0" w:color="auto"/>
        <w:right w:val="none" w:sz="0" w:space="0" w:color="auto"/>
      </w:divBdr>
    </w:div>
    <w:div w:id="717515784">
      <w:bodyDiv w:val="1"/>
      <w:marLeft w:val="0"/>
      <w:marRight w:val="0"/>
      <w:marTop w:val="0"/>
      <w:marBottom w:val="0"/>
      <w:divBdr>
        <w:top w:val="none" w:sz="0" w:space="0" w:color="auto"/>
        <w:left w:val="none" w:sz="0" w:space="0" w:color="auto"/>
        <w:bottom w:val="none" w:sz="0" w:space="0" w:color="auto"/>
        <w:right w:val="none" w:sz="0" w:space="0" w:color="auto"/>
      </w:divBdr>
    </w:div>
    <w:div w:id="718551419">
      <w:bodyDiv w:val="1"/>
      <w:marLeft w:val="0"/>
      <w:marRight w:val="0"/>
      <w:marTop w:val="0"/>
      <w:marBottom w:val="0"/>
      <w:divBdr>
        <w:top w:val="none" w:sz="0" w:space="0" w:color="auto"/>
        <w:left w:val="none" w:sz="0" w:space="0" w:color="auto"/>
        <w:bottom w:val="none" w:sz="0" w:space="0" w:color="auto"/>
        <w:right w:val="none" w:sz="0" w:space="0" w:color="auto"/>
      </w:divBdr>
    </w:div>
    <w:div w:id="723334698">
      <w:bodyDiv w:val="1"/>
      <w:marLeft w:val="0"/>
      <w:marRight w:val="0"/>
      <w:marTop w:val="0"/>
      <w:marBottom w:val="0"/>
      <w:divBdr>
        <w:top w:val="none" w:sz="0" w:space="0" w:color="auto"/>
        <w:left w:val="none" w:sz="0" w:space="0" w:color="auto"/>
        <w:bottom w:val="none" w:sz="0" w:space="0" w:color="auto"/>
        <w:right w:val="none" w:sz="0" w:space="0" w:color="auto"/>
      </w:divBdr>
    </w:div>
    <w:div w:id="763305643">
      <w:bodyDiv w:val="1"/>
      <w:marLeft w:val="0"/>
      <w:marRight w:val="0"/>
      <w:marTop w:val="0"/>
      <w:marBottom w:val="0"/>
      <w:divBdr>
        <w:top w:val="none" w:sz="0" w:space="0" w:color="auto"/>
        <w:left w:val="none" w:sz="0" w:space="0" w:color="auto"/>
        <w:bottom w:val="none" w:sz="0" w:space="0" w:color="auto"/>
        <w:right w:val="none" w:sz="0" w:space="0" w:color="auto"/>
      </w:divBdr>
    </w:div>
    <w:div w:id="764881428">
      <w:bodyDiv w:val="1"/>
      <w:marLeft w:val="0"/>
      <w:marRight w:val="0"/>
      <w:marTop w:val="0"/>
      <w:marBottom w:val="0"/>
      <w:divBdr>
        <w:top w:val="none" w:sz="0" w:space="0" w:color="auto"/>
        <w:left w:val="none" w:sz="0" w:space="0" w:color="auto"/>
        <w:bottom w:val="none" w:sz="0" w:space="0" w:color="auto"/>
        <w:right w:val="none" w:sz="0" w:space="0" w:color="auto"/>
      </w:divBdr>
    </w:div>
    <w:div w:id="767774864">
      <w:bodyDiv w:val="1"/>
      <w:marLeft w:val="0"/>
      <w:marRight w:val="0"/>
      <w:marTop w:val="0"/>
      <w:marBottom w:val="0"/>
      <w:divBdr>
        <w:top w:val="none" w:sz="0" w:space="0" w:color="auto"/>
        <w:left w:val="none" w:sz="0" w:space="0" w:color="auto"/>
        <w:bottom w:val="none" w:sz="0" w:space="0" w:color="auto"/>
        <w:right w:val="none" w:sz="0" w:space="0" w:color="auto"/>
      </w:divBdr>
    </w:div>
    <w:div w:id="783614017">
      <w:bodyDiv w:val="1"/>
      <w:marLeft w:val="0"/>
      <w:marRight w:val="0"/>
      <w:marTop w:val="0"/>
      <w:marBottom w:val="0"/>
      <w:divBdr>
        <w:top w:val="none" w:sz="0" w:space="0" w:color="auto"/>
        <w:left w:val="none" w:sz="0" w:space="0" w:color="auto"/>
        <w:bottom w:val="none" w:sz="0" w:space="0" w:color="auto"/>
        <w:right w:val="none" w:sz="0" w:space="0" w:color="auto"/>
      </w:divBdr>
    </w:div>
    <w:div w:id="794521639">
      <w:bodyDiv w:val="1"/>
      <w:marLeft w:val="0"/>
      <w:marRight w:val="0"/>
      <w:marTop w:val="0"/>
      <w:marBottom w:val="0"/>
      <w:divBdr>
        <w:top w:val="none" w:sz="0" w:space="0" w:color="auto"/>
        <w:left w:val="none" w:sz="0" w:space="0" w:color="auto"/>
        <w:bottom w:val="none" w:sz="0" w:space="0" w:color="auto"/>
        <w:right w:val="none" w:sz="0" w:space="0" w:color="auto"/>
      </w:divBdr>
    </w:div>
    <w:div w:id="799038613">
      <w:bodyDiv w:val="1"/>
      <w:marLeft w:val="0"/>
      <w:marRight w:val="0"/>
      <w:marTop w:val="0"/>
      <w:marBottom w:val="0"/>
      <w:divBdr>
        <w:top w:val="none" w:sz="0" w:space="0" w:color="auto"/>
        <w:left w:val="none" w:sz="0" w:space="0" w:color="auto"/>
        <w:bottom w:val="none" w:sz="0" w:space="0" w:color="auto"/>
        <w:right w:val="none" w:sz="0" w:space="0" w:color="auto"/>
      </w:divBdr>
    </w:div>
    <w:div w:id="800801981">
      <w:bodyDiv w:val="1"/>
      <w:marLeft w:val="0"/>
      <w:marRight w:val="0"/>
      <w:marTop w:val="0"/>
      <w:marBottom w:val="0"/>
      <w:divBdr>
        <w:top w:val="none" w:sz="0" w:space="0" w:color="auto"/>
        <w:left w:val="none" w:sz="0" w:space="0" w:color="auto"/>
        <w:bottom w:val="none" w:sz="0" w:space="0" w:color="auto"/>
        <w:right w:val="none" w:sz="0" w:space="0" w:color="auto"/>
      </w:divBdr>
    </w:div>
    <w:div w:id="805121242">
      <w:bodyDiv w:val="1"/>
      <w:marLeft w:val="0"/>
      <w:marRight w:val="0"/>
      <w:marTop w:val="0"/>
      <w:marBottom w:val="0"/>
      <w:divBdr>
        <w:top w:val="none" w:sz="0" w:space="0" w:color="auto"/>
        <w:left w:val="none" w:sz="0" w:space="0" w:color="auto"/>
        <w:bottom w:val="none" w:sz="0" w:space="0" w:color="auto"/>
        <w:right w:val="none" w:sz="0" w:space="0" w:color="auto"/>
      </w:divBdr>
    </w:div>
    <w:div w:id="805701895">
      <w:bodyDiv w:val="1"/>
      <w:marLeft w:val="0"/>
      <w:marRight w:val="0"/>
      <w:marTop w:val="0"/>
      <w:marBottom w:val="0"/>
      <w:divBdr>
        <w:top w:val="none" w:sz="0" w:space="0" w:color="auto"/>
        <w:left w:val="none" w:sz="0" w:space="0" w:color="auto"/>
        <w:bottom w:val="none" w:sz="0" w:space="0" w:color="auto"/>
        <w:right w:val="none" w:sz="0" w:space="0" w:color="auto"/>
      </w:divBdr>
    </w:div>
    <w:div w:id="807362254">
      <w:bodyDiv w:val="1"/>
      <w:marLeft w:val="0"/>
      <w:marRight w:val="0"/>
      <w:marTop w:val="0"/>
      <w:marBottom w:val="0"/>
      <w:divBdr>
        <w:top w:val="none" w:sz="0" w:space="0" w:color="auto"/>
        <w:left w:val="none" w:sz="0" w:space="0" w:color="auto"/>
        <w:bottom w:val="none" w:sz="0" w:space="0" w:color="auto"/>
        <w:right w:val="none" w:sz="0" w:space="0" w:color="auto"/>
      </w:divBdr>
    </w:div>
    <w:div w:id="810249006">
      <w:bodyDiv w:val="1"/>
      <w:marLeft w:val="0"/>
      <w:marRight w:val="0"/>
      <w:marTop w:val="0"/>
      <w:marBottom w:val="0"/>
      <w:divBdr>
        <w:top w:val="none" w:sz="0" w:space="0" w:color="auto"/>
        <w:left w:val="none" w:sz="0" w:space="0" w:color="auto"/>
        <w:bottom w:val="none" w:sz="0" w:space="0" w:color="auto"/>
        <w:right w:val="none" w:sz="0" w:space="0" w:color="auto"/>
      </w:divBdr>
    </w:div>
    <w:div w:id="815801079">
      <w:bodyDiv w:val="1"/>
      <w:marLeft w:val="0"/>
      <w:marRight w:val="0"/>
      <w:marTop w:val="0"/>
      <w:marBottom w:val="0"/>
      <w:divBdr>
        <w:top w:val="none" w:sz="0" w:space="0" w:color="auto"/>
        <w:left w:val="none" w:sz="0" w:space="0" w:color="auto"/>
        <w:bottom w:val="none" w:sz="0" w:space="0" w:color="auto"/>
        <w:right w:val="none" w:sz="0" w:space="0" w:color="auto"/>
      </w:divBdr>
    </w:div>
    <w:div w:id="824005990">
      <w:bodyDiv w:val="1"/>
      <w:marLeft w:val="0"/>
      <w:marRight w:val="0"/>
      <w:marTop w:val="0"/>
      <w:marBottom w:val="0"/>
      <w:divBdr>
        <w:top w:val="none" w:sz="0" w:space="0" w:color="auto"/>
        <w:left w:val="none" w:sz="0" w:space="0" w:color="auto"/>
        <w:bottom w:val="none" w:sz="0" w:space="0" w:color="auto"/>
        <w:right w:val="none" w:sz="0" w:space="0" w:color="auto"/>
      </w:divBdr>
    </w:div>
    <w:div w:id="833104384">
      <w:bodyDiv w:val="1"/>
      <w:marLeft w:val="0"/>
      <w:marRight w:val="0"/>
      <w:marTop w:val="0"/>
      <w:marBottom w:val="0"/>
      <w:divBdr>
        <w:top w:val="none" w:sz="0" w:space="0" w:color="auto"/>
        <w:left w:val="none" w:sz="0" w:space="0" w:color="auto"/>
        <w:bottom w:val="none" w:sz="0" w:space="0" w:color="auto"/>
        <w:right w:val="none" w:sz="0" w:space="0" w:color="auto"/>
      </w:divBdr>
    </w:div>
    <w:div w:id="838694009">
      <w:bodyDiv w:val="1"/>
      <w:marLeft w:val="0"/>
      <w:marRight w:val="0"/>
      <w:marTop w:val="0"/>
      <w:marBottom w:val="0"/>
      <w:divBdr>
        <w:top w:val="none" w:sz="0" w:space="0" w:color="auto"/>
        <w:left w:val="none" w:sz="0" w:space="0" w:color="auto"/>
        <w:bottom w:val="none" w:sz="0" w:space="0" w:color="auto"/>
        <w:right w:val="none" w:sz="0" w:space="0" w:color="auto"/>
      </w:divBdr>
    </w:div>
    <w:div w:id="853692954">
      <w:bodyDiv w:val="1"/>
      <w:marLeft w:val="0"/>
      <w:marRight w:val="0"/>
      <w:marTop w:val="0"/>
      <w:marBottom w:val="0"/>
      <w:divBdr>
        <w:top w:val="none" w:sz="0" w:space="0" w:color="auto"/>
        <w:left w:val="none" w:sz="0" w:space="0" w:color="auto"/>
        <w:bottom w:val="none" w:sz="0" w:space="0" w:color="auto"/>
        <w:right w:val="none" w:sz="0" w:space="0" w:color="auto"/>
      </w:divBdr>
    </w:div>
    <w:div w:id="863251270">
      <w:bodyDiv w:val="1"/>
      <w:marLeft w:val="0"/>
      <w:marRight w:val="0"/>
      <w:marTop w:val="0"/>
      <w:marBottom w:val="0"/>
      <w:divBdr>
        <w:top w:val="none" w:sz="0" w:space="0" w:color="auto"/>
        <w:left w:val="none" w:sz="0" w:space="0" w:color="auto"/>
        <w:bottom w:val="none" w:sz="0" w:space="0" w:color="auto"/>
        <w:right w:val="none" w:sz="0" w:space="0" w:color="auto"/>
      </w:divBdr>
    </w:div>
    <w:div w:id="874971285">
      <w:bodyDiv w:val="1"/>
      <w:marLeft w:val="0"/>
      <w:marRight w:val="0"/>
      <w:marTop w:val="0"/>
      <w:marBottom w:val="0"/>
      <w:divBdr>
        <w:top w:val="none" w:sz="0" w:space="0" w:color="auto"/>
        <w:left w:val="none" w:sz="0" w:space="0" w:color="auto"/>
        <w:bottom w:val="none" w:sz="0" w:space="0" w:color="auto"/>
        <w:right w:val="none" w:sz="0" w:space="0" w:color="auto"/>
      </w:divBdr>
      <w:divsChild>
        <w:div w:id="1462306277">
          <w:marLeft w:val="547"/>
          <w:marRight w:val="0"/>
          <w:marTop w:val="240"/>
          <w:marBottom w:val="0"/>
          <w:divBdr>
            <w:top w:val="none" w:sz="0" w:space="0" w:color="auto"/>
            <w:left w:val="none" w:sz="0" w:space="0" w:color="auto"/>
            <w:bottom w:val="none" w:sz="0" w:space="0" w:color="auto"/>
            <w:right w:val="none" w:sz="0" w:space="0" w:color="auto"/>
          </w:divBdr>
        </w:div>
      </w:divsChild>
    </w:div>
    <w:div w:id="878005786">
      <w:bodyDiv w:val="1"/>
      <w:marLeft w:val="0"/>
      <w:marRight w:val="0"/>
      <w:marTop w:val="0"/>
      <w:marBottom w:val="0"/>
      <w:divBdr>
        <w:top w:val="none" w:sz="0" w:space="0" w:color="auto"/>
        <w:left w:val="none" w:sz="0" w:space="0" w:color="auto"/>
        <w:bottom w:val="none" w:sz="0" w:space="0" w:color="auto"/>
        <w:right w:val="none" w:sz="0" w:space="0" w:color="auto"/>
      </w:divBdr>
    </w:div>
    <w:div w:id="893928253">
      <w:bodyDiv w:val="1"/>
      <w:marLeft w:val="0"/>
      <w:marRight w:val="0"/>
      <w:marTop w:val="0"/>
      <w:marBottom w:val="0"/>
      <w:divBdr>
        <w:top w:val="none" w:sz="0" w:space="0" w:color="auto"/>
        <w:left w:val="none" w:sz="0" w:space="0" w:color="auto"/>
        <w:bottom w:val="none" w:sz="0" w:space="0" w:color="auto"/>
        <w:right w:val="none" w:sz="0" w:space="0" w:color="auto"/>
      </w:divBdr>
    </w:div>
    <w:div w:id="894126515">
      <w:bodyDiv w:val="1"/>
      <w:marLeft w:val="0"/>
      <w:marRight w:val="0"/>
      <w:marTop w:val="0"/>
      <w:marBottom w:val="0"/>
      <w:divBdr>
        <w:top w:val="none" w:sz="0" w:space="0" w:color="auto"/>
        <w:left w:val="none" w:sz="0" w:space="0" w:color="auto"/>
        <w:bottom w:val="none" w:sz="0" w:space="0" w:color="auto"/>
        <w:right w:val="none" w:sz="0" w:space="0" w:color="auto"/>
      </w:divBdr>
    </w:div>
    <w:div w:id="904490383">
      <w:bodyDiv w:val="1"/>
      <w:marLeft w:val="0"/>
      <w:marRight w:val="0"/>
      <w:marTop w:val="0"/>
      <w:marBottom w:val="0"/>
      <w:divBdr>
        <w:top w:val="none" w:sz="0" w:space="0" w:color="auto"/>
        <w:left w:val="none" w:sz="0" w:space="0" w:color="auto"/>
        <w:bottom w:val="none" w:sz="0" w:space="0" w:color="auto"/>
        <w:right w:val="none" w:sz="0" w:space="0" w:color="auto"/>
      </w:divBdr>
    </w:div>
    <w:div w:id="907763492">
      <w:bodyDiv w:val="1"/>
      <w:marLeft w:val="0"/>
      <w:marRight w:val="0"/>
      <w:marTop w:val="0"/>
      <w:marBottom w:val="0"/>
      <w:divBdr>
        <w:top w:val="none" w:sz="0" w:space="0" w:color="auto"/>
        <w:left w:val="none" w:sz="0" w:space="0" w:color="auto"/>
        <w:bottom w:val="none" w:sz="0" w:space="0" w:color="auto"/>
        <w:right w:val="none" w:sz="0" w:space="0" w:color="auto"/>
      </w:divBdr>
    </w:div>
    <w:div w:id="920673723">
      <w:bodyDiv w:val="1"/>
      <w:marLeft w:val="0"/>
      <w:marRight w:val="0"/>
      <w:marTop w:val="0"/>
      <w:marBottom w:val="0"/>
      <w:divBdr>
        <w:top w:val="none" w:sz="0" w:space="0" w:color="auto"/>
        <w:left w:val="none" w:sz="0" w:space="0" w:color="auto"/>
        <w:bottom w:val="none" w:sz="0" w:space="0" w:color="auto"/>
        <w:right w:val="none" w:sz="0" w:space="0" w:color="auto"/>
      </w:divBdr>
    </w:div>
    <w:div w:id="926112315">
      <w:bodyDiv w:val="1"/>
      <w:marLeft w:val="0"/>
      <w:marRight w:val="0"/>
      <w:marTop w:val="0"/>
      <w:marBottom w:val="0"/>
      <w:divBdr>
        <w:top w:val="none" w:sz="0" w:space="0" w:color="auto"/>
        <w:left w:val="none" w:sz="0" w:space="0" w:color="auto"/>
        <w:bottom w:val="none" w:sz="0" w:space="0" w:color="auto"/>
        <w:right w:val="none" w:sz="0" w:space="0" w:color="auto"/>
      </w:divBdr>
    </w:div>
    <w:div w:id="932206481">
      <w:bodyDiv w:val="1"/>
      <w:marLeft w:val="0"/>
      <w:marRight w:val="0"/>
      <w:marTop w:val="0"/>
      <w:marBottom w:val="0"/>
      <w:divBdr>
        <w:top w:val="none" w:sz="0" w:space="0" w:color="auto"/>
        <w:left w:val="none" w:sz="0" w:space="0" w:color="auto"/>
        <w:bottom w:val="none" w:sz="0" w:space="0" w:color="auto"/>
        <w:right w:val="none" w:sz="0" w:space="0" w:color="auto"/>
      </w:divBdr>
    </w:div>
    <w:div w:id="935600340">
      <w:bodyDiv w:val="1"/>
      <w:marLeft w:val="0"/>
      <w:marRight w:val="0"/>
      <w:marTop w:val="0"/>
      <w:marBottom w:val="0"/>
      <w:divBdr>
        <w:top w:val="none" w:sz="0" w:space="0" w:color="auto"/>
        <w:left w:val="none" w:sz="0" w:space="0" w:color="auto"/>
        <w:bottom w:val="none" w:sz="0" w:space="0" w:color="auto"/>
        <w:right w:val="none" w:sz="0" w:space="0" w:color="auto"/>
      </w:divBdr>
    </w:div>
    <w:div w:id="954217190">
      <w:bodyDiv w:val="1"/>
      <w:marLeft w:val="0"/>
      <w:marRight w:val="0"/>
      <w:marTop w:val="0"/>
      <w:marBottom w:val="0"/>
      <w:divBdr>
        <w:top w:val="none" w:sz="0" w:space="0" w:color="auto"/>
        <w:left w:val="none" w:sz="0" w:space="0" w:color="auto"/>
        <w:bottom w:val="none" w:sz="0" w:space="0" w:color="auto"/>
        <w:right w:val="none" w:sz="0" w:space="0" w:color="auto"/>
      </w:divBdr>
    </w:div>
    <w:div w:id="959919898">
      <w:bodyDiv w:val="1"/>
      <w:marLeft w:val="0"/>
      <w:marRight w:val="0"/>
      <w:marTop w:val="0"/>
      <w:marBottom w:val="0"/>
      <w:divBdr>
        <w:top w:val="none" w:sz="0" w:space="0" w:color="auto"/>
        <w:left w:val="none" w:sz="0" w:space="0" w:color="auto"/>
        <w:bottom w:val="none" w:sz="0" w:space="0" w:color="auto"/>
        <w:right w:val="none" w:sz="0" w:space="0" w:color="auto"/>
      </w:divBdr>
    </w:div>
    <w:div w:id="963077849">
      <w:bodyDiv w:val="1"/>
      <w:marLeft w:val="0"/>
      <w:marRight w:val="0"/>
      <w:marTop w:val="0"/>
      <w:marBottom w:val="0"/>
      <w:divBdr>
        <w:top w:val="none" w:sz="0" w:space="0" w:color="auto"/>
        <w:left w:val="none" w:sz="0" w:space="0" w:color="auto"/>
        <w:bottom w:val="none" w:sz="0" w:space="0" w:color="auto"/>
        <w:right w:val="none" w:sz="0" w:space="0" w:color="auto"/>
      </w:divBdr>
    </w:div>
    <w:div w:id="966161474">
      <w:bodyDiv w:val="1"/>
      <w:marLeft w:val="0"/>
      <w:marRight w:val="0"/>
      <w:marTop w:val="0"/>
      <w:marBottom w:val="0"/>
      <w:divBdr>
        <w:top w:val="none" w:sz="0" w:space="0" w:color="auto"/>
        <w:left w:val="none" w:sz="0" w:space="0" w:color="auto"/>
        <w:bottom w:val="none" w:sz="0" w:space="0" w:color="auto"/>
        <w:right w:val="none" w:sz="0" w:space="0" w:color="auto"/>
      </w:divBdr>
    </w:div>
    <w:div w:id="983969861">
      <w:bodyDiv w:val="1"/>
      <w:marLeft w:val="0"/>
      <w:marRight w:val="0"/>
      <w:marTop w:val="0"/>
      <w:marBottom w:val="0"/>
      <w:divBdr>
        <w:top w:val="none" w:sz="0" w:space="0" w:color="auto"/>
        <w:left w:val="none" w:sz="0" w:space="0" w:color="auto"/>
        <w:bottom w:val="none" w:sz="0" w:space="0" w:color="auto"/>
        <w:right w:val="none" w:sz="0" w:space="0" w:color="auto"/>
      </w:divBdr>
    </w:div>
    <w:div w:id="985668819">
      <w:bodyDiv w:val="1"/>
      <w:marLeft w:val="0"/>
      <w:marRight w:val="0"/>
      <w:marTop w:val="0"/>
      <w:marBottom w:val="0"/>
      <w:divBdr>
        <w:top w:val="none" w:sz="0" w:space="0" w:color="auto"/>
        <w:left w:val="none" w:sz="0" w:space="0" w:color="auto"/>
        <w:bottom w:val="none" w:sz="0" w:space="0" w:color="auto"/>
        <w:right w:val="none" w:sz="0" w:space="0" w:color="auto"/>
      </w:divBdr>
    </w:div>
    <w:div w:id="997268664">
      <w:bodyDiv w:val="1"/>
      <w:marLeft w:val="0"/>
      <w:marRight w:val="0"/>
      <w:marTop w:val="0"/>
      <w:marBottom w:val="0"/>
      <w:divBdr>
        <w:top w:val="none" w:sz="0" w:space="0" w:color="auto"/>
        <w:left w:val="none" w:sz="0" w:space="0" w:color="auto"/>
        <w:bottom w:val="none" w:sz="0" w:space="0" w:color="auto"/>
        <w:right w:val="none" w:sz="0" w:space="0" w:color="auto"/>
      </w:divBdr>
    </w:div>
    <w:div w:id="1015034955">
      <w:bodyDiv w:val="1"/>
      <w:marLeft w:val="0"/>
      <w:marRight w:val="0"/>
      <w:marTop w:val="0"/>
      <w:marBottom w:val="0"/>
      <w:divBdr>
        <w:top w:val="none" w:sz="0" w:space="0" w:color="auto"/>
        <w:left w:val="none" w:sz="0" w:space="0" w:color="auto"/>
        <w:bottom w:val="none" w:sz="0" w:space="0" w:color="auto"/>
        <w:right w:val="none" w:sz="0" w:space="0" w:color="auto"/>
      </w:divBdr>
    </w:div>
    <w:div w:id="1025670923">
      <w:bodyDiv w:val="1"/>
      <w:marLeft w:val="0"/>
      <w:marRight w:val="0"/>
      <w:marTop w:val="0"/>
      <w:marBottom w:val="0"/>
      <w:divBdr>
        <w:top w:val="none" w:sz="0" w:space="0" w:color="auto"/>
        <w:left w:val="none" w:sz="0" w:space="0" w:color="auto"/>
        <w:bottom w:val="none" w:sz="0" w:space="0" w:color="auto"/>
        <w:right w:val="none" w:sz="0" w:space="0" w:color="auto"/>
      </w:divBdr>
    </w:div>
    <w:div w:id="1032416795">
      <w:bodyDiv w:val="1"/>
      <w:marLeft w:val="0"/>
      <w:marRight w:val="0"/>
      <w:marTop w:val="0"/>
      <w:marBottom w:val="0"/>
      <w:divBdr>
        <w:top w:val="none" w:sz="0" w:space="0" w:color="auto"/>
        <w:left w:val="none" w:sz="0" w:space="0" w:color="auto"/>
        <w:bottom w:val="none" w:sz="0" w:space="0" w:color="auto"/>
        <w:right w:val="none" w:sz="0" w:space="0" w:color="auto"/>
      </w:divBdr>
    </w:div>
    <w:div w:id="1041131781">
      <w:bodyDiv w:val="1"/>
      <w:marLeft w:val="0"/>
      <w:marRight w:val="0"/>
      <w:marTop w:val="0"/>
      <w:marBottom w:val="0"/>
      <w:divBdr>
        <w:top w:val="none" w:sz="0" w:space="0" w:color="auto"/>
        <w:left w:val="none" w:sz="0" w:space="0" w:color="auto"/>
        <w:bottom w:val="none" w:sz="0" w:space="0" w:color="auto"/>
        <w:right w:val="none" w:sz="0" w:space="0" w:color="auto"/>
      </w:divBdr>
    </w:div>
    <w:div w:id="1051925792">
      <w:bodyDiv w:val="1"/>
      <w:marLeft w:val="0"/>
      <w:marRight w:val="0"/>
      <w:marTop w:val="0"/>
      <w:marBottom w:val="0"/>
      <w:divBdr>
        <w:top w:val="none" w:sz="0" w:space="0" w:color="auto"/>
        <w:left w:val="none" w:sz="0" w:space="0" w:color="auto"/>
        <w:bottom w:val="none" w:sz="0" w:space="0" w:color="auto"/>
        <w:right w:val="none" w:sz="0" w:space="0" w:color="auto"/>
      </w:divBdr>
    </w:div>
    <w:div w:id="1052659095">
      <w:bodyDiv w:val="1"/>
      <w:marLeft w:val="0"/>
      <w:marRight w:val="0"/>
      <w:marTop w:val="0"/>
      <w:marBottom w:val="0"/>
      <w:divBdr>
        <w:top w:val="none" w:sz="0" w:space="0" w:color="auto"/>
        <w:left w:val="none" w:sz="0" w:space="0" w:color="auto"/>
        <w:bottom w:val="none" w:sz="0" w:space="0" w:color="auto"/>
        <w:right w:val="none" w:sz="0" w:space="0" w:color="auto"/>
      </w:divBdr>
    </w:div>
    <w:div w:id="1057633287">
      <w:bodyDiv w:val="1"/>
      <w:marLeft w:val="0"/>
      <w:marRight w:val="0"/>
      <w:marTop w:val="0"/>
      <w:marBottom w:val="0"/>
      <w:divBdr>
        <w:top w:val="none" w:sz="0" w:space="0" w:color="auto"/>
        <w:left w:val="none" w:sz="0" w:space="0" w:color="auto"/>
        <w:bottom w:val="none" w:sz="0" w:space="0" w:color="auto"/>
        <w:right w:val="none" w:sz="0" w:space="0" w:color="auto"/>
      </w:divBdr>
    </w:div>
    <w:div w:id="1066411756">
      <w:bodyDiv w:val="1"/>
      <w:marLeft w:val="0"/>
      <w:marRight w:val="0"/>
      <w:marTop w:val="0"/>
      <w:marBottom w:val="0"/>
      <w:divBdr>
        <w:top w:val="none" w:sz="0" w:space="0" w:color="auto"/>
        <w:left w:val="none" w:sz="0" w:space="0" w:color="auto"/>
        <w:bottom w:val="none" w:sz="0" w:space="0" w:color="auto"/>
        <w:right w:val="none" w:sz="0" w:space="0" w:color="auto"/>
      </w:divBdr>
    </w:div>
    <w:div w:id="1066731265">
      <w:bodyDiv w:val="1"/>
      <w:marLeft w:val="0"/>
      <w:marRight w:val="0"/>
      <w:marTop w:val="0"/>
      <w:marBottom w:val="0"/>
      <w:divBdr>
        <w:top w:val="none" w:sz="0" w:space="0" w:color="auto"/>
        <w:left w:val="none" w:sz="0" w:space="0" w:color="auto"/>
        <w:bottom w:val="none" w:sz="0" w:space="0" w:color="auto"/>
        <w:right w:val="none" w:sz="0" w:space="0" w:color="auto"/>
      </w:divBdr>
    </w:div>
    <w:div w:id="1074161170">
      <w:bodyDiv w:val="1"/>
      <w:marLeft w:val="0"/>
      <w:marRight w:val="0"/>
      <w:marTop w:val="0"/>
      <w:marBottom w:val="0"/>
      <w:divBdr>
        <w:top w:val="none" w:sz="0" w:space="0" w:color="auto"/>
        <w:left w:val="none" w:sz="0" w:space="0" w:color="auto"/>
        <w:bottom w:val="none" w:sz="0" w:space="0" w:color="auto"/>
        <w:right w:val="none" w:sz="0" w:space="0" w:color="auto"/>
      </w:divBdr>
    </w:div>
    <w:div w:id="1074206318">
      <w:bodyDiv w:val="1"/>
      <w:marLeft w:val="0"/>
      <w:marRight w:val="0"/>
      <w:marTop w:val="0"/>
      <w:marBottom w:val="0"/>
      <w:divBdr>
        <w:top w:val="none" w:sz="0" w:space="0" w:color="auto"/>
        <w:left w:val="none" w:sz="0" w:space="0" w:color="auto"/>
        <w:bottom w:val="none" w:sz="0" w:space="0" w:color="auto"/>
        <w:right w:val="none" w:sz="0" w:space="0" w:color="auto"/>
      </w:divBdr>
    </w:div>
    <w:div w:id="1076823802">
      <w:bodyDiv w:val="1"/>
      <w:marLeft w:val="0"/>
      <w:marRight w:val="0"/>
      <w:marTop w:val="0"/>
      <w:marBottom w:val="0"/>
      <w:divBdr>
        <w:top w:val="none" w:sz="0" w:space="0" w:color="auto"/>
        <w:left w:val="none" w:sz="0" w:space="0" w:color="auto"/>
        <w:bottom w:val="none" w:sz="0" w:space="0" w:color="auto"/>
        <w:right w:val="none" w:sz="0" w:space="0" w:color="auto"/>
      </w:divBdr>
    </w:div>
    <w:div w:id="1097486406">
      <w:bodyDiv w:val="1"/>
      <w:marLeft w:val="0"/>
      <w:marRight w:val="0"/>
      <w:marTop w:val="0"/>
      <w:marBottom w:val="0"/>
      <w:divBdr>
        <w:top w:val="none" w:sz="0" w:space="0" w:color="auto"/>
        <w:left w:val="none" w:sz="0" w:space="0" w:color="auto"/>
        <w:bottom w:val="none" w:sz="0" w:space="0" w:color="auto"/>
        <w:right w:val="none" w:sz="0" w:space="0" w:color="auto"/>
      </w:divBdr>
    </w:div>
    <w:div w:id="1097948329">
      <w:bodyDiv w:val="1"/>
      <w:marLeft w:val="0"/>
      <w:marRight w:val="0"/>
      <w:marTop w:val="0"/>
      <w:marBottom w:val="0"/>
      <w:divBdr>
        <w:top w:val="none" w:sz="0" w:space="0" w:color="auto"/>
        <w:left w:val="none" w:sz="0" w:space="0" w:color="auto"/>
        <w:bottom w:val="none" w:sz="0" w:space="0" w:color="auto"/>
        <w:right w:val="none" w:sz="0" w:space="0" w:color="auto"/>
      </w:divBdr>
    </w:div>
    <w:div w:id="1108426259">
      <w:bodyDiv w:val="1"/>
      <w:marLeft w:val="0"/>
      <w:marRight w:val="0"/>
      <w:marTop w:val="0"/>
      <w:marBottom w:val="0"/>
      <w:divBdr>
        <w:top w:val="none" w:sz="0" w:space="0" w:color="auto"/>
        <w:left w:val="none" w:sz="0" w:space="0" w:color="auto"/>
        <w:bottom w:val="none" w:sz="0" w:space="0" w:color="auto"/>
        <w:right w:val="none" w:sz="0" w:space="0" w:color="auto"/>
      </w:divBdr>
    </w:div>
    <w:div w:id="1110123972">
      <w:bodyDiv w:val="1"/>
      <w:marLeft w:val="0"/>
      <w:marRight w:val="0"/>
      <w:marTop w:val="0"/>
      <w:marBottom w:val="0"/>
      <w:divBdr>
        <w:top w:val="none" w:sz="0" w:space="0" w:color="auto"/>
        <w:left w:val="none" w:sz="0" w:space="0" w:color="auto"/>
        <w:bottom w:val="none" w:sz="0" w:space="0" w:color="auto"/>
        <w:right w:val="none" w:sz="0" w:space="0" w:color="auto"/>
      </w:divBdr>
    </w:div>
    <w:div w:id="1118137132">
      <w:bodyDiv w:val="1"/>
      <w:marLeft w:val="0"/>
      <w:marRight w:val="0"/>
      <w:marTop w:val="0"/>
      <w:marBottom w:val="0"/>
      <w:divBdr>
        <w:top w:val="none" w:sz="0" w:space="0" w:color="auto"/>
        <w:left w:val="none" w:sz="0" w:space="0" w:color="auto"/>
        <w:bottom w:val="none" w:sz="0" w:space="0" w:color="auto"/>
        <w:right w:val="none" w:sz="0" w:space="0" w:color="auto"/>
      </w:divBdr>
    </w:div>
    <w:div w:id="1122529367">
      <w:bodyDiv w:val="1"/>
      <w:marLeft w:val="0"/>
      <w:marRight w:val="0"/>
      <w:marTop w:val="0"/>
      <w:marBottom w:val="0"/>
      <w:divBdr>
        <w:top w:val="none" w:sz="0" w:space="0" w:color="auto"/>
        <w:left w:val="none" w:sz="0" w:space="0" w:color="auto"/>
        <w:bottom w:val="none" w:sz="0" w:space="0" w:color="auto"/>
        <w:right w:val="none" w:sz="0" w:space="0" w:color="auto"/>
      </w:divBdr>
    </w:div>
    <w:div w:id="1132671065">
      <w:bodyDiv w:val="1"/>
      <w:marLeft w:val="0"/>
      <w:marRight w:val="0"/>
      <w:marTop w:val="0"/>
      <w:marBottom w:val="0"/>
      <w:divBdr>
        <w:top w:val="none" w:sz="0" w:space="0" w:color="auto"/>
        <w:left w:val="none" w:sz="0" w:space="0" w:color="auto"/>
        <w:bottom w:val="none" w:sz="0" w:space="0" w:color="auto"/>
        <w:right w:val="none" w:sz="0" w:space="0" w:color="auto"/>
      </w:divBdr>
    </w:div>
    <w:div w:id="1139876931">
      <w:bodyDiv w:val="1"/>
      <w:marLeft w:val="0"/>
      <w:marRight w:val="0"/>
      <w:marTop w:val="0"/>
      <w:marBottom w:val="0"/>
      <w:divBdr>
        <w:top w:val="none" w:sz="0" w:space="0" w:color="auto"/>
        <w:left w:val="none" w:sz="0" w:space="0" w:color="auto"/>
        <w:bottom w:val="none" w:sz="0" w:space="0" w:color="auto"/>
        <w:right w:val="none" w:sz="0" w:space="0" w:color="auto"/>
      </w:divBdr>
    </w:div>
    <w:div w:id="1140154795">
      <w:bodyDiv w:val="1"/>
      <w:marLeft w:val="0"/>
      <w:marRight w:val="0"/>
      <w:marTop w:val="0"/>
      <w:marBottom w:val="0"/>
      <w:divBdr>
        <w:top w:val="none" w:sz="0" w:space="0" w:color="auto"/>
        <w:left w:val="none" w:sz="0" w:space="0" w:color="auto"/>
        <w:bottom w:val="none" w:sz="0" w:space="0" w:color="auto"/>
        <w:right w:val="none" w:sz="0" w:space="0" w:color="auto"/>
      </w:divBdr>
    </w:div>
    <w:div w:id="1148932972">
      <w:bodyDiv w:val="1"/>
      <w:marLeft w:val="0"/>
      <w:marRight w:val="0"/>
      <w:marTop w:val="0"/>
      <w:marBottom w:val="0"/>
      <w:divBdr>
        <w:top w:val="none" w:sz="0" w:space="0" w:color="auto"/>
        <w:left w:val="none" w:sz="0" w:space="0" w:color="auto"/>
        <w:bottom w:val="none" w:sz="0" w:space="0" w:color="auto"/>
        <w:right w:val="none" w:sz="0" w:space="0" w:color="auto"/>
      </w:divBdr>
    </w:div>
    <w:div w:id="1159998152">
      <w:bodyDiv w:val="1"/>
      <w:marLeft w:val="0"/>
      <w:marRight w:val="0"/>
      <w:marTop w:val="0"/>
      <w:marBottom w:val="0"/>
      <w:divBdr>
        <w:top w:val="none" w:sz="0" w:space="0" w:color="auto"/>
        <w:left w:val="none" w:sz="0" w:space="0" w:color="auto"/>
        <w:bottom w:val="none" w:sz="0" w:space="0" w:color="auto"/>
        <w:right w:val="none" w:sz="0" w:space="0" w:color="auto"/>
      </w:divBdr>
    </w:div>
    <w:div w:id="1162039163">
      <w:bodyDiv w:val="1"/>
      <w:marLeft w:val="0"/>
      <w:marRight w:val="0"/>
      <w:marTop w:val="0"/>
      <w:marBottom w:val="0"/>
      <w:divBdr>
        <w:top w:val="none" w:sz="0" w:space="0" w:color="auto"/>
        <w:left w:val="none" w:sz="0" w:space="0" w:color="auto"/>
        <w:bottom w:val="none" w:sz="0" w:space="0" w:color="auto"/>
        <w:right w:val="none" w:sz="0" w:space="0" w:color="auto"/>
      </w:divBdr>
      <w:divsChild>
        <w:div w:id="514655267">
          <w:marLeft w:val="547"/>
          <w:marRight w:val="0"/>
          <w:marTop w:val="240"/>
          <w:marBottom w:val="0"/>
          <w:divBdr>
            <w:top w:val="none" w:sz="0" w:space="0" w:color="auto"/>
            <w:left w:val="none" w:sz="0" w:space="0" w:color="auto"/>
            <w:bottom w:val="none" w:sz="0" w:space="0" w:color="auto"/>
            <w:right w:val="none" w:sz="0" w:space="0" w:color="auto"/>
          </w:divBdr>
        </w:div>
      </w:divsChild>
    </w:div>
    <w:div w:id="1173758503">
      <w:bodyDiv w:val="1"/>
      <w:marLeft w:val="0"/>
      <w:marRight w:val="0"/>
      <w:marTop w:val="0"/>
      <w:marBottom w:val="0"/>
      <w:divBdr>
        <w:top w:val="none" w:sz="0" w:space="0" w:color="auto"/>
        <w:left w:val="none" w:sz="0" w:space="0" w:color="auto"/>
        <w:bottom w:val="none" w:sz="0" w:space="0" w:color="auto"/>
        <w:right w:val="none" w:sz="0" w:space="0" w:color="auto"/>
      </w:divBdr>
    </w:div>
    <w:div w:id="1179926430">
      <w:bodyDiv w:val="1"/>
      <w:marLeft w:val="0"/>
      <w:marRight w:val="0"/>
      <w:marTop w:val="0"/>
      <w:marBottom w:val="0"/>
      <w:divBdr>
        <w:top w:val="none" w:sz="0" w:space="0" w:color="auto"/>
        <w:left w:val="none" w:sz="0" w:space="0" w:color="auto"/>
        <w:bottom w:val="none" w:sz="0" w:space="0" w:color="auto"/>
        <w:right w:val="none" w:sz="0" w:space="0" w:color="auto"/>
      </w:divBdr>
    </w:div>
    <w:div w:id="1185435653">
      <w:bodyDiv w:val="1"/>
      <w:marLeft w:val="0"/>
      <w:marRight w:val="0"/>
      <w:marTop w:val="0"/>
      <w:marBottom w:val="0"/>
      <w:divBdr>
        <w:top w:val="none" w:sz="0" w:space="0" w:color="auto"/>
        <w:left w:val="none" w:sz="0" w:space="0" w:color="auto"/>
        <w:bottom w:val="none" w:sz="0" w:space="0" w:color="auto"/>
        <w:right w:val="none" w:sz="0" w:space="0" w:color="auto"/>
      </w:divBdr>
    </w:div>
    <w:div w:id="1193806710">
      <w:bodyDiv w:val="1"/>
      <w:marLeft w:val="0"/>
      <w:marRight w:val="0"/>
      <w:marTop w:val="0"/>
      <w:marBottom w:val="0"/>
      <w:divBdr>
        <w:top w:val="none" w:sz="0" w:space="0" w:color="auto"/>
        <w:left w:val="none" w:sz="0" w:space="0" w:color="auto"/>
        <w:bottom w:val="none" w:sz="0" w:space="0" w:color="auto"/>
        <w:right w:val="none" w:sz="0" w:space="0" w:color="auto"/>
      </w:divBdr>
    </w:div>
    <w:div w:id="1195115266">
      <w:bodyDiv w:val="1"/>
      <w:marLeft w:val="0"/>
      <w:marRight w:val="0"/>
      <w:marTop w:val="0"/>
      <w:marBottom w:val="0"/>
      <w:divBdr>
        <w:top w:val="none" w:sz="0" w:space="0" w:color="auto"/>
        <w:left w:val="none" w:sz="0" w:space="0" w:color="auto"/>
        <w:bottom w:val="none" w:sz="0" w:space="0" w:color="auto"/>
        <w:right w:val="none" w:sz="0" w:space="0" w:color="auto"/>
      </w:divBdr>
    </w:div>
    <w:div w:id="1210343509">
      <w:bodyDiv w:val="1"/>
      <w:marLeft w:val="0"/>
      <w:marRight w:val="0"/>
      <w:marTop w:val="0"/>
      <w:marBottom w:val="0"/>
      <w:divBdr>
        <w:top w:val="none" w:sz="0" w:space="0" w:color="auto"/>
        <w:left w:val="none" w:sz="0" w:space="0" w:color="auto"/>
        <w:bottom w:val="none" w:sz="0" w:space="0" w:color="auto"/>
        <w:right w:val="none" w:sz="0" w:space="0" w:color="auto"/>
      </w:divBdr>
    </w:div>
    <w:div w:id="1210799473">
      <w:bodyDiv w:val="1"/>
      <w:marLeft w:val="0"/>
      <w:marRight w:val="0"/>
      <w:marTop w:val="0"/>
      <w:marBottom w:val="0"/>
      <w:divBdr>
        <w:top w:val="none" w:sz="0" w:space="0" w:color="auto"/>
        <w:left w:val="none" w:sz="0" w:space="0" w:color="auto"/>
        <w:bottom w:val="none" w:sz="0" w:space="0" w:color="auto"/>
        <w:right w:val="none" w:sz="0" w:space="0" w:color="auto"/>
      </w:divBdr>
    </w:div>
    <w:div w:id="1217623005">
      <w:bodyDiv w:val="1"/>
      <w:marLeft w:val="0"/>
      <w:marRight w:val="0"/>
      <w:marTop w:val="0"/>
      <w:marBottom w:val="0"/>
      <w:divBdr>
        <w:top w:val="none" w:sz="0" w:space="0" w:color="auto"/>
        <w:left w:val="none" w:sz="0" w:space="0" w:color="auto"/>
        <w:bottom w:val="none" w:sz="0" w:space="0" w:color="auto"/>
        <w:right w:val="none" w:sz="0" w:space="0" w:color="auto"/>
      </w:divBdr>
    </w:div>
    <w:div w:id="1224488654">
      <w:bodyDiv w:val="1"/>
      <w:marLeft w:val="0"/>
      <w:marRight w:val="0"/>
      <w:marTop w:val="0"/>
      <w:marBottom w:val="0"/>
      <w:divBdr>
        <w:top w:val="none" w:sz="0" w:space="0" w:color="auto"/>
        <w:left w:val="none" w:sz="0" w:space="0" w:color="auto"/>
        <w:bottom w:val="none" w:sz="0" w:space="0" w:color="auto"/>
        <w:right w:val="none" w:sz="0" w:space="0" w:color="auto"/>
      </w:divBdr>
    </w:div>
    <w:div w:id="1230072247">
      <w:bodyDiv w:val="1"/>
      <w:marLeft w:val="0"/>
      <w:marRight w:val="0"/>
      <w:marTop w:val="0"/>
      <w:marBottom w:val="0"/>
      <w:divBdr>
        <w:top w:val="none" w:sz="0" w:space="0" w:color="auto"/>
        <w:left w:val="none" w:sz="0" w:space="0" w:color="auto"/>
        <w:bottom w:val="none" w:sz="0" w:space="0" w:color="auto"/>
        <w:right w:val="none" w:sz="0" w:space="0" w:color="auto"/>
      </w:divBdr>
    </w:div>
    <w:div w:id="1231043526">
      <w:bodyDiv w:val="1"/>
      <w:marLeft w:val="0"/>
      <w:marRight w:val="0"/>
      <w:marTop w:val="0"/>
      <w:marBottom w:val="0"/>
      <w:divBdr>
        <w:top w:val="none" w:sz="0" w:space="0" w:color="auto"/>
        <w:left w:val="none" w:sz="0" w:space="0" w:color="auto"/>
        <w:bottom w:val="none" w:sz="0" w:space="0" w:color="auto"/>
        <w:right w:val="none" w:sz="0" w:space="0" w:color="auto"/>
      </w:divBdr>
    </w:div>
    <w:div w:id="1236355215">
      <w:bodyDiv w:val="1"/>
      <w:marLeft w:val="0"/>
      <w:marRight w:val="0"/>
      <w:marTop w:val="0"/>
      <w:marBottom w:val="0"/>
      <w:divBdr>
        <w:top w:val="none" w:sz="0" w:space="0" w:color="auto"/>
        <w:left w:val="none" w:sz="0" w:space="0" w:color="auto"/>
        <w:bottom w:val="none" w:sz="0" w:space="0" w:color="auto"/>
        <w:right w:val="none" w:sz="0" w:space="0" w:color="auto"/>
      </w:divBdr>
    </w:div>
    <w:div w:id="1242176560">
      <w:bodyDiv w:val="1"/>
      <w:marLeft w:val="0"/>
      <w:marRight w:val="0"/>
      <w:marTop w:val="0"/>
      <w:marBottom w:val="0"/>
      <w:divBdr>
        <w:top w:val="none" w:sz="0" w:space="0" w:color="auto"/>
        <w:left w:val="none" w:sz="0" w:space="0" w:color="auto"/>
        <w:bottom w:val="none" w:sz="0" w:space="0" w:color="auto"/>
        <w:right w:val="none" w:sz="0" w:space="0" w:color="auto"/>
      </w:divBdr>
    </w:div>
    <w:div w:id="1263031485">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
    <w:div w:id="1276907005">
      <w:bodyDiv w:val="1"/>
      <w:marLeft w:val="0"/>
      <w:marRight w:val="0"/>
      <w:marTop w:val="0"/>
      <w:marBottom w:val="0"/>
      <w:divBdr>
        <w:top w:val="none" w:sz="0" w:space="0" w:color="auto"/>
        <w:left w:val="none" w:sz="0" w:space="0" w:color="auto"/>
        <w:bottom w:val="none" w:sz="0" w:space="0" w:color="auto"/>
        <w:right w:val="none" w:sz="0" w:space="0" w:color="auto"/>
      </w:divBdr>
    </w:div>
    <w:div w:id="1284575570">
      <w:bodyDiv w:val="1"/>
      <w:marLeft w:val="0"/>
      <w:marRight w:val="0"/>
      <w:marTop w:val="0"/>
      <w:marBottom w:val="0"/>
      <w:divBdr>
        <w:top w:val="none" w:sz="0" w:space="0" w:color="auto"/>
        <w:left w:val="none" w:sz="0" w:space="0" w:color="auto"/>
        <w:bottom w:val="none" w:sz="0" w:space="0" w:color="auto"/>
        <w:right w:val="none" w:sz="0" w:space="0" w:color="auto"/>
      </w:divBdr>
    </w:div>
    <w:div w:id="1284656971">
      <w:bodyDiv w:val="1"/>
      <w:marLeft w:val="0"/>
      <w:marRight w:val="0"/>
      <w:marTop w:val="0"/>
      <w:marBottom w:val="0"/>
      <w:divBdr>
        <w:top w:val="none" w:sz="0" w:space="0" w:color="auto"/>
        <w:left w:val="none" w:sz="0" w:space="0" w:color="auto"/>
        <w:bottom w:val="none" w:sz="0" w:space="0" w:color="auto"/>
        <w:right w:val="none" w:sz="0" w:space="0" w:color="auto"/>
      </w:divBdr>
    </w:div>
    <w:div w:id="1296449777">
      <w:bodyDiv w:val="1"/>
      <w:marLeft w:val="0"/>
      <w:marRight w:val="0"/>
      <w:marTop w:val="0"/>
      <w:marBottom w:val="0"/>
      <w:divBdr>
        <w:top w:val="none" w:sz="0" w:space="0" w:color="auto"/>
        <w:left w:val="none" w:sz="0" w:space="0" w:color="auto"/>
        <w:bottom w:val="none" w:sz="0" w:space="0" w:color="auto"/>
        <w:right w:val="none" w:sz="0" w:space="0" w:color="auto"/>
      </w:divBdr>
    </w:div>
    <w:div w:id="1297027287">
      <w:bodyDiv w:val="1"/>
      <w:marLeft w:val="0"/>
      <w:marRight w:val="0"/>
      <w:marTop w:val="0"/>
      <w:marBottom w:val="0"/>
      <w:divBdr>
        <w:top w:val="none" w:sz="0" w:space="0" w:color="auto"/>
        <w:left w:val="none" w:sz="0" w:space="0" w:color="auto"/>
        <w:bottom w:val="none" w:sz="0" w:space="0" w:color="auto"/>
        <w:right w:val="none" w:sz="0" w:space="0" w:color="auto"/>
      </w:divBdr>
    </w:div>
    <w:div w:id="1302996899">
      <w:bodyDiv w:val="1"/>
      <w:marLeft w:val="0"/>
      <w:marRight w:val="0"/>
      <w:marTop w:val="0"/>
      <w:marBottom w:val="0"/>
      <w:divBdr>
        <w:top w:val="none" w:sz="0" w:space="0" w:color="auto"/>
        <w:left w:val="none" w:sz="0" w:space="0" w:color="auto"/>
        <w:bottom w:val="none" w:sz="0" w:space="0" w:color="auto"/>
        <w:right w:val="none" w:sz="0" w:space="0" w:color="auto"/>
      </w:divBdr>
    </w:div>
    <w:div w:id="1307323253">
      <w:bodyDiv w:val="1"/>
      <w:marLeft w:val="0"/>
      <w:marRight w:val="0"/>
      <w:marTop w:val="0"/>
      <w:marBottom w:val="0"/>
      <w:divBdr>
        <w:top w:val="none" w:sz="0" w:space="0" w:color="auto"/>
        <w:left w:val="none" w:sz="0" w:space="0" w:color="auto"/>
        <w:bottom w:val="none" w:sz="0" w:space="0" w:color="auto"/>
        <w:right w:val="none" w:sz="0" w:space="0" w:color="auto"/>
      </w:divBdr>
    </w:div>
    <w:div w:id="1318653031">
      <w:bodyDiv w:val="1"/>
      <w:marLeft w:val="0"/>
      <w:marRight w:val="0"/>
      <w:marTop w:val="0"/>
      <w:marBottom w:val="0"/>
      <w:divBdr>
        <w:top w:val="none" w:sz="0" w:space="0" w:color="auto"/>
        <w:left w:val="none" w:sz="0" w:space="0" w:color="auto"/>
        <w:bottom w:val="none" w:sz="0" w:space="0" w:color="auto"/>
        <w:right w:val="none" w:sz="0" w:space="0" w:color="auto"/>
      </w:divBdr>
    </w:div>
    <w:div w:id="1332223448">
      <w:bodyDiv w:val="1"/>
      <w:marLeft w:val="0"/>
      <w:marRight w:val="0"/>
      <w:marTop w:val="0"/>
      <w:marBottom w:val="0"/>
      <w:divBdr>
        <w:top w:val="none" w:sz="0" w:space="0" w:color="auto"/>
        <w:left w:val="none" w:sz="0" w:space="0" w:color="auto"/>
        <w:bottom w:val="none" w:sz="0" w:space="0" w:color="auto"/>
        <w:right w:val="none" w:sz="0" w:space="0" w:color="auto"/>
      </w:divBdr>
    </w:div>
    <w:div w:id="1333222217">
      <w:bodyDiv w:val="1"/>
      <w:marLeft w:val="0"/>
      <w:marRight w:val="0"/>
      <w:marTop w:val="0"/>
      <w:marBottom w:val="0"/>
      <w:divBdr>
        <w:top w:val="none" w:sz="0" w:space="0" w:color="auto"/>
        <w:left w:val="none" w:sz="0" w:space="0" w:color="auto"/>
        <w:bottom w:val="none" w:sz="0" w:space="0" w:color="auto"/>
        <w:right w:val="none" w:sz="0" w:space="0" w:color="auto"/>
      </w:divBdr>
    </w:div>
    <w:div w:id="1338389678">
      <w:bodyDiv w:val="1"/>
      <w:marLeft w:val="0"/>
      <w:marRight w:val="0"/>
      <w:marTop w:val="0"/>
      <w:marBottom w:val="0"/>
      <w:divBdr>
        <w:top w:val="none" w:sz="0" w:space="0" w:color="auto"/>
        <w:left w:val="none" w:sz="0" w:space="0" w:color="auto"/>
        <w:bottom w:val="none" w:sz="0" w:space="0" w:color="auto"/>
        <w:right w:val="none" w:sz="0" w:space="0" w:color="auto"/>
      </w:divBdr>
    </w:div>
    <w:div w:id="1348212169">
      <w:bodyDiv w:val="1"/>
      <w:marLeft w:val="0"/>
      <w:marRight w:val="0"/>
      <w:marTop w:val="0"/>
      <w:marBottom w:val="0"/>
      <w:divBdr>
        <w:top w:val="none" w:sz="0" w:space="0" w:color="auto"/>
        <w:left w:val="none" w:sz="0" w:space="0" w:color="auto"/>
        <w:bottom w:val="none" w:sz="0" w:space="0" w:color="auto"/>
        <w:right w:val="none" w:sz="0" w:space="0" w:color="auto"/>
      </w:divBdr>
    </w:div>
    <w:div w:id="1355813957">
      <w:bodyDiv w:val="1"/>
      <w:marLeft w:val="0"/>
      <w:marRight w:val="0"/>
      <w:marTop w:val="0"/>
      <w:marBottom w:val="0"/>
      <w:divBdr>
        <w:top w:val="none" w:sz="0" w:space="0" w:color="auto"/>
        <w:left w:val="none" w:sz="0" w:space="0" w:color="auto"/>
        <w:bottom w:val="none" w:sz="0" w:space="0" w:color="auto"/>
        <w:right w:val="none" w:sz="0" w:space="0" w:color="auto"/>
      </w:divBdr>
    </w:div>
    <w:div w:id="1359701369">
      <w:bodyDiv w:val="1"/>
      <w:marLeft w:val="0"/>
      <w:marRight w:val="0"/>
      <w:marTop w:val="0"/>
      <w:marBottom w:val="0"/>
      <w:divBdr>
        <w:top w:val="none" w:sz="0" w:space="0" w:color="auto"/>
        <w:left w:val="none" w:sz="0" w:space="0" w:color="auto"/>
        <w:bottom w:val="none" w:sz="0" w:space="0" w:color="auto"/>
        <w:right w:val="none" w:sz="0" w:space="0" w:color="auto"/>
      </w:divBdr>
    </w:div>
    <w:div w:id="1372026638">
      <w:bodyDiv w:val="1"/>
      <w:marLeft w:val="0"/>
      <w:marRight w:val="0"/>
      <w:marTop w:val="0"/>
      <w:marBottom w:val="0"/>
      <w:divBdr>
        <w:top w:val="none" w:sz="0" w:space="0" w:color="auto"/>
        <w:left w:val="none" w:sz="0" w:space="0" w:color="auto"/>
        <w:bottom w:val="none" w:sz="0" w:space="0" w:color="auto"/>
        <w:right w:val="none" w:sz="0" w:space="0" w:color="auto"/>
      </w:divBdr>
    </w:div>
    <w:div w:id="1374577135">
      <w:bodyDiv w:val="1"/>
      <w:marLeft w:val="0"/>
      <w:marRight w:val="0"/>
      <w:marTop w:val="0"/>
      <w:marBottom w:val="0"/>
      <w:divBdr>
        <w:top w:val="none" w:sz="0" w:space="0" w:color="auto"/>
        <w:left w:val="none" w:sz="0" w:space="0" w:color="auto"/>
        <w:bottom w:val="none" w:sz="0" w:space="0" w:color="auto"/>
        <w:right w:val="none" w:sz="0" w:space="0" w:color="auto"/>
      </w:divBdr>
    </w:div>
    <w:div w:id="1376659855">
      <w:bodyDiv w:val="1"/>
      <w:marLeft w:val="0"/>
      <w:marRight w:val="0"/>
      <w:marTop w:val="0"/>
      <w:marBottom w:val="0"/>
      <w:divBdr>
        <w:top w:val="none" w:sz="0" w:space="0" w:color="auto"/>
        <w:left w:val="none" w:sz="0" w:space="0" w:color="auto"/>
        <w:bottom w:val="none" w:sz="0" w:space="0" w:color="auto"/>
        <w:right w:val="none" w:sz="0" w:space="0" w:color="auto"/>
      </w:divBdr>
    </w:div>
    <w:div w:id="1381398690">
      <w:bodyDiv w:val="1"/>
      <w:marLeft w:val="0"/>
      <w:marRight w:val="0"/>
      <w:marTop w:val="0"/>
      <w:marBottom w:val="0"/>
      <w:divBdr>
        <w:top w:val="none" w:sz="0" w:space="0" w:color="auto"/>
        <w:left w:val="none" w:sz="0" w:space="0" w:color="auto"/>
        <w:bottom w:val="none" w:sz="0" w:space="0" w:color="auto"/>
        <w:right w:val="none" w:sz="0" w:space="0" w:color="auto"/>
      </w:divBdr>
    </w:div>
    <w:div w:id="1383092848">
      <w:bodyDiv w:val="1"/>
      <w:marLeft w:val="0"/>
      <w:marRight w:val="0"/>
      <w:marTop w:val="0"/>
      <w:marBottom w:val="0"/>
      <w:divBdr>
        <w:top w:val="none" w:sz="0" w:space="0" w:color="auto"/>
        <w:left w:val="none" w:sz="0" w:space="0" w:color="auto"/>
        <w:bottom w:val="none" w:sz="0" w:space="0" w:color="auto"/>
        <w:right w:val="none" w:sz="0" w:space="0" w:color="auto"/>
      </w:divBdr>
    </w:div>
    <w:div w:id="1388260196">
      <w:bodyDiv w:val="1"/>
      <w:marLeft w:val="0"/>
      <w:marRight w:val="0"/>
      <w:marTop w:val="0"/>
      <w:marBottom w:val="0"/>
      <w:divBdr>
        <w:top w:val="none" w:sz="0" w:space="0" w:color="auto"/>
        <w:left w:val="none" w:sz="0" w:space="0" w:color="auto"/>
        <w:bottom w:val="none" w:sz="0" w:space="0" w:color="auto"/>
        <w:right w:val="none" w:sz="0" w:space="0" w:color="auto"/>
      </w:divBdr>
    </w:div>
    <w:div w:id="1394158961">
      <w:bodyDiv w:val="1"/>
      <w:marLeft w:val="0"/>
      <w:marRight w:val="0"/>
      <w:marTop w:val="0"/>
      <w:marBottom w:val="0"/>
      <w:divBdr>
        <w:top w:val="none" w:sz="0" w:space="0" w:color="auto"/>
        <w:left w:val="none" w:sz="0" w:space="0" w:color="auto"/>
        <w:bottom w:val="none" w:sz="0" w:space="0" w:color="auto"/>
        <w:right w:val="none" w:sz="0" w:space="0" w:color="auto"/>
      </w:divBdr>
    </w:div>
    <w:div w:id="1408724750">
      <w:bodyDiv w:val="1"/>
      <w:marLeft w:val="0"/>
      <w:marRight w:val="0"/>
      <w:marTop w:val="0"/>
      <w:marBottom w:val="0"/>
      <w:divBdr>
        <w:top w:val="none" w:sz="0" w:space="0" w:color="auto"/>
        <w:left w:val="none" w:sz="0" w:space="0" w:color="auto"/>
        <w:bottom w:val="none" w:sz="0" w:space="0" w:color="auto"/>
        <w:right w:val="none" w:sz="0" w:space="0" w:color="auto"/>
      </w:divBdr>
    </w:div>
    <w:div w:id="1409692351">
      <w:bodyDiv w:val="1"/>
      <w:marLeft w:val="0"/>
      <w:marRight w:val="0"/>
      <w:marTop w:val="0"/>
      <w:marBottom w:val="0"/>
      <w:divBdr>
        <w:top w:val="none" w:sz="0" w:space="0" w:color="auto"/>
        <w:left w:val="none" w:sz="0" w:space="0" w:color="auto"/>
        <w:bottom w:val="none" w:sz="0" w:space="0" w:color="auto"/>
        <w:right w:val="none" w:sz="0" w:space="0" w:color="auto"/>
      </w:divBdr>
    </w:div>
    <w:div w:id="1412237050">
      <w:bodyDiv w:val="1"/>
      <w:marLeft w:val="0"/>
      <w:marRight w:val="0"/>
      <w:marTop w:val="0"/>
      <w:marBottom w:val="0"/>
      <w:divBdr>
        <w:top w:val="none" w:sz="0" w:space="0" w:color="auto"/>
        <w:left w:val="none" w:sz="0" w:space="0" w:color="auto"/>
        <w:bottom w:val="none" w:sz="0" w:space="0" w:color="auto"/>
        <w:right w:val="none" w:sz="0" w:space="0" w:color="auto"/>
      </w:divBdr>
    </w:div>
    <w:div w:id="1413045270">
      <w:bodyDiv w:val="1"/>
      <w:marLeft w:val="0"/>
      <w:marRight w:val="0"/>
      <w:marTop w:val="0"/>
      <w:marBottom w:val="0"/>
      <w:divBdr>
        <w:top w:val="none" w:sz="0" w:space="0" w:color="auto"/>
        <w:left w:val="none" w:sz="0" w:space="0" w:color="auto"/>
        <w:bottom w:val="none" w:sz="0" w:space="0" w:color="auto"/>
        <w:right w:val="none" w:sz="0" w:space="0" w:color="auto"/>
      </w:divBdr>
    </w:div>
    <w:div w:id="1425998531">
      <w:bodyDiv w:val="1"/>
      <w:marLeft w:val="0"/>
      <w:marRight w:val="0"/>
      <w:marTop w:val="0"/>
      <w:marBottom w:val="0"/>
      <w:divBdr>
        <w:top w:val="none" w:sz="0" w:space="0" w:color="auto"/>
        <w:left w:val="none" w:sz="0" w:space="0" w:color="auto"/>
        <w:bottom w:val="none" w:sz="0" w:space="0" w:color="auto"/>
        <w:right w:val="none" w:sz="0" w:space="0" w:color="auto"/>
      </w:divBdr>
    </w:div>
    <w:div w:id="1430010026">
      <w:bodyDiv w:val="1"/>
      <w:marLeft w:val="0"/>
      <w:marRight w:val="0"/>
      <w:marTop w:val="0"/>
      <w:marBottom w:val="0"/>
      <w:divBdr>
        <w:top w:val="none" w:sz="0" w:space="0" w:color="auto"/>
        <w:left w:val="none" w:sz="0" w:space="0" w:color="auto"/>
        <w:bottom w:val="none" w:sz="0" w:space="0" w:color="auto"/>
        <w:right w:val="none" w:sz="0" w:space="0" w:color="auto"/>
      </w:divBdr>
    </w:div>
    <w:div w:id="1432777017">
      <w:bodyDiv w:val="1"/>
      <w:marLeft w:val="0"/>
      <w:marRight w:val="0"/>
      <w:marTop w:val="0"/>
      <w:marBottom w:val="0"/>
      <w:divBdr>
        <w:top w:val="none" w:sz="0" w:space="0" w:color="auto"/>
        <w:left w:val="none" w:sz="0" w:space="0" w:color="auto"/>
        <w:bottom w:val="none" w:sz="0" w:space="0" w:color="auto"/>
        <w:right w:val="none" w:sz="0" w:space="0" w:color="auto"/>
      </w:divBdr>
    </w:div>
    <w:div w:id="1438404683">
      <w:bodyDiv w:val="1"/>
      <w:marLeft w:val="0"/>
      <w:marRight w:val="0"/>
      <w:marTop w:val="0"/>
      <w:marBottom w:val="0"/>
      <w:divBdr>
        <w:top w:val="none" w:sz="0" w:space="0" w:color="auto"/>
        <w:left w:val="none" w:sz="0" w:space="0" w:color="auto"/>
        <w:bottom w:val="none" w:sz="0" w:space="0" w:color="auto"/>
        <w:right w:val="none" w:sz="0" w:space="0" w:color="auto"/>
      </w:divBdr>
    </w:div>
    <w:div w:id="1439713267">
      <w:bodyDiv w:val="1"/>
      <w:marLeft w:val="0"/>
      <w:marRight w:val="0"/>
      <w:marTop w:val="0"/>
      <w:marBottom w:val="0"/>
      <w:divBdr>
        <w:top w:val="none" w:sz="0" w:space="0" w:color="auto"/>
        <w:left w:val="none" w:sz="0" w:space="0" w:color="auto"/>
        <w:bottom w:val="none" w:sz="0" w:space="0" w:color="auto"/>
        <w:right w:val="none" w:sz="0" w:space="0" w:color="auto"/>
      </w:divBdr>
    </w:div>
    <w:div w:id="1448156386">
      <w:bodyDiv w:val="1"/>
      <w:marLeft w:val="0"/>
      <w:marRight w:val="0"/>
      <w:marTop w:val="0"/>
      <w:marBottom w:val="0"/>
      <w:divBdr>
        <w:top w:val="none" w:sz="0" w:space="0" w:color="auto"/>
        <w:left w:val="none" w:sz="0" w:space="0" w:color="auto"/>
        <w:bottom w:val="none" w:sz="0" w:space="0" w:color="auto"/>
        <w:right w:val="none" w:sz="0" w:space="0" w:color="auto"/>
      </w:divBdr>
    </w:div>
    <w:div w:id="1453554947">
      <w:bodyDiv w:val="1"/>
      <w:marLeft w:val="0"/>
      <w:marRight w:val="0"/>
      <w:marTop w:val="0"/>
      <w:marBottom w:val="0"/>
      <w:divBdr>
        <w:top w:val="none" w:sz="0" w:space="0" w:color="auto"/>
        <w:left w:val="none" w:sz="0" w:space="0" w:color="auto"/>
        <w:bottom w:val="none" w:sz="0" w:space="0" w:color="auto"/>
        <w:right w:val="none" w:sz="0" w:space="0" w:color="auto"/>
      </w:divBdr>
    </w:div>
    <w:div w:id="1455950543">
      <w:bodyDiv w:val="1"/>
      <w:marLeft w:val="0"/>
      <w:marRight w:val="0"/>
      <w:marTop w:val="0"/>
      <w:marBottom w:val="0"/>
      <w:divBdr>
        <w:top w:val="none" w:sz="0" w:space="0" w:color="auto"/>
        <w:left w:val="none" w:sz="0" w:space="0" w:color="auto"/>
        <w:bottom w:val="none" w:sz="0" w:space="0" w:color="auto"/>
        <w:right w:val="none" w:sz="0" w:space="0" w:color="auto"/>
      </w:divBdr>
    </w:div>
    <w:div w:id="1462462387">
      <w:bodyDiv w:val="1"/>
      <w:marLeft w:val="0"/>
      <w:marRight w:val="0"/>
      <w:marTop w:val="0"/>
      <w:marBottom w:val="0"/>
      <w:divBdr>
        <w:top w:val="none" w:sz="0" w:space="0" w:color="auto"/>
        <w:left w:val="none" w:sz="0" w:space="0" w:color="auto"/>
        <w:bottom w:val="none" w:sz="0" w:space="0" w:color="auto"/>
        <w:right w:val="none" w:sz="0" w:space="0" w:color="auto"/>
      </w:divBdr>
    </w:div>
    <w:div w:id="1474060320">
      <w:bodyDiv w:val="1"/>
      <w:marLeft w:val="0"/>
      <w:marRight w:val="0"/>
      <w:marTop w:val="0"/>
      <w:marBottom w:val="0"/>
      <w:divBdr>
        <w:top w:val="none" w:sz="0" w:space="0" w:color="auto"/>
        <w:left w:val="none" w:sz="0" w:space="0" w:color="auto"/>
        <w:bottom w:val="none" w:sz="0" w:space="0" w:color="auto"/>
        <w:right w:val="none" w:sz="0" w:space="0" w:color="auto"/>
      </w:divBdr>
    </w:div>
    <w:div w:id="1494760287">
      <w:bodyDiv w:val="1"/>
      <w:marLeft w:val="0"/>
      <w:marRight w:val="0"/>
      <w:marTop w:val="0"/>
      <w:marBottom w:val="0"/>
      <w:divBdr>
        <w:top w:val="none" w:sz="0" w:space="0" w:color="auto"/>
        <w:left w:val="none" w:sz="0" w:space="0" w:color="auto"/>
        <w:bottom w:val="none" w:sz="0" w:space="0" w:color="auto"/>
        <w:right w:val="none" w:sz="0" w:space="0" w:color="auto"/>
      </w:divBdr>
    </w:div>
    <w:div w:id="1496217236">
      <w:bodyDiv w:val="1"/>
      <w:marLeft w:val="0"/>
      <w:marRight w:val="0"/>
      <w:marTop w:val="0"/>
      <w:marBottom w:val="0"/>
      <w:divBdr>
        <w:top w:val="none" w:sz="0" w:space="0" w:color="auto"/>
        <w:left w:val="none" w:sz="0" w:space="0" w:color="auto"/>
        <w:bottom w:val="none" w:sz="0" w:space="0" w:color="auto"/>
        <w:right w:val="none" w:sz="0" w:space="0" w:color="auto"/>
      </w:divBdr>
    </w:div>
    <w:div w:id="1506282097">
      <w:bodyDiv w:val="1"/>
      <w:marLeft w:val="0"/>
      <w:marRight w:val="0"/>
      <w:marTop w:val="0"/>
      <w:marBottom w:val="0"/>
      <w:divBdr>
        <w:top w:val="none" w:sz="0" w:space="0" w:color="auto"/>
        <w:left w:val="none" w:sz="0" w:space="0" w:color="auto"/>
        <w:bottom w:val="none" w:sz="0" w:space="0" w:color="auto"/>
        <w:right w:val="none" w:sz="0" w:space="0" w:color="auto"/>
      </w:divBdr>
    </w:div>
    <w:div w:id="1508593698">
      <w:bodyDiv w:val="1"/>
      <w:marLeft w:val="0"/>
      <w:marRight w:val="0"/>
      <w:marTop w:val="0"/>
      <w:marBottom w:val="0"/>
      <w:divBdr>
        <w:top w:val="none" w:sz="0" w:space="0" w:color="auto"/>
        <w:left w:val="none" w:sz="0" w:space="0" w:color="auto"/>
        <w:bottom w:val="none" w:sz="0" w:space="0" w:color="auto"/>
        <w:right w:val="none" w:sz="0" w:space="0" w:color="auto"/>
      </w:divBdr>
    </w:div>
    <w:div w:id="1519613049">
      <w:bodyDiv w:val="1"/>
      <w:marLeft w:val="0"/>
      <w:marRight w:val="0"/>
      <w:marTop w:val="0"/>
      <w:marBottom w:val="0"/>
      <w:divBdr>
        <w:top w:val="none" w:sz="0" w:space="0" w:color="auto"/>
        <w:left w:val="none" w:sz="0" w:space="0" w:color="auto"/>
        <w:bottom w:val="none" w:sz="0" w:space="0" w:color="auto"/>
        <w:right w:val="none" w:sz="0" w:space="0" w:color="auto"/>
      </w:divBdr>
    </w:div>
    <w:div w:id="1531839561">
      <w:bodyDiv w:val="1"/>
      <w:marLeft w:val="0"/>
      <w:marRight w:val="0"/>
      <w:marTop w:val="0"/>
      <w:marBottom w:val="0"/>
      <w:divBdr>
        <w:top w:val="none" w:sz="0" w:space="0" w:color="auto"/>
        <w:left w:val="none" w:sz="0" w:space="0" w:color="auto"/>
        <w:bottom w:val="none" w:sz="0" w:space="0" w:color="auto"/>
        <w:right w:val="none" w:sz="0" w:space="0" w:color="auto"/>
      </w:divBdr>
    </w:div>
    <w:div w:id="1539314453">
      <w:bodyDiv w:val="1"/>
      <w:marLeft w:val="0"/>
      <w:marRight w:val="0"/>
      <w:marTop w:val="0"/>
      <w:marBottom w:val="0"/>
      <w:divBdr>
        <w:top w:val="none" w:sz="0" w:space="0" w:color="auto"/>
        <w:left w:val="none" w:sz="0" w:space="0" w:color="auto"/>
        <w:bottom w:val="none" w:sz="0" w:space="0" w:color="auto"/>
        <w:right w:val="none" w:sz="0" w:space="0" w:color="auto"/>
      </w:divBdr>
    </w:div>
    <w:div w:id="1544102219">
      <w:bodyDiv w:val="1"/>
      <w:marLeft w:val="0"/>
      <w:marRight w:val="0"/>
      <w:marTop w:val="0"/>
      <w:marBottom w:val="0"/>
      <w:divBdr>
        <w:top w:val="none" w:sz="0" w:space="0" w:color="auto"/>
        <w:left w:val="none" w:sz="0" w:space="0" w:color="auto"/>
        <w:bottom w:val="none" w:sz="0" w:space="0" w:color="auto"/>
        <w:right w:val="none" w:sz="0" w:space="0" w:color="auto"/>
      </w:divBdr>
    </w:div>
    <w:div w:id="1546479364">
      <w:bodyDiv w:val="1"/>
      <w:marLeft w:val="0"/>
      <w:marRight w:val="0"/>
      <w:marTop w:val="0"/>
      <w:marBottom w:val="0"/>
      <w:divBdr>
        <w:top w:val="none" w:sz="0" w:space="0" w:color="auto"/>
        <w:left w:val="none" w:sz="0" w:space="0" w:color="auto"/>
        <w:bottom w:val="none" w:sz="0" w:space="0" w:color="auto"/>
        <w:right w:val="none" w:sz="0" w:space="0" w:color="auto"/>
      </w:divBdr>
      <w:divsChild>
        <w:div w:id="122383450">
          <w:marLeft w:val="0"/>
          <w:marRight w:val="0"/>
          <w:marTop w:val="0"/>
          <w:marBottom w:val="0"/>
          <w:divBdr>
            <w:top w:val="none" w:sz="0" w:space="0" w:color="auto"/>
            <w:left w:val="none" w:sz="0" w:space="0" w:color="auto"/>
            <w:bottom w:val="none" w:sz="0" w:space="0" w:color="auto"/>
            <w:right w:val="none" w:sz="0" w:space="0" w:color="auto"/>
          </w:divBdr>
        </w:div>
        <w:div w:id="287393167">
          <w:marLeft w:val="0"/>
          <w:marRight w:val="0"/>
          <w:marTop w:val="0"/>
          <w:marBottom w:val="0"/>
          <w:divBdr>
            <w:top w:val="none" w:sz="0" w:space="0" w:color="auto"/>
            <w:left w:val="none" w:sz="0" w:space="0" w:color="auto"/>
            <w:bottom w:val="none" w:sz="0" w:space="0" w:color="auto"/>
            <w:right w:val="none" w:sz="0" w:space="0" w:color="auto"/>
          </w:divBdr>
        </w:div>
        <w:div w:id="696546869">
          <w:marLeft w:val="0"/>
          <w:marRight w:val="0"/>
          <w:marTop w:val="0"/>
          <w:marBottom w:val="0"/>
          <w:divBdr>
            <w:top w:val="none" w:sz="0" w:space="0" w:color="auto"/>
            <w:left w:val="none" w:sz="0" w:space="0" w:color="auto"/>
            <w:bottom w:val="none" w:sz="0" w:space="0" w:color="auto"/>
            <w:right w:val="none" w:sz="0" w:space="0" w:color="auto"/>
          </w:divBdr>
        </w:div>
      </w:divsChild>
    </w:div>
    <w:div w:id="1561361856">
      <w:bodyDiv w:val="1"/>
      <w:marLeft w:val="0"/>
      <w:marRight w:val="0"/>
      <w:marTop w:val="0"/>
      <w:marBottom w:val="0"/>
      <w:divBdr>
        <w:top w:val="none" w:sz="0" w:space="0" w:color="auto"/>
        <w:left w:val="none" w:sz="0" w:space="0" w:color="auto"/>
        <w:bottom w:val="none" w:sz="0" w:space="0" w:color="auto"/>
        <w:right w:val="none" w:sz="0" w:space="0" w:color="auto"/>
      </w:divBdr>
    </w:div>
    <w:div w:id="1608810240">
      <w:bodyDiv w:val="1"/>
      <w:marLeft w:val="0"/>
      <w:marRight w:val="0"/>
      <w:marTop w:val="0"/>
      <w:marBottom w:val="0"/>
      <w:divBdr>
        <w:top w:val="none" w:sz="0" w:space="0" w:color="auto"/>
        <w:left w:val="none" w:sz="0" w:space="0" w:color="auto"/>
        <w:bottom w:val="none" w:sz="0" w:space="0" w:color="auto"/>
        <w:right w:val="none" w:sz="0" w:space="0" w:color="auto"/>
      </w:divBdr>
    </w:div>
    <w:div w:id="1614703983">
      <w:bodyDiv w:val="1"/>
      <w:marLeft w:val="0"/>
      <w:marRight w:val="0"/>
      <w:marTop w:val="0"/>
      <w:marBottom w:val="0"/>
      <w:divBdr>
        <w:top w:val="none" w:sz="0" w:space="0" w:color="auto"/>
        <w:left w:val="none" w:sz="0" w:space="0" w:color="auto"/>
        <w:bottom w:val="none" w:sz="0" w:space="0" w:color="auto"/>
        <w:right w:val="none" w:sz="0" w:space="0" w:color="auto"/>
      </w:divBdr>
    </w:div>
    <w:div w:id="1615205731">
      <w:bodyDiv w:val="1"/>
      <w:marLeft w:val="0"/>
      <w:marRight w:val="0"/>
      <w:marTop w:val="0"/>
      <w:marBottom w:val="0"/>
      <w:divBdr>
        <w:top w:val="none" w:sz="0" w:space="0" w:color="auto"/>
        <w:left w:val="none" w:sz="0" w:space="0" w:color="auto"/>
        <w:bottom w:val="none" w:sz="0" w:space="0" w:color="auto"/>
        <w:right w:val="none" w:sz="0" w:space="0" w:color="auto"/>
      </w:divBdr>
    </w:div>
    <w:div w:id="1615290815">
      <w:bodyDiv w:val="1"/>
      <w:marLeft w:val="0"/>
      <w:marRight w:val="0"/>
      <w:marTop w:val="0"/>
      <w:marBottom w:val="0"/>
      <w:divBdr>
        <w:top w:val="none" w:sz="0" w:space="0" w:color="auto"/>
        <w:left w:val="none" w:sz="0" w:space="0" w:color="auto"/>
        <w:bottom w:val="none" w:sz="0" w:space="0" w:color="auto"/>
        <w:right w:val="none" w:sz="0" w:space="0" w:color="auto"/>
      </w:divBdr>
    </w:div>
    <w:div w:id="1621302472">
      <w:bodyDiv w:val="1"/>
      <w:marLeft w:val="0"/>
      <w:marRight w:val="0"/>
      <w:marTop w:val="0"/>
      <w:marBottom w:val="0"/>
      <w:divBdr>
        <w:top w:val="none" w:sz="0" w:space="0" w:color="auto"/>
        <w:left w:val="none" w:sz="0" w:space="0" w:color="auto"/>
        <w:bottom w:val="none" w:sz="0" w:space="0" w:color="auto"/>
        <w:right w:val="none" w:sz="0" w:space="0" w:color="auto"/>
      </w:divBdr>
    </w:div>
    <w:div w:id="1625303536">
      <w:bodyDiv w:val="1"/>
      <w:marLeft w:val="0"/>
      <w:marRight w:val="0"/>
      <w:marTop w:val="0"/>
      <w:marBottom w:val="0"/>
      <w:divBdr>
        <w:top w:val="none" w:sz="0" w:space="0" w:color="auto"/>
        <w:left w:val="none" w:sz="0" w:space="0" w:color="auto"/>
        <w:bottom w:val="none" w:sz="0" w:space="0" w:color="auto"/>
        <w:right w:val="none" w:sz="0" w:space="0" w:color="auto"/>
      </w:divBdr>
    </w:div>
    <w:div w:id="1631934267">
      <w:bodyDiv w:val="1"/>
      <w:marLeft w:val="0"/>
      <w:marRight w:val="0"/>
      <w:marTop w:val="0"/>
      <w:marBottom w:val="0"/>
      <w:divBdr>
        <w:top w:val="none" w:sz="0" w:space="0" w:color="auto"/>
        <w:left w:val="none" w:sz="0" w:space="0" w:color="auto"/>
        <w:bottom w:val="none" w:sz="0" w:space="0" w:color="auto"/>
        <w:right w:val="none" w:sz="0" w:space="0" w:color="auto"/>
      </w:divBdr>
    </w:div>
    <w:div w:id="1633827116">
      <w:bodyDiv w:val="1"/>
      <w:marLeft w:val="0"/>
      <w:marRight w:val="0"/>
      <w:marTop w:val="0"/>
      <w:marBottom w:val="0"/>
      <w:divBdr>
        <w:top w:val="none" w:sz="0" w:space="0" w:color="auto"/>
        <w:left w:val="none" w:sz="0" w:space="0" w:color="auto"/>
        <w:bottom w:val="none" w:sz="0" w:space="0" w:color="auto"/>
        <w:right w:val="none" w:sz="0" w:space="0" w:color="auto"/>
      </w:divBdr>
    </w:div>
    <w:div w:id="1648440173">
      <w:bodyDiv w:val="1"/>
      <w:marLeft w:val="0"/>
      <w:marRight w:val="0"/>
      <w:marTop w:val="0"/>
      <w:marBottom w:val="0"/>
      <w:divBdr>
        <w:top w:val="none" w:sz="0" w:space="0" w:color="auto"/>
        <w:left w:val="none" w:sz="0" w:space="0" w:color="auto"/>
        <w:bottom w:val="none" w:sz="0" w:space="0" w:color="auto"/>
        <w:right w:val="none" w:sz="0" w:space="0" w:color="auto"/>
      </w:divBdr>
      <w:divsChild>
        <w:div w:id="2057772453">
          <w:marLeft w:val="547"/>
          <w:marRight w:val="0"/>
          <w:marTop w:val="240"/>
          <w:marBottom w:val="0"/>
          <w:divBdr>
            <w:top w:val="none" w:sz="0" w:space="0" w:color="auto"/>
            <w:left w:val="none" w:sz="0" w:space="0" w:color="auto"/>
            <w:bottom w:val="none" w:sz="0" w:space="0" w:color="auto"/>
            <w:right w:val="none" w:sz="0" w:space="0" w:color="auto"/>
          </w:divBdr>
        </w:div>
      </w:divsChild>
    </w:div>
    <w:div w:id="1650286154">
      <w:bodyDiv w:val="1"/>
      <w:marLeft w:val="0"/>
      <w:marRight w:val="0"/>
      <w:marTop w:val="0"/>
      <w:marBottom w:val="0"/>
      <w:divBdr>
        <w:top w:val="none" w:sz="0" w:space="0" w:color="auto"/>
        <w:left w:val="none" w:sz="0" w:space="0" w:color="auto"/>
        <w:bottom w:val="none" w:sz="0" w:space="0" w:color="auto"/>
        <w:right w:val="none" w:sz="0" w:space="0" w:color="auto"/>
      </w:divBdr>
    </w:div>
    <w:div w:id="1662124606">
      <w:bodyDiv w:val="1"/>
      <w:marLeft w:val="0"/>
      <w:marRight w:val="0"/>
      <w:marTop w:val="0"/>
      <w:marBottom w:val="0"/>
      <w:divBdr>
        <w:top w:val="none" w:sz="0" w:space="0" w:color="auto"/>
        <w:left w:val="none" w:sz="0" w:space="0" w:color="auto"/>
        <w:bottom w:val="none" w:sz="0" w:space="0" w:color="auto"/>
        <w:right w:val="none" w:sz="0" w:space="0" w:color="auto"/>
      </w:divBdr>
    </w:div>
    <w:div w:id="1663314674">
      <w:bodyDiv w:val="1"/>
      <w:marLeft w:val="0"/>
      <w:marRight w:val="0"/>
      <w:marTop w:val="0"/>
      <w:marBottom w:val="0"/>
      <w:divBdr>
        <w:top w:val="none" w:sz="0" w:space="0" w:color="auto"/>
        <w:left w:val="none" w:sz="0" w:space="0" w:color="auto"/>
        <w:bottom w:val="none" w:sz="0" w:space="0" w:color="auto"/>
        <w:right w:val="none" w:sz="0" w:space="0" w:color="auto"/>
      </w:divBdr>
    </w:div>
    <w:div w:id="1677879395">
      <w:bodyDiv w:val="1"/>
      <w:marLeft w:val="0"/>
      <w:marRight w:val="0"/>
      <w:marTop w:val="0"/>
      <w:marBottom w:val="0"/>
      <w:divBdr>
        <w:top w:val="none" w:sz="0" w:space="0" w:color="auto"/>
        <w:left w:val="none" w:sz="0" w:space="0" w:color="auto"/>
        <w:bottom w:val="none" w:sz="0" w:space="0" w:color="auto"/>
        <w:right w:val="none" w:sz="0" w:space="0" w:color="auto"/>
      </w:divBdr>
    </w:div>
    <w:div w:id="1683817805">
      <w:bodyDiv w:val="1"/>
      <w:marLeft w:val="0"/>
      <w:marRight w:val="0"/>
      <w:marTop w:val="0"/>
      <w:marBottom w:val="0"/>
      <w:divBdr>
        <w:top w:val="none" w:sz="0" w:space="0" w:color="auto"/>
        <w:left w:val="none" w:sz="0" w:space="0" w:color="auto"/>
        <w:bottom w:val="none" w:sz="0" w:space="0" w:color="auto"/>
        <w:right w:val="none" w:sz="0" w:space="0" w:color="auto"/>
      </w:divBdr>
    </w:div>
    <w:div w:id="1719237936">
      <w:bodyDiv w:val="1"/>
      <w:marLeft w:val="0"/>
      <w:marRight w:val="0"/>
      <w:marTop w:val="0"/>
      <w:marBottom w:val="0"/>
      <w:divBdr>
        <w:top w:val="none" w:sz="0" w:space="0" w:color="auto"/>
        <w:left w:val="none" w:sz="0" w:space="0" w:color="auto"/>
        <w:bottom w:val="none" w:sz="0" w:space="0" w:color="auto"/>
        <w:right w:val="none" w:sz="0" w:space="0" w:color="auto"/>
      </w:divBdr>
    </w:div>
    <w:div w:id="1737698794">
      <w:bodyDiv w:val="1"/>
      <w:marLeft w:val="0"/>
      <w:marRight w:val="0"/>
      <w:marTop w:val="0"/>
      <w:marBottom w:val="0"/>
      <w:divBdr>
        <w:top w:val="none" w:sz="0" w:space="0" w:color="auto"/>
        <w:left w:val="none" w:sz="0" w:space="0" w:color="auto"/>
        <w:bottom w:val="none" w:sz="0" w:space="0" w:color="auto"/>
        <w:right w:val="none" w:sz="0" w:space="0" w:color="auto"/>
      </w:divBdr>
    </w:div>
    <w:div w:id="1740444344">
      <w:bodyDiv w:val="1"/>
      <w:marLeft w:val="0"/>
      <w:marRight w:val="0"/>
      <w:marTop w:val="0"/>
      <w:marBottom w:val="0"/>
      <w:divBdr>
        <w:top w:val="none" w:sz="0" w:space="0" w:color="auto"/>
        <w:left w:val="none" w:sz="0" w:space="0" w:color="auto"/>
        <w:bottom w:val="none" w:sz="0" w:space="0" w:color="auto"/>
        <w:right w:val="none" w:sz="0" w:space="0" w:color="auto"/>
      </w:divBdr>
    </w:div>
    <w:div w:id="1741975726">
      <w:bodyDiv w:val="1"/>
      <w:marLeft w:val="0"/>
      <w:marRight w:val="0"/>
      <w:marTop w:val="0"/>
      <w:marBottom w:val="0"/>
      <w:divBdr>
        <w:top w:val="none" w:sz="0" w:space="0" w:color="auto"/>
        <w:left w:val="none" w:sz="0" w:space="0" w:color="auto"/>
        <w:bottom w:val="none" w:sz="0" w:space="0" w:color="auto"/>
        <w:right w:val="none" w:sz="0" w:space="0" w:color="auto"/>
      </w:divBdr>
    </w:div>
    <w:div w:id="1742215946">
      <w:bodyDiv w:val="1"/>
      <w:marLeft w:val="0"/>
      <w:marRight w:val="0"/>
      <w:marTop w:val="0"/>
      <w:marBottom w:val="0"/>
      <w:divBdr>
        <w:top w:val="none" w:sz="0" w:space="0" w:color="auto"/>
        <w:left w:val="none" w:sz="0" w:space="0" w:color="auto"/>
        <w:bottom w:val="none" w:sz="0" w:space="0" w:color="auto"/>
        <w:right w:val="none" w:sz="0" w:space="0" w:color="auto"/>
      </w:divBdr>
    </w:div>
    <w:div w:id="1755856372">
      <w:bodyDiv w:val="1"/>
      <w:marLeft w:val="0"/>
      <w:marRight w:val="0"/>
      <w:marTop w:val="0"/>
      <w:marBottom w:val="0"/>
      <w:divBdr>
        <w:top w:val="none" w:sz="0" w:space="0" w:color="auto"/>
        <w:left w:val="none" w:sz="0" w:space="0" w:color="auto"/>
        <w:bottom w:val="none" w:sz="0" w:space="0" w:color="auto"/>
        <w:right w:val="none" w:sz="0" w:space="0" w:color="auto"/>
      </w:divBdr>
    </w:div>
    <w:div w:id="1764916433">
      <w:bodyDiv w:val="1"/>
      <w:marLeft w:val="0"/>
      <w:marRight w:val="0"/>
      <w:marTop w:val="0"/>
      <w:marBottom w:val="0"/>
      <w:divBdr>
        <w:top w:val="none" w:sz="0" w:space="0" w:color="auto"/>
        <w:left w:val="none" w:sz="0" w:space="0" w:color="auto"/>
        <w:bottom w:val="none" w:sz="0" w:space="0" w:color="auto"/>
        <w:right w:val="none" w:sz="0" w:space="0" w:color="auto"/>
      </w:divBdr>
    </w:div>
    <w:div w:id="1773628607">
      <w:bodyDiv w:val="1"/>
      <w:marLeft w:val="0"/>
      <w:marRight w:val="0"/>
      <w:marTop w:val="0"/>
      <w:marBottom w:val="0"/>
      <w:divBdr>
        <w:top w:val="none" w:sz="0" w:space="0" w:color="auto"/>
        <w:left w:val="none" w:sz="0" w:space="0" w:color="auto"/>
        <w:bottom w:val="none" w:sz="0" w:space="0" w:color="auto"/>
        <w:right w:val="none" w:sz="0" w:space="0" w:color="auto"/>
      </w:divBdr>
    </w:div>
    <w:div w:id="1777822711">
      <w:bodyDiv w:val="1"/>
      <w:marLeft w:val="0"/>
      <w:marRight w:val="0"/>
      <w:marTop w:val="0"/>
      <w:marBottom w:val="0"/>
      <w:divBdr>
        <w:top w:val="none" w:sz="0" w:space="0" w:color="auto"/>
        <w:left w:val="none" w:sz="0" w:space="0" w:color="auto"/>
        <w:bottom w:val="none" w:sz="0" w:space="0" w:color="auto"/>
        <w:right w:val="none" w:sz="0" w:space="0" w:color="auto"/>
      </w:divBdr>
    </w:div>
    <w:div w:id="1783913328">
      <w:bodyDiv w:val="1"/>
      <w:marLeft w:val="0"/>
      <w:marRight w:val="0"/>
      <w:marTop w:val="0"/>
      <w:marBottom w:val="0"/>
      <w:divBdr>
        <w:top w:val="none" w:sz="0" w:space="0" w:color="auto"/>
        <w:left w:val="none" w:sz="0" w:space="0" w:color="auto"/>
        <w:bottom w:val="none" w:sz="0" w:space="0" w:color="auto"/>
        <w:right w:val="none" w:sz="0" w:space="0" w:color="auto"/>
      </w:divBdr>
    </w:div>
    <w:div w:id="1784956834">
      <w:bodyDiv w:val="1"/>
      <w:marLeft w:val="0"/>
      <w:marRight w:val="0"/>
      <w:marTop w:val="0"/>
      <w:marBottom w:val="0"/>
      <w:divBdr>
        <w:top w:val="none" w:sz="0" w:space="0" w:color="auto"/>
        <w:left w:val="none" w:sz="0" w:space="0" w:color="auto"/>
        <w:bottom w:val="none" w:sz="0" w:space="0" w:color="auto"/>
        <w:right w:val="none" w:sz="0" w:space="0" w:color="auto"/>
      </w:divBdr>
    </w:div>
    <w:div w:id="1787499652">
      <w:bodyDiv w:val="1"/>
      <w:marLeft w:val="0"/>
      <w:marRight w:val="0"/>
      <w:marTop w:val="0"/>
      <w:marBottom w:val="0"/>
      <w:divBdr>
        <w:top w:val="none" w:sz="0" w:space="0" w:color="auto"/>
        <w:left w:val="none" w:sz="0" w:space="0" w:color="auto"/>
        <w:bottom w:val="none" w:sz="0" w:space="0" w:color="auto"/>
        <w:right w:val="none" w:sz="0" w:space="0" w:color="auto"/>
      </w:divBdr>
    </w:div>
    <w:div w:id="1789660198">
      <w:bodyDiv w:val="1"/>
      <w:marLeft w:val="0"/>
      <w:marRight w:val="0"/>
      <w:marTop w:val="0"/>
      <w:marBottom w:val="0"/>
      <w:divBdr>
        <w:top w:val="none" w:sz="0" w:space="0" w:color="auto"/>
        <w:left w:val="none" w:sz="0" w:space="0" w:color="auto"/>
        <w:bottom w:val="none" w:sz="0" w:space="0" w:color="auto"/>
        <w:right w:val="none" w:sz="0" w:space="0" w:color="auto"/>
      </w:divBdr>
    </w:div>
    <w:div w:id="1790315435">
      <w:bodyDiv w:val="1"/>
      <w:marLeft w:val="0"/>
      <w:marRight w:val="0"/>
      <w:marTop w:val="0"/>
      <w:marBottom w:val="0"/>
      <w:divBdr>
        <w:top w:val="none" w:sz="0" w:space="0" w:color="auto"/>
        <w:left w:val="none" w:sz="0" w:space="0" w:color="auto"/>
        <w:bottom w:val="none" w:sz="0" w:space="0" w:color="auto"/>
        <w:right w:val="none" w:sz="0" w:space="0" w:color="auto"/>
      </w:divBdr>
    </w:div>
    <w:div w:id="1811826131">
      <w:bodyDiv w:val="1"/>
      <w:marLeft w:val="0"/>
      <w:marRight w:val="0"/>
      <w:marTop w:val="0"/>
      <w:marBottom w:val="0"/>
      <w:divBdr>
        <w:top w:val="none" w:sz="0" w:space="0" w:color="auto"/>
        <w:left w:val="none" w:sz="0" w:space="0" w:color="auto"/>
        <w:bottom w:val="none" w:sz="0" w:space="0" w:color="auto"/>
        <w:right w:val="none" w:sz="0" w:space="0" w:color="auto"/>
      </w:divBdr>
    </w:div>
    <w:div w:id="1816410502">
      <w:bodyDiv w:val="1"/>
      <w:marLeft w:val="0"/>
      <w:marRight w:val="0"/>
      <w:marTop w:val="0"/>
      <w:marBottom w:val="0"/>
      <w:divBdr>
        <w:top w:val="none" w:sz="0" w:space="0" w:color="auto"/>
        <w:left w:val="none" w:sz="0" w:space="0" w:color="auto"/>
        <w:bottom w:val="none" w:sz="0" w:space="0" w:color="auto"/>
        <w:right w:val="none" w:sz="0" w:space="0" w:color="auto"/>
      </w:divBdr>
    </w:div>
    <w:div w:id="1816798553">
      <w:bodyDiv w:val="1"/>
      <w:marLeft w:val="0"/>
      <w:marRight w:val="0"/>
      <w:marTop w:val="0"/>
      <w:marBottom w:val="0"/>
      <w:divBdr>
        <w:top w:val="none" w:sz="0" w:space="0" w:color="auto"/>
        <w:left w:val="none" w:sz="0" w:space="0" w:color="auto"/>
        <w:bottom w:val="none" w:sz="0" w:space="0" w:color="auto"/>
        <w:right w:val="none" w:sz="0" w:space="0" w:color="auto"/>
      </w:divBdr>
    </w:div>
    <w:div w:id="1830171110">
      <w:bodyDiv w:val="1"/>
      <w:marLeft w:val="0"/>
      <w:marRight w:val="0"/>
      <w:marTop w:val="0"/>
      <w:marBottom w:val="0"/>
      <w:divBdr>
        <w:top w:val="none" w:sz="0" w:space="0" w:color="auto"/>
        <w:left w:val="none" w:sz="0" w:space="0" w:color="auto"/>
        <w:bottom w:val="none" w:sz="0" w:space="0" w:color="auto"/>
        <w:right w:val="none" w:sz="0" w:space="0" w:color="auto"/>
      </w:divBdr>
    </w:div>
    <w:div w:id="1834176212">
      <w:bodyDiv w:val="1"/>
      <w:marLeft w:val="0"/>
      <w:marRight w:val="0"/>
      <w:marTop w:val="0"/>
      <w:marBottom w:val="0"/>
      <w:divBdr>
        <w:top w:val="none" w:sz="0" w:space="0" w:color="auto"/>
        <w:left w:val="none" w:sz="0" w:space="0" w:color="auto"/>
        <w:bottom w:val="none" w:sz="0" w:space="0" w:color="auto"/>
        <w:right w:val="none" w:sz="0" w:space="0" w:color="auto"/>
      </w:divBdr>
    </w:div>
    <w:div w:id="1834249395">
      <w:bodyDiv w:val="1"/>
      <w:marLeft w:val="0"/>
      <w:marRight w:val="0"/>
      <w:marTop w:val="0"/>
      <w:marBottom w:val="0"/>
      <w:divBdr>
        <w:top w:val="none" w:sz="0" w:space="0" w:color="auto"/>
        <w:left w:val="none" w:sz="0" w:space="0" w:color="auto"/>
        <w:bottom w:val="none" w:sz="0" w:space="0" w:color="auto"/>
        <w:right w:val="none" w:sz="0" w:space="0" w:color="auto"/>
      </w:divBdr>
    </w:div>
    <w:div w:id="1840004393">
      <w:bodyDiv w:val="1"/>
      <w:marLeft w:val="0"/>
      <w:marRight w:val="0"/>
      <w:marTop w:val="0"/>
      <w:marBottom w:val="0"/>
      <w:divBdr>
        <w:top w:val="none" w:sz="0" w:space="0" w:color="auto"/>
        <w:left w:val="none" w:sz="0" w:space="0" w:color="auto"/>
        <w:bottom w:val="none" w:sz="0" w:space="0" w:color="auto"/>
        <w:right w:val="none" w:sz="0" w:space="0" w:color="auto"/>
      </w:divBdr>
    </w:div>
    <w:div w:id="1848665632">
      <w:bodyDiv w:val="1"/>
      <w:marLeft w:val="0"/>
      <w:marRight w:val="0"/>
      <w:marTop w:val="0"/>
      <w:marBottom w:val="0"/>
      <w:divBdr>
        <w:top w:val="none" w:sz="0" w:space="0" w:color="auto"/>
        <w:left w:val="none" w:sz="0" w:space="0" w:color="auto"/>
        <w:bottom w:val="none" w:sz="0" w:space="0" w:color="auto"/>
        <w:right w:val="none" w:sz="0" w:space="0" w:color="auto"/>
      </w:divBdr>
    </w:div>
    <w:div w:id="1868059856">
      <w:bodyDiv w:val="1"/>
      <w:marLeft w:val="0"/>
      <w:marRight w:val="0"/>
      <w:marTop w:val="0"/>
      <w:marBottom w:val="0"/>
      <w:divBdr>
        <w:top w:val="none" w:sz="0" w:space="0" w:color="auto"/>
        <w:left w:val="none" w:sz="0" w:space="0" w:color="auto"/>
        <w:bottom w:val="none" w:sz="0" w:space="0" w:color="auto"/>
        <w:right w:val="none" w:sz="0" w:space="0" w:color="auto"/>
      </w:divBdr>
    </w:div>
    <w:div w:id="1873373574">
      <w:bodyDiv w:val="1"/>
      <w:marLeft w:val="0"/>
      <w:marRight w:val="0"/>
      <w:marTop w:val="0"/>
      <w:marBottom w:val="0"/>
      <w:divBdr>
        <w:top w:val="none" w:sz="0" w:space="0" w:color="auto"/>
        <w:left w:val="none" w:sz="0" w:space="0" w:color="auto"/>
        <w:bottom w:val="none" w:sz="0" w:space="0" w:color="auto"/>
        <w:right w:val="none" w:sz="0" w:space="0" w:color="auto"/>
      </w:divBdr>
    </w:div>
    <w:div w:id="1876189830">
      <w:bodyDiv w:val="1"/>
      <w:marLeft w:val="0"/>
      <w:marRight w:val="0"/>
      <w:marTop w:val="0"/>
      <w:marBottom w:val="0"/>
      <w:divBdr>
        <w:top w:val="none" w:sz="0" w:space="0" w:color="auto"/>
        <w:left w:val="none" w:sz="0" w:space="0" w:color="auto"/>
        <w:bottom w:val="none" w:sz="0" w:space="0" w:color="auto"/>
        <w:right w:val="none" w:sz="0" w:space="0" w:color="auto"/>
      </w:divBdr>
    </w:div>
    <w:div w:id="1879511993">
      <w:bodyDiv w:val="1"/>
      <w:marLeft w:val="0"/>
      <w:marRight w:val="0"/>
      <w:marTop w:val="0"/>
      <w:marBottom w:val="0"/>
      <w:divBdr>
        <w:top w:val="none" w:sz="0" w:space="0" w:color="auto"/>
        <w:left w:val="none" w:sz="0" w:space="0" w:color="auto"/>
        <w:bottom w:val="none" w:sz="0" w:space="0" w:color="auto"/>
        <w:right w:val="none" w:sz="0" w:space="0" w:color="auto"/>
      </w:divBdr>
    </w:div>
    <w:div w:id="1886021039">
      <w:bodyDiv w:val="1"/>
      <w:marLeft w:val="0"/>
      <w:marRight w:val="0"/>
      <w:marTop w:val="0"/>
      <w:marBottom w:val="0"/>
      <w:divBdr>
        <w:top w:val="none" w:sz="0" w:space="0" w:color="auto"/>
        <w:left w:val="none" w:sz="0" w:space="0" w:color="auto"/>
        <w:bottom w:val="none" w:sz="0" w:space="0" w:color="auto"/>
        <w:right w:val="none" w:sz="0" w:space="0" w:color="auto"/>
      </w:divBdr>
    </w:div>
    <w:div w:id="1887178166">
      <w:bodyDiv w:val="1"/>
      <w:marLeft w:val="0"/>
      <w:marRight w:val="0"/>
      <w:marTop w:val="0"/>
      <w:marBottom w:val="0"/>
      <w:divBdr>
        <w:top w:val="none" w:sz="0" w:space="0" w:color="auto"/>
        <w:left w:val="none" w:sz="0" w:space="0" w:color="auto"/>
        <w:bottom w:val="none" w:sz="0" w:space="0" w:color="auto"/>
        <w:right w:val="none" w:sz="0" w:space="0" w:color="auto"/>
      </w:divBdr>
    </w:div>
    <w:div w:id="1896578009">
      <w:bodyDiv w:val="1"/>
      <w:marLeft w:val="0"/>
      <w:marRight w:val="0"/>
      <w:marTop w:val="0"/>
      <w:marBottom w:val="0"/>
      <w:divBdr>
        <w:top w:val="none" w:sz="0" w:space="0" w:color="auto"/>
        <w:left w:val="none" w:sz="0" w:space="0" w:color="auto"/>
        <w:bottom w:val="none" w:sz="0" w:space="0" w:color="auto"/>
        <w:right w:val="none" w:sz="0" w:space="0" w:color="auto"/>
      </w:divBdr>
    </w:div>
    <w:div w:id="1897661935">
      <w:bodyDiv w:val="1"/>
      <w:marLeft w:val="0"/>
      <w:marRight w:val="0"/>
      <w:marTop w:val="0"/>
      <w:marBottom w:val="0"/>
      <w:divBdr>
        <w:top w:val="none" w:sz="0" w:space="0" w:color="auto"/>
        <w:left w:val="none" w:sz="0" w:space="0" w:color="auto"/>
        <w:bottom w:val="none" w:sz="0" w:space="0" w:color="auto"/>
        <w:right w:val="none" w:sz="0" w:space="0" w:color="auto"/>
      </w:divBdr>
    </w:div>
    <w:div w:id="1930770366">
      <w:bodyDiv w:val="1"/>
      <w:marLeft w:val="0"/>
      <w:marRight w:val="0"/>
      <w:marTop w:val="0"/>
      <w:marBottom w:val="0"/>
      <w:divBdr>
        <w:top w:val="none" w:sz="0" w:space="0" w:color="auto"/>
        <w:left w:val="none" w:sz="0" w:space="0" w:color="auto"/>
        <w:bottom w:val="none" w:sz="0" w:space="0" w:color="auto"/>
        <w:right w:val="none" w:sz="0" w:space="0" w:color="auto"/>
      </w:divBdr>
    </w:div>
    <w:div w:id="1944150207">
      <w:bodyDiv w:val="1"/>
      <w:marLeft w:val="0"/>
      <w:marRight w:val="0"/>
      <w:marTop w:val="0"/>
      <w:marBottom w:val="0"/>
      <w:divBdr>
        <w:top w:val="none" w:sz="0" w:space="0" w:color="auto"/>
        <w:left w:val="none" w:sz="0" w:space="0" w:color="auto"/>
        <w:bottom w:val="none" w:sz="0" w:space="0" w:color="auto"/>
        <w:right w:val="none" w:sz="0" w:space="0" w:color="auto"/>
      </w:divBdr>
    </w:div>
    <w:div w:id="1944654830">
      <w:bodyDiv w:val="1"/>
      <w:marLeft w:val="0"/>
      <w:marRight w:val="0"/>
      <w:marTop w:val="0"/>
      <w:marBottom w:val="0"/>
      <w:divBdr>
        <w:top w:val="none" w:sz="0" w:space="0" w:color="auto"/>
        <w:left w:val="none" w:sz="0" w:space="0" w:color="auto"/>
        <w:bottom w:val="none" w:sz="0" w:space="0" w:color="auto"/>
        <w:right w:val="none" w:sz="0" w:space="0" w:color="auto"/>
      </w:divBdr>
    </w:div>
    <w:div w:id="1947039650">
      <w:bodyDiv w:val="1"/>
      <w:marLeft w:val="0"/>
      <w:marRight w:val="0"/>
      <w:marTop w:val="0"/>
      <w:marBottom w:val="0"/>
      <w:divBdr>
        <w:top w:val="none" w:sz="0" w:space="0" w:color="auto"/>
        <w:left w:val="none" w:sz="0" w:space="0" w:color="auto"/>
        <w:bottom w:val="none" w:sz="0" w:space="0" w:color="auto"/>
        <w:right w:val="none" w:sz="0" w:space="0" w:color="auto"/>
      </w:divBdr>
    </w:div>
    <w:div w:id="1951351983">
      <w:bodyDiv w:val="1"/>
      <w:marLeft w:val="0"/>
      <w:marRight w:val="0"/>
      <w:marTop w:val="0"/>
      <w:marBottom w:val="0"/>
      <w:divBdr>
        <w:top w:val="none" w:sz="0" w:space="0" w:color="auto"/>
        <w:left w:val="none" w:sz="0" w:space="0" w:color="auto"/>
        <w:bottom w:val="none" w:sz="0" w:space="0" w:color="auto"/>
        <w:right w:val="none" w:sz="0" w:space="0" w:color="auto"/>
      </w:divBdr>
    </w:div>
    <w:div w:id="1953125180">
      <w:bodyDiv w:val="1"/>
      <w:marLeft w:val="0"/>
      <w:marRight w:val="0"/>
      <w:marTop w:val="0"/>
      <w:marBottom w:val="0"/>
      <w:divBdr>
        <w:top w:val="none" w:sz="0" w:space="0" w:color="auto"/>
        <w:left w:val="none" w:sz="0" w:space="0" w:color="auto"/>
        <w:bottom w:val="none" w:sz="0" w:space="0" w:color="auto"/>
        <w:right w:val="none" w:sz="0" w:space="0" w:color="auto"/>
      </w:divBdr>
    </w:div>
    <w:div w:id="1965187188">
      <w:bodyDiv w:val="1"/>
      <w:marLeft w:val="0"/>
      <w:marRight w:val="0"/>
      <w:marTop w:val="0"/>
      <w:marBottom w:val="0"/>
      <w:divBdr>
        <w:top w:val="none" w:sz="0" w:space="0" w:color="auto"/>
        <w:left w:val="none" w:sz="0" w:space="0" w:color="auto"/>
        <w:bottom w:val="none" w:sz="0" w:space="0" w:color="auto"/>
        <w:right w:val="none" w:sz="0" w:space="0" w:color="auto"/>
      </w:divBdr>
    </w:div>
    <w:div w:id="1976132332">
      <w:bodyDiv w:val="1"/>
      <w:marLeft w:val="0"/>
      <w:marRight w:val="0"/>
      <w:marTop w:val="0"/>
      <w:marBottom w:val="0"/>
      <w:divBdr>
        <w:top w:val="none" w:sz="0" w:space="0" w:color="auto"/>
        <w:left w:val="none" w:sz="0" w:space="0" w:color="auto"/>
        <w:bottom w:val="none" w:sz="0" w:space="0" w:color="auto"/>
        <w:right w:val="none" w:sz="0" w:space="0" w:color="auto"/>
      </w:divBdr>
    </w:div>
    <w:div w:id="1976641583">
      <w:bodyDiv w:val="1"/>
      <w:marLeft w:val="0"/>
      <w:marRight w:val="0"/>
      <w:marTop w:val="0"/>
      <w:marBottom w:val="0"/>
      <w:divBdr>
        <w:top w:val="none" w:sz="0" w:space="0" w:color="auto"/>
        <w:left w:val="none" w:sz="0" w:space="0" w:color="auto"/>
        <w:bottom w:val="none" w:sz="0" w:space="0" w:color="auto"/>
        <w:right w:val="none" w:sz="0" w:space="0" w:color="auto"/>
      </w:divBdr>
    </w:div>
    <w:div w:id="1983341346">
      <w:bodyDiv w:val="1"/>
      <w:marLeft w:val="0"/>
      <w:marRight w:val="0"/>
      <w:marTop w:val="0"/>
      <w:marBottom w:val="0"/>
      <w:divBdr>
        <w:top w:val="none" w:sz="0" w:space="0" w:color="auto"/>
        <w:left w:val="none" w:sz="0" w:space="0" w:color="auto"/>
        <w:bottom w:val="none" w:sz="0" w:space="0" w:color="auto"/>
        <w:right w:val="none" w:sz="0" w:space="0" w:color="auto"/>
      </w:divBdr>
    </w:div>
    <w:div w:id="1998919858">
      <w:bodyDiv w:val="1"/>
      <w:marLeft w:val="0"/>
      <w:marRight w:val="0"/>
      <w:marTop w:val="0"/>
      <w:marBottom w:val="0"/>
      <w:divBdr>
        <w:top w:val="none" w:sz="0" w:space="0" w:color="auto"/>
        <w:left w:val="none" w:sz="0" w:space="0" w:color="auto"/>
        <w:bottom w:val="none" w:sz="0" w:space="0" w:color="auto"/>
        <w:right w:val="none" w:sz="0" w:space="0" w:color="auto"/>
      </w:divBdr>
    </w:div>
    <w:div w:id="1999071748">
      <w:bodyDiv w:val="1"/>
      <w:marLeft w:val="0"/>
      <w:marRight w:val="0"/>
      <w:marTop w:val="0"/>
      <w:marBottom w:val="0"/>
      <w:divBdr>
        <w:top w:val="none" w:sz="0" w:space="0" w:color="auto"/>
        <w:left w:val="none" w:sz="0" w:space="0" w:color="auto"/>
        <w:bottom w:val="none" w:sz="0" w:space="0" w:color="auto"/>
        <w:right w:val="none" w:sz="0" w:space="0" w:color="auto"/>
      </w:divBdr>
    </w:div>
    <w:div w:id="1999647192">
      <w:bodyDiv w:val="1"/>
      <w:marLeft w:val="0"/>
      <w:marRight w:val="0"/>
      <w:marTop w:val="0"/>
      <w:marBottom w:val="0"/>
      <w:divBdr>
        <w:top w:val="none" w:sz="0" w:space="0" w:color="auto"/>
        <w:left w:val="none" w:sz="0" w:space="0" w:color="auto"/>
        <w:bottom w:val="none" w:sz="0" w:space="0" w:color="auto"/>
        <w:right w:val="none" w:sz="0" w:space="0" w:color="auto"/>
      </w:divBdr>
    </w:div>
    <w:div w:id="1999650792">
      <w:bodyDiv w:val="1"/>
      <w:marLeft w:val="0"/>
      <w:marRight w:val="0"/>
      <w:marTop w:val="0"/>
      <w:marBottom w:val="0"/>
      <w:divBdr>
        <w:top w:val="none" w:sz="0" w:space="0" w:color="auto"/>
        <w:left w:val="none" w:sz="0" w:space="0" w:color="auto"/>
        <w:bottom w:val="none" w:sz="0" w:space="0" w:color="auto"/>
        <w:right w:val="none" w:sz="0" w:space="0" w:color="auto"/>
      </w:divBdr>
    </w:div>
    <w:div w:id="2008631448">
      <w:bodyDiv w:val="1"/>
      <w:marLeft w:val="0"/>
      <w:marRight w:val="0"/>
      <w:marTop w:val="0"/>
      <w:marBottom w:val="0"/>
      <w:divBdr>
        <w:top w:val="none" w:sz="0" w:space="0" w:color="auto"/>
        <w:left w:val="none" w:sz="0" w:space="0" w:color="auto"/>
        <w:bottom w:val="none" w:sz="0" w:space="0" w:color="auto"/>
        <w:right w:val="none" w:sz="0" w:space="0" w:color="auto"/>
      </w:divBdr>
    </w:div>
    <w:div w:id="2011910691">
      <w:bodyDiv w:val="1"/>
      <w:marLeft w:val="0"/>
      <w:marRight w:val="0"/>
      <w:marTop w:val="0"/>
      <w:marBottom w:val="0"/>
      <w:divBdr>
        <w:top w:val="none" w:sz="0" w:space="0" w:color="auto"/>
        <w:left w:val="none" w:sz="0" w:space="0" w:color="auto"/>
        <w:bottom w:val="none" w:sz="0" w:space="0" w:color="auto"/>
        <w:right w:val="none" w:sz="0" w:space="0" w:color="auto"/>
      </w:divBdr>
    </w:div>
    <w:div w:id="2016028508">
      <w:bodyDiv w:val="1"/>
      <w:marLeft w:val="0"/>
      <w:marRight w:val="0"/>
      <w:marTop w:val="0"/>
      <w:marBottom w:val="0"/>
      <w:divBdr>
        <w:top w:val="none" w:sz="0" w:space="0" w:color="auto"/>
        <w:left w:val="none" w:sz="0" w:space="0" w:color="auto"/>
        <w:bottom w:val="none" w:sz="0" w:space="0" w:color="auto"/>
        <w:right w:val="none" w:sz="0" w:space="0" w:color="auto"/>
      </w:divBdr>
    </w:div>
    <w:div w:id="2017148226">
      <w:bodyDiv w:val="1"/>
      <w:marLeft w:val="0"/>
      <w:marRight w:val="0"/>
      <w:marTop w:val="0"/>
      <w:marBottom w:val="0"/>
      <w:divBdr>
        <w:top w:val="none" w:sz="0" w:space="0" w:color="auto"/>
        <w:left w:val="none" w:sz="0" w:space="0" w:color="auto"/>
        <w:bottom w:val="none" w:sz="0" w:space="0" w:color="auto"/>
        <w:right w:val="none" w:sz="0" w:space="0" w:color="auto"/>
      </w:divBdr>
    </w:div>
    <w:div w:id="2039969059">
      <w:bodyDiv w:val="1"/>
      <w:marLeft w:val="0"/>
      <w:marRight w:val="0"/>
      <w:marTop w:val="0"/>
      <w:marBottom w:val="0"/>
      <w:divBdr>
        <w:top w:val="none" w:sz="0" w:space="0" w:color="auto"/>
        <w:left w:val="none" w:sz="0" w:space="0" w:color="auto"/>
        <w:bottom w:val="none" w:sz="0" w:space="0" w:color="auto"/>
        <w:right w:val="none" w:sz="0" w:space="0" w:color="auto"/>
      </w:divBdr>
    </w:div>
    <w:div w:id="2047639175">
      <w:bodyDiv w:val="1"/>
      <w:marLeft w:val="0"/>
      <w:marRight w:val="0"/>
      <w:marTop w:val="0"/>
      <w:marBottom w:val="0"/>
      <w:divBdr>
        <w:top w:val="none" w:sz="0" w:space="0" w:color="auto"/>
        <w:left w:val="none" w:sz="0" w:space="0" w:color="auto"/>
        <w:bottom w:val="none" w:sz="0" w:space="0" w:color="auto"/>
        <w:right w:val="none" w:sz="0" w:space="0" w:color="auto"/>
      </w:divBdr>
    </w:div>
    <w:div w:id="2060934392">
      <w:bodyDiv w:val="1"/>
      <w:marLeft w:val="0"/>
      <w:marRight w:val="0"/>
      <w:marTop w:val="0"/>
      <w:marBottom w:val="0"/>
      <w:divBdr>
        <w:top w:val="none" w:sz="0" w:space="0" w:color="auto"/>
        <w:left w:val="none" w:sz="0" w:space="0" w:color="auto"/>
        <w:bottom w:val="none" w:sz="0" w:space="0" w:color="auto"/>
        <w:right w:val="none" w:sz="0" w:space="0" w:color="auto"/>
      </w:divBdr>
    </w:div>
    <w:div w:id="2061198435">
      <w:bodyDiv w:val="1"/>
      <w:marLeft w:val="0"/>
      <w:marRight w:val="0"/>
      <w:marTop w:val="0"/>
      <w:marBottom w:val="0"/>
      <w:divBdr>
        <w:top w:val="none" w:sz="0" w:space="0" w:color="auto"/>
        <w:left w:val="none" w:sz="0" w:space="0" w:color="auto"/>
        <w:bottom w:val="none" w:sz="0" w:space="0" w:color="auto"/>
        <w:right w:val="none" w:sz="0" w:space="0" w:color="auto"/>
      </w:divBdr>
    </w:div>
    <w:div w:id="2063402996">
      <w:bodyDiv w:val="1"/>
      <w:marLeft w:val="0"/>
      <w:marRight w:val="0"/>
      <w:marTop w:val="0"/>
      <w:marBottom w:val="0"/>
      <w:divBdr>
        <w:top w:val="none" w:sz="0" w:space="0" w:color="auto"/>
        <w:left w:val="none" w:sz="0" w:space="0" w:color="auto"/>
        <w:bottom w:val="none" w:sz="0" w:space="0" w:color="auto"/>
        <w:right w:val="none" w:sz="0" w:space="0" w:color="auto"/>
      </w:divBdr>
    </w:div>
    <w:div w:id="2070612250">
      <w:bodyDiv w:val="1"/>
      <w:marLeft w:val="0"/>
      <w:marRight w:val="0"/>
      <w:marTop w:val="0"/>
      <w:marBottom w:val="0"/>
      <w:divBdr>
        <w:top w:val="none" w:sz="0" w:space="0" w:color="auto"/>
        <w:left w:val="none" w:sz="0" w:space="0" w:color="auto"/>
        <w:bottom w:val="none" w:sz="0" w:space="0" w:color="auto"/>
        <w:right w:val="none" w:sz="0" w:space="0" w:color="auto"/>
      </w:divBdr>
    </w:div>
    <w:div w:id="2070765987">
      <w:bodyDiv w:val="1"/>
      <w:marLeft w:val="0"/>
      <w:marRight w:val="0"/>
      <w:marTop w:val="0"/>
      <w:marBottom w:val="0"/>
      <w:divBdr>
        <w:top w:val="none" w:sz="0" w:space="0" w:color="auto"/>
        <w:left w:val="none" w:sz="0" w:space="0" w:color="auto"/>
        <w:bottom w:val="none" w:sz="0" w:space="0" w:color="auto"/>
        <w:right w:val="none" w:sz="0" w:space="0" w:color="auto"/>
      </w:divBdr>
    </w:div>
    <w:div w:id="2076852575">
      <w:bodyDiv w:val="1"/>
      <w:marLeft w:val="0"/>
      <w:marRight w:val="0"/>
      <w:marTop w:val="0"/>
      <w:marBottom w:val="0"/>
      <w:divBdr>
        <w:top w:val="none" w:sz="0" w:space="0" w:color="auto"/>
        <w:left w:val="none" w:sz="0" w:space="0" w:color="auto"/>
        <w:bottom w:val="none" w:sz="0" w:space="0" w:color="auto"/>
        <w:right w:val="none" w:sz="0" w:space="0" w:color="auto"/>
      </w:divBdr>
    </w:div>
    <w:div w:id="2076925055">
      <w:bodyDiv w:val="1"/>
      <w:marLeft w:val="0"/>
      <w:marRight w:val="0"/>
      <w:marTop w:val="0"/>
      <w:marBottom w:val="0"/>
      <w:divBdr>
        <w:top w:val="none" w:sz="0" w:space="0" w:color="auto"/>
        <w:left w:val="none" w:sz="0" w:space="0" w:color="auto"/>
        <w:bottom w:val="none" w:sz="0" w:space="0" w:color="auto"/>
        <w:right w:val="none" w:sz="0" w:space="0" w:color="auto"/>
      </w:divBdr>
    </w:div>
    <w:div w:id="2080899094">
      <w:bodyDiv w:val="1"/>
      <w:marLeft w:val="0"/>
      <w:marRight w:val="0"/>
      <w:marTop w:val="0"/>
      <w:marBottom w:val="0"/>
      <w:divBdr>
        <w:top w:val="none" w:sz="0" w:space="0" w:color="auto"/>
        <w:left w:val="none" w:sz="0" w:space="0" w:color="auto"/>
        <w:bottom w:val="none" w:sz="0" w:space="0" w:color="auto"/>
        <w:right w:val="none" w:sz="0" w:space="0" w:color="auto"/>
      </w:divBdr>
    </w:div>
    <w:div w:id="2083332820">
      <w:bodyDiv w:val="1"/>
      <w:marLeft w:val="0"/>
      <w:marRight w:val="0"/>
      <w:marTop w:val="0"/>
      <w:marBottom w:val="0"/>
      <w:divBdr>
        <w:top w:val="none" w:sz="0" w:space="0" w:color="auto"/>
        <w:left w:val="none" w:sz="0" w:space="0" w:color="auto"/>
        <w:bottom w:val="none" w:sz="0" w:space="0" w:color="auto"/>
        <w:right w:val="none" w:sz="0" w:space="0" w:color="auto"/>
      </w:divBdr>
    </w:div>
    <w:div w:id="2083410320">
      <w:bodyDiv w:val="1"/>
      <w:marLeft w:val="0"/>
      <w:marRight w:val="0"/>
      <w:marTop w:val="0"/>
      <w:marBottom w:val="0"/>
      <w:divBdr>
        <w:top w:val="none" w:sz="0" w:space="0" w:color="auto"/>
        <w:left w:val="none" w:sz="0" w:space="0" w:color="auto"/>
        <w:bottom w:val="none" w:sz="0" w:space="0" w:color="auto"/>
        <w:right w:val="none" w:sz="0" w:space="0" w:color="auto"/>
      </w:divBdr>
    </w:div>
    <w:div w:id="2086023323">
      <w:bodyDiv w:val="1"/>
      <w:marLeft w:val="0"/>
      <w:marRight w:val="0"/>
      <w:marTop w:val="0"/>
      <w:marBottom w:val="0"/>
      <w:divBdr>
        <w:top w:val="none" w:sz="0" w:space="0" w:color="auto"/>
        <w:left w:val="none" w:sz="0" w:space="0" w:color="auto"/>
        <w:bottom w:val="none" w:sz="0" w:space="0" w:color="auto"/>
        <w:right w:val="none" w:sz="0" w:space="0" w:color="auto"/>
      </w:divBdr>
    </w:div>
    <w:div w:id="2097550083">
      <w:bodyDiv w:val="1"/>
      <w:marLeft w:val="0"/>
      <w:marRight w:val="0"/>
      <w:marTop w:val="0"/>
      <w:marBottom w:val="0"/>
      <w:divBdr>
        <w:top w:val="none" w:sz="0" w:space="0" w:color="auto"/>
        <w:left w:val="none" w:sz="0" w:space="0" w:color="auto"/>
        <w:bottom w:val="none" w:sz="0" w:space="0" w:color="auto"/>
        <w:right w:val="none" w:sz="0" w:space="0" w:color="auto"/>
      </w:divBdr>
    </w:div>
    <w:div w:id="2100788856">
      <w:bodyDiv w:val="1"/>
      <w:marLeft w:val="0"/>
      <w:marRight w:val="0"/>
      <w:marTop w:val="0"/>
      <w:marBottom w:val="0"/>
      <w:divBdr>
        <w:top w:val="none" w:sz="0" w:space="0" w:color="auto"/>
        <w:left w:val="none" w:sz="0" w:space="0" w:color="auto"/>
        <w:bottom w:val="none" w:sz="0" w:space="0" w:color="auto"/>
        <w:right w:val="none" w:sz="0" w:space="0" w:color="auto"/>
      </w:divBdr>
    </w:div>
    <w:div w:id="2116365944">
      <w:bodyDiv w:val="1"/>
      <w:marLeft w:val="0"/>
      <w:marRight w:val="0"/>
      <w:marTop w:val="0"/>
      <w:marBottom w:val="0"/>
      <w:divBdr>
        <w:top w:val="none" w:sz="0" w:space="0" w:color="auto"/>
        <w:left w:val="none" w:sz="0" w:space="0" w:color="auto"/>
        <w:bottom w:val="none" w:sz="0" w:space="0" w:color="auto"/>
        <w:right w:val="none" w:sz="0" w:space="0" w:color="auto"/>
      </w:divBdr>
    </w:div>
    <w:div w:id="2116898997">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 w:id="2136556484">
      <w:bodyDiv w:val="1"/>
      <w:marLeft w:val="0"/>
      <w:marRight w:val="0"/>
      <w:marTop w:val="0"/>
      <w:marBottom w:val="0"/>
      <w:divBdr>
        <w:top w:val="none" w:sz="0" w:space="0" w:color="auto"/>
        <w:left w:val="none" w:sz="0" w:space="0" w:color="auto"/>
        <w:bottom w:val="none" w:sz="0" w:space="0" w:color="auto"/>
        <w:right w:val="none" w:sz="0" w:space="0" w:color="auto"/>
      </w:divBdr>
    </w:div>
    <w:div w:id="2139105267">
      <w:bodyDiv w:val="1"/>
      <w:marLeft w:val="0"/>
      <w:marRight w:val="0"/>
      <w:marTop w:val="0"/>
      <w:marBottom w:val="0"/>
      <w:divBdr>
        <w:top w:val="none" w:sz="0" w:space="0" w:color="auto"/>
        <w:left w:val="none" w:sz="0" w:space="0" w:color="auto"/>
        <w:bottom w:val="none" w:sz="0" w:space="0" w:color="auto"/>
        <w:right w:val="none" w:sz="0" w:space="0" w:color="auto"/>
      </w:divBdr>
    </w:div>
    <w:div w:id="2144731168">
      <w:bodyDiv w:val="1"/>
      <w:marLeft w:val="0"/>
      <w:marRight w:val="0"/>
      <w:marTop w:val="0"/>
      <w:marBottom w:val="0"/>
      <w:divBdr>
        <w:top w:val="none" w:sz="0" w:space="0" w:color="auto"/>
        <w:left w:val="none" w:sz="0" w:space="0" w:color="auto"/>
        <w:bottom w:val="none" w:sz="0" w:space="0" w:color="auto"/>
        <w:right w:val="none" w:sz="0" w:space="0" w:color="auto"/>
      </w:divBdr>
    </w:div>
    <w:div w:id="21462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footer" Target="footer12.xml"/><Relationship Id="rId21" Type="http://schemas.openxmlformats.org/officeDocument/2006/relationships/header" Target="header3.xml"/><Relationship Id="rId34" Type="http://schemas.openxmlformats.org/officeDocument/2006/relationships/footer" Target="footer10.xml"/><Relationship Id="rId42" Type="http://schemas.openxmlformats.org/officeDocument/2006/relationships/footer" Target="footer13.xml"/><Relationship Id="rId47" Type="http://schemas.openxmlformats.org/officeDocument/2006/relationships/header" Target="header13.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C:\Users\akaretsou\AppData\Local\Microsoft\Windows\INetCache\Content.MSO\704F14A9.xlsm" TargetMode="External"/><Relationship Id="rId29" Type="http://schemas.openxmlformats.org/officeDocument/2006/relationships/footer" Target="footer8.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chart" Target="charts/chart5.xml"/><Relationship Id="rId45" Type="http://schemas.openxmlformats.org/officeDocument/2006/relationships/chart" Target="charts/chart6.xml"/><Relationship Id="rId53" Type="http://schemas.openxmlformats.org/officeDocument/2006/relationships/customXml" Target="../customXml/item5.xml"/><Relationship Id="rId5" Type="http://schemas.openxmlformats.org/officeDocument/2006/relationships/settings" Target="settings.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footer" Target="footer14.xml"/><Relationship Id="rId52"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chart" Target="charts/chart3.xml"/><Relationship Id="rId35" Type="http://schemas.openxmlformats.org/officeDocument/2006/relationships/chart" Target="charts/chart4.xml"/><Relationship Id="rId43" Type="http://schemas.openxmlformats.org/officeDocument/2006/relationships/header" Target="header12.xml"/><Relationship Id="rId48"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hyperlink" Target="http://eur-lex.europa.eu/LexUriServ/LexUriServ.do?uri=CONSLEG:2006R1828:20091013:EN:HTML" TargetMode="External"/><Relationship Id="rId25" Type="http://schemas.openxmlformats.org/officeDocument/2006/relationships/chart" Target="charts/chart2.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chart" Target="charts/chart7.xml"/><Relationship Id="rId20" Type="http://schemas.openxmlformats.org/officeDocument/2006/relationships/chart" Target="charts/chart1.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9.xml"/><Relationship Id="rId49" Type="http://schemas.openxmlformats.org/officeDocument/2006/relationships/fontTable" Target="fontTable.xml"/></Relationships>
</file>

<file path=word/_rels/footer10.xml.rels><?xml version="1.0" encoding="UTF-8" standalone="yes"?>
<Relationships xmlns="http://schemas.openxmlformats.org/package/2006/relationships"><Relationship Id="rId1" Type="http://schemas.openxmlformats.org/officeDocument/2006/relationships/image" Target="media/image5.jpeg"/></Relationships>
</file>

<file path=word/_rels/footer11.xml.rels><?xml version="1.0" encoding="UTF-8" standalone="yes"?>
<Relationships xmlns="http://schemas.openxmlformats.org/package/2006/relationships"><Relationship Id="rId1" Type="http://schemas.openxmlformats.org/officeDocument/2006/relationships/image" Target="media/image5.jpeg"/></Relationships>
</file>

<file path=word/_rels/footer12.xml.rels><?xml version="1.0" encoding="UTF-8" standalone="yes"?>
<Relationships xmlns="http://schemas.openxmlformats.org/package/2006/relationships"><Relationship Id="rId1" Type="http://schemas.openxmlformats.org/officeDocument/2006/relationships/image" Target="media/image5.jpeg"/></Relationships>
</file>

<file path=word/_rels/footer13.xml.rels><?xml version="1.0" encoding="UTF-8" standalone="yes"?>
<Relationships xmlns="http://schemas.openxmlformats.org/package/2006/relationships"><Relationship Id="rId1" Type="http://schemas.openxmlformats.org/officeDocument/2006/relationships/image" Target="media/image5.jpeg"/></Relationships>
</file>

<file path=word/_rels/footer14.xml.rels><?xml version="1.0" encoding="UTF-8" standalone="yes"?>
<Relationships xmlns="http://schemas.openxmlformats.org/package/2006/relationships"><Relationship Id="rId1" Type="http://schemas.openxmlformats.org/officeDocument/2006/relationships/image" Target="media/image5.jpeg"/></Relationships>
</file>

<file path=word/_rels/footer15.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1" Type="http://schemas.openxmlformats.org/officeDocument/2006/relationships/image" Target="media/image5.jpeg"/></Relationships>
</file>

<file path=word/_rels/footer7.xml.rels><?xml version="1.0" encoding="UTF-8" standalone="yes"?>
<Relationships xmlns="http://schemas.openxmlformats.org/package/2006/relationships"><Relationship Id="rId1" Type="http://schemas.openxmlformats.org/officeDocument/2006/relationships/image" Target="media/image5.jpeg"/></Relationships>
</file>

<file path=word/_rels/footer8.xml.rels><?xml version="1.0" encoding="UTF-8" standalone="yes"?>
<Relationships xmlns="http://schemas.openxmlformats.org/package/2006/relationships"><Relationship Id="rId1" Type="http://schemas.openxmlformats.org/officeDocument/2006/relationships/image" Target="media/image5.jpeg"/></Relationships>
</file>

<file path=word/_rels/footer9.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REMVAULT\Vault\PROJECTS\2018.021%20&#917;&#933;&#916;%20&#917;&#928;%20&#924;&#916;&#932;_&#913;&#926;&#921;&#927;&#923;&#927;&#915;&#919;&#931;&#919;\2.%20&#922;&#917;&#921;&#924;&#917;&#925;&#913;%20&#917;&#929;&#915;&#913;&#931;&#921;&#913;&#931;\&#913;&#947;&#947;&#949;&#955;&#953;&#954;&#942;\4.%20&#928;&#961;&#972;&#959;&#948;&#959;&#962;%20&#933;&#955;&#959;&#960;&#959;&#943;&#951;&#963;&#951;&#962;\&#931;&#932;&#927;&#921;&#935;&#917;&#921;&#913;%20&#917;&#929;&#915;&#937;&#925;_01.06.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remvault\Vault\PROJECTS\2018.021%20&#917;&#933;&#916;%20&#917;&#928;%20&#924;&#916;&#932;_&#913;&#926;&#921;&#927;&#923;&#927;&#915;&#919;&#931;&#919;\2.%20&#922;&#917;&#921;&#924;&#917;&#925;&#913;%20&#917;&#929;&#915;&#913;&#931;&#921;&#913;&#931;\&#913;&#947;&#947;&#949;&#955;&#953;&#954;&#942;\4.%20&#928;&#961;&#972;&#959;&#948;&#959;&#962;%20&#933;&#955;&#959;&#960;&#959;&#943;&#951;&#963;&#951;&#962;\&#931;&#932;&#927;&#921;&#935;&#917;&#921;&#913;%20&#917;&#929;&#915;&#937;&#925;_01.06.18_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REMVAULT\Vault\PROJECTS\2018.021%20&#917;&#933;&#916;%20&#917;&#928;%20&#924;&#916;&#932;_&#913;&#926;&#921;&#927;&#923;&#927;&#915;&#919;&#931;&#919;\2.%20&#922;&#917;&#921;&#924;&#917;&#925;&#913;%20&#917;&#929;&#915;&#913;&#931;&#921;&#913;&#931;\&#913;&#947;&#947;&#949;&#955;&#953;&#954;&#942;\4.%20&#928;&#961;&#972;&#959;&#948;&#959;&#962;%20&#933;&#955;&#959;&#960;&#959;&#943;&#951;&#963;&#951;&#962;\&#931;&#932;&#927;&#921;&#935;&#917;&#921;&#913;%20&#917;&#929;&#915;&#937;&#925;_01.06.18_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REMVAULT\Vault\PROJECTS\2018.021%20&#917;&#933;&#916;%20&#917;&#928;%20&#924;&#916;&#932;_&#913;&#926;&#921;&#927;&#923;&#927;&#915;&#919;&#931;&#919;\2.%20&#922;&#917;&#921;&#924;&#917;&#925;&#913;%20&#917;&#929;&#915;&#913;&#931;&#921;&#913;&#931;\&#913;&#947;&#947;&#949;&#955;&#953;&#954;&#942;\4.%20&#928;&#961;&#972;&#959;&#948;&#959;&#962;%20&#933;&#955;&#959;&#960;&#959;&#943;&#951;&#963;&#951;&#962;\&#931;&#932;&#927;&#921;&#935;&#917;&#921;&#913;%20&#917;&#929;&#915;&#937;&#925;_01.06.18_v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REMVAULT\Vault\PROJECTS\2018.021%20&#917;&#933;&#916;%20&#917;&#928;%20&#924;&#916;&#932;_&#913;&#926;&#921;&#927;&#923;&#927;&#915;&#919;&#931;&#919;\2.%20&#922;&#917;&#921;&#924;&#917;&#925;&#913;%20&#917;&#929;&#915;&#913;&#931;&#921;&#913;&#931;\&#913;&#947;&#947;&#949;&#955;&#953;&#954;&#942;\4.%20&#928;&#961;&#972;&#959;&#948;&#959;&#962;%20&#933;&#955;&#959;&#960;&#959;&#943;&#951;&#963;&#951;&#962;\&#931;&#932;&#927;&#921;&#935;&#917;&#921;&#913;%20&#917;&#929;&#915;&#937;&#925;_01.06.18_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REMVAULT\Vault\PROJECTS\2018.021%20&#917;&#933;&#916;%20&#917;&#928;%20&#924;&#916;&#932;_&#913;&#926;&#921;&#927;&#923;&#927;&#915;&#919;&#931;&#919;\2.%20&#922;&#917;&#921;&#924;&#917;&#925;&#913;%20&#917;&#929;&#915;&#913;&#931;&#921;&#913;&#931;\&#913;&#947;&#947;&#949;&#955;&#953;&#954;&#942;\4.%20&#928;&#961;&#972;&#959;&#948;&#959;&#962;%20&#933;&#955;&#959;&#960;&#959;&#943;&#951;&#963;&#951;&#962;\&#931;&#932;&#927;&#921;&#935;&#917;&#921;&#913;%20&#917;&#929;&#915;&#937;&#925;_01.06.18_v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REMVAULT\Vault\PROJECTS\2018.021%20&#917;&#933;&#916;%20&#917;&#928;%20&#924;&#916;&#932;_&#913;&#926;&#921;&#927;&#923;&#927;&#915;&#919;&#931;&#919;\2.%20&#922;&#917;&#921;&#924;&#917;&#925;&#913;%20&#917;&#929;&#915;&#913;&#931;&#921;&#913;&#931;\&#913;&#947;&#947;&#949;&#955;&#953;&#954;&#942;\4.%20&#928;&#961;&#972;&#959;&#948;&#959;&#962;%20&#933;&#955;&#959;&#960;&#959;&#943;&#951;&#963;&#951;&#962;\&#931;&#932;&#927;&#921;&#935;&#917;&#921;&#913;%20&#917;&#929;&#915;&#937;&#925;_01.06.18_v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8.2754429676444807E-2"/>
          <c:y val="2.0491701127287147E-2"/>
          <c:w val="0.90181006866975144"/>
          <c:h val="0.77806378519231856"/>
        </c:manualLayout>
      </c:layout>
      <c:barChart>
        <c:barDir val="col"/>
        <c:grouping val="stacked"/>
        <c:varyColors val="0"/>
        <c:ser>
          <c:idx val="0"/>
          <c:order val="0"/>
          <c:tx>
            <c:strRef>
              <c:f>Διαγράμματα!$A$2</c:f>
              <c:strCache>
                <c:ptCount val="1"/>
                <c:pt idx="0">
                  <c:v>Α.1</c:v>
                </c:pt>
              </c:strCache>
            </c:strRef>
          </c:tx>
          <c:spPr>
            <a:solidFill>
              <a:srgbClr val="2F7F95"/>
            </a:solidFill>
            <a:ln>
              <a:solidFill>
                <a:schemeClr val="bg1">
                  <a:lumMod val="75000"/>
                </a:schemeClr>
              </a:solidFill>
            </a:ln>
            <a:effectLst>
              <a:outerShdw blurRad="50800" dist="38100" dir="2700000" algn="tl" rotWithShape="0">
                <a:prstClr val="black">
                  <a:alpha val="40000"/>
                </a:prstClr>
              </a:outerShdw>
            </a:effectLst>
          </c:spPr>
          <c:invertIfNegative val="0"/>
          <c:dLbls>
            <c:dLbl>
              <c:idx val="5"/>
              <c:layout>
                <c:manualLayout>
                  <c:x val="5.2071638784953266E-2"/>
                  <c:y val="-1.73069733189826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BB4-4A8D-AF84-7EA19B8D937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Διαγράμματα!$B$1:$G$1</c:f>
              <c:strCache>
                <c:ptCount val="6"/>
                <c:pt idx="0">
                  <c:v>Προϋπολογισμός (με βάση την 1η Αναθεώρηση)</c:v>
                </c:pt>
                <c:pt idx="1">
                  <c:v>Εξειδίκευση</c:v>
                </c:pt>
                <c:pt idx="2">
                  <c:v>Π/Υ Προσκλήσεων</c:v>
                </c:pt>
                <c:pt idx="3">
                  <c:v>Π/Υ Εντάξεων</c:v>
                </c:pt>
                <c:pt idx="4">
                  <c:v>Νομικές Δεσμεύσεις</c:v>
                </c:pt>
                <c:pt idx="5">
                  <c:v>Πιστοποιημένες Δαπάνες</c:v>
                </c:pt>
              </c:strCache>
            </c:strRef>
          </c:cat>
          <c:val>
            <c:numRef>
              <c:f>Διαγράμματα!$B$2:$G$2</c:f>
              <c:numCache>
                <c:formatCode>0.00</c:formatCode>
                <c:ptCount val="6"/>
                <c:pt idx="0">
                  <c:v>21</c:v>
                </c:pt>
                <c:pt idx="1">
                  <c:v>29.768014999999998</c:v>
                </c:pt>
                <c:pt idx="2">
                  <c:v>28.3322225</c:v>
                </c:pt>
                <c:pt idx="3">
                  <c:v>19.72688526</c:v>
                </c:pt>
                <c:pt idx="4">
                  <c:v>15.221342780000001</c:v>
                </c:pt>
                <c:pt idx="5">
                  <c:v>2.01398294</c:v>
                </c:pt>
              </c:numCache>
            </c:numRef>
          </c:val>
          <c:extLst xmlns:c16r2="http://schemas.microsoft.com/office/drawing/2015/06/chart">
            <c:ext xmlns:c16="http://schemas.microsoft.com/office/drawing/2014/chart" uri="{C3380CC4-5D6E-409C-BE32-E72D297353CC}">
              <c16:uniqueId val="{00000001-DBB4-4A8D-AF84-7EA19B8D9377}"/>
            </c:ext>
          </c:extLst>
        </c:ser>
        <c:ser>
          <c:idx val="1"/>
          <c:order val="1"/>
          <c:tx>
            <c:strRef>
              <c:f>Διαγράμματα!$A$3</c:f>
              <c:strCache>
                <c:ptCount val="1"/>
                <c:pt idx="0">
                  <c:v>Α.2</c:v>
                </c:pt>
              </c:strCache>
            </c:strRef>
          </c:tx>
          <c:spPr>
            <a:solidFill>
              <a:schemeClr val="accent5"/>
            </a:solidFill>
            <a:ln>
              <a:solidFill>
                <a:schemeClr val="bg1">
                  <a:lumMod val="75000"/>
                </a:schemeClr>
              </a:solidFill>
            </a:ln>
            <a:effectLst>
              <a:outerShdw blurRad="50800" dist="38100" dir="2700000" algn="tl" rotWithShape="0">
                <a:prstClr val="black">
                  <a:alpha val="40000"/>
                </a:prstClr>
              </a:outerShdw>
            </a:effectLst>
          </c:spPr>
          <c:invertIfNegative val="0"/>
          <c:dLbls>
            <c:dLbl>
              <c:idx val="5"/>
              <c:layout>
                <c:manualLayout>
                  <c:x val="-7.9955551311323135E-4"/>
                  <c:y val="-3.002133726090002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BB4-4A8D-AF84-7EA19B8D937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Διαγράμματα!$B$1:$G$1</c:f>
              <c:strCache>
                <c:ptCount val="6"/>
                <c:pt idx="0">
                  <c:v>Προϋπολογισμός (με βάση την 1η Αναθεώρηση)</c:v>
                </c:pt>
                <c:pt idx="1">
                  <c:v>Εξειδίκευση</c:v>
                </c:pt>
                <c:pt idx="2">
                  <c:v>Π/Υ Προσκλήσεων</c:v>
                </c:pt>
                <c:pt idx="3">
                  <c:v>Π/Υ Εντάξεων</c:v>
                </c:pt>
                <c:pt idx="4">
                  <c:v>Νομικές Δεσμεύσεις</c:v>
                </c:pt>
                <c:pt idx="5">
                  <c:v>Πιστοποιημένες Δαπάνες</c:v>
                </c:pt>
              </c:strCache>
            </c:strRef>
          </c:cat>
          <c:val>
            <c:numRef>
              <c:f>Διαγράμματα!$B$3:$G$3</c:f>
              <c:numCache>
                <c:formatCode>0.00</c:formatCode>
                <c:ptCount val="6"/>
                <c:pt idx="0">
                  <c:v>131.59393499999999</c:v>
                </c:pt>
                <c:pt idx="1">
                  <c:v>94.617716590000001</c:v>
                </c:pt>
                <c:pt idx="2">
                  <c:v>93.4257925</c:v>
                </c:pt>
                <c:pt idx="3">
                  <c:v>68.105555589999994</c:v>
                </c:pt>
                <c:pt idx="4">
                  <c:v>47.121054949999994</c:v>
                </c:pt>
                <c:pt idx="5">
                  <c:v>4.4655040399999999</c:v>
                </c:pt>
              </c:numCache>
            </c:numRef>
          </c:val>
          <c:extLst xmlns:c16r2="http://schemas.microsoft.com/office/drawing/2015/06/chart">
            <c:ext xmlns:c16="http://schemas.microsoft.com/office/drawing/2014/chart" uri="{C3380CC4-5D6E-409C-BE32-E72D297353CC}">
              <c16:uniqueId val="{00000003-DBB4-4A8D-AF84-7EA19B8D9377}"/>
            </c:ext>
          </c:extLst>
        </c:ser>
        <c:ser>
          <c:idx val="2"/>
          <c:order val="2"/>
          <c:tx>
            <c:strRef>
              <c:f>Διαγράμματα!$A$4</c:f>
              <c:strCache>
                <c:ptCount val="1"/>
                <c:pt idx="0">
                  <c:v>Α.3</c:v>
                </c:pt>
              </c:strCache>
            </c:strRef>
          </c:tx>
          <c:spPr>
            <a:solidFill>
              <a:srgbClr val="E8FFF6"/>
            </a:solidFill>
            <a:ln>
              <a:solidFill>
                <a:schemeClr val="bg1">
                  <a:lumMod val="75000"/>
                </a:schemeClr>
              </a:solidFill>
            </a:ln>
            <a:effectLst>
              <a:outerShdw blurRad="50800" dist="38100" dir="2700000" algn="tl" rotWithShape="0">
                <a:prstClr val="black">
                  <a:alpha val="40000"/>
                </a:prstClr>
              </a:outerShdw>
            </a:effectLst>
          </c:spPr>
          <c:invertIfNegative val="0"/>
          <c:dLbls>
            <c:dLbl>
              <c:idx val="1"/>
              <c:layout>
                <c:manualLayout>
                  <c:x val="2.205071664829107E-3"/>
                  <c:y val="-5.27577937649879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BB4-4A8D-AF84-7EA19B8D9377}"/>
                </c:ext>
                <c:ext xmlns:c15="http://schemas.microsoft.com/office/drawing/2012/chart" uri="{CE6537A1-D6FC-4f65-9D91-7224C49458BB}"/>
              </c:extLst>
            </c:dLbl>
            <c:dLbl>
              <c:idx val="2"/>
              <c:layout>
                <c:manualLayout>
                  <c:x val="0"/>
                  <c:y val="-4.31654676258992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BB4-4A8D-AF84-7EA19B8D9377}"/>
                </c:ext>
                <c:ext xmlns:c15="http://schemas.microsoft.com/office/drawing/2012/chart" uri="{CE6537A1-D6FC-4f65-9D91-7224C49458BB}"/>
              </c:extLst>
            </c:dLbl>
            <c:dLbl>
              <c:idx val="3"/>
              <c:layout>
                <c:manualLayout>
                  <c:x val="2.205071664829107E-3"/>
                  <c:y val="-3.83693045563549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BB4-4A8D-AF84-7EA19B8D9377}"/>
                </c:ext>
                <c:ext xmlns:c15="http://schemas.microsoft.com/office/drawing/2012/chart" uri="{CE6537A1-D6FC-4f65-9D91-7224C49458BB}"/>
              </c:extLst>
            </c:dLbl>
            <c:dLbl>
              <c:idx val="4"/>
              <c:layout>
                <c:manualLayout>
                  <c:x val="-2.205071664829107E-3"/>
                  <c:y val="-2.39808153477219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BB4-4A8D-AF84-7EA19B8D9377}"/>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8-DBB4-4A8D-AF84-7EA19B8D937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Διαγράμματα!$B$1:$G$1</c:f>
              <c:strCache>
                <c:ptCount val="6"/>
                <c:pt idx="0">
                  <c:v>Προϋπολογισμός (με βάση την 1η Αναθεώρηση)</c:v>
                </c:pt>
                <c:pt idx="1">
                  <c:v>Εξειδίκευση</c:v>
                </c:pt>
                <c:pt idx="2">
                  <c:v>Π/Υ Προσκλήσεων</c:v>
                </c:pt>
                <c:pt idx="3">
                  <c:v>Π/Υ Εντάξεων</c:v>
                </c:pt>
                <c:pt idx="4">
                  <c:v>Νομικές Δεσμεύσεις</c:v>
                </c:pt>
                <c:pt idx="5">
                  <c:v>Πιστοποιημένες Δαπάνες</c:v>
                </c:pt>
              </c:strCache>
            </c:strRef>
          </c:cat>
          <c:val>
            <c:numRef>
              <c:f>Διαγράμματα!$B$4:$G$4</c:f>
              <c:numCache>
                <c:formatCode>0.00</c:formatCode>
                <c:ptCount val="6"/>
                <c:pt idx="0">
                  <c:v>14.64828</c:v>
                </c:pt>
                <c:pt idx="1">
                  <c:v>6.1392870000000004</c:v>
                </c:pt>
                <c:pt idx="2">
                  <c:v>5.5642870000000002</c:v>
                </c:pt>
                <c:pt idx="3">
                  <c:v>2.4510138899999996</c:v>
                </c:pt>
                <c:pt idx="4">
                  <c:v>1.2036343200000001</c:v>
                </c:pt>
                <c:pt idx="5">
                  <c:v>0</c:v>
                </c:pt>
              </c:numCache>
            </c:numRef>
          </c:val>
          <c:extLst xmlns:c16r2="http://schemas.microsoft.com/office/drawing/2015/06/chart">
            <c:ext xmlns:c16="http://schemas.microsoft.com/office/drawing/2014/chart" uri="{C3380CC4-5D6E-409C-BE32-E72D297353CC}">
              <c16:uniqueId val="{00000009-DBB4-4A8D-AF84-7EA19B8D9377}"/>
            </c:ext>
          </c:extLst>
        </c:ser>
        <c:dLbls>
          <c:showLegendKey val="0"/>
          <c:showVal val="1"/>
          <c:showCatName val="0"/>
          <c:showSerName val="0"/>
          <c:showPercent val="0"/>
          <c:showBubbleSize val="0"/>
        </c:dLbls>
        <c:gapWidth val="150"/>
        <c:overlap val="100"/>
        <c:axId val="525606400"/>
        <c:axId val="525606792"/>
      </c:barChart>
      <c:catAx>
        <c:axId val="525606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l-GR"/>
          </a:p>
        </c:txPr>
        <c:crossAx val="525606792"/>
        <c:crosses val="autoZero"/>
        <c:auto val="1"/>
        <c:lblAlgn val="ctr"/>
        <c:lblOffset val="100"/>
        <c:noMultiLvlLbl val="0"/>
      </c:catAx>
      <c:valAx>
        <c:axId val="525606792"/>
        <c:scaling>
          <c:orientation val="minMax"/>
        </c:scaling>
        <c:delete val="0"/>
        <c:axPos val="l"/>
        <c:majorGridlines>
          <c:spPr>
            <a:ln w="9525" cap="flat" cmpd="sng" algn="ctr">
              <a:solidFill>
                <a:srgbClr val="ECECEC"/>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εκ. €</a:t>
                </a:r>
              </a:p>
            </c:rich>
          </c:tx>
          <c:layout>
            <c:manualLayout>
              <c:xMode val="edge"/>
              <c:yMode val="edge"/>
              <c:x val="1.7529451596940678E-3"/>
              <c:y val="0.2882677784218549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l-GR"/>
          </a:p>
        </c:txPr>
        <c:crossAx val="525606400"/>
        <c:crosses val="autoZero"/>
        <c:crossBetween val="between"/>
      </c:valAx>
      <c:spPr>
        <a:noFill/>
        <a:ln>
          <a:solidFill>
            <a:schemeClr val="bg1">
              <a:lumMod val="85000"/>
            </a:schemeClr>
          </a:solidFill>
        </a:ln>
        <a:effectLst/>
      </c:spPr>
    </c:plotArea>
    <c:legend>
      <c:legendPos val="b"/>
      <c:layout>
        <c:manualLayout>
          <c:xMode val="edge"/>
          <c:yMode val="edge"/>
          <c:x val="0.79885822430961273"/>
          <c:y val="3.5193262712664514E-2"/>
          <c:w val="0.1740584604432715"/>
          <c:h val="7.2285791862224114E-2"/>
        </c:manualLayout>
      </c:layout>
      <c:overlay val="0"/>
      <c:spPr>
        <a:solidFill>
          <a:schemeClr val="bg1">
            <a:lumMod val="95000"/>
          </a:schemeClr>
        </a:solidFill>
        <a:ln>
          <a:solidFill>
            <a:schemeClr val="accent5">
              <a:lumMod val="40000"/>
              <a:lumOff val="60000"/>
            </a:schemeClr>
          </a:solid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8.7616699511238044E-2"/>
          <c:y val="5.4753608760577402E-2"/>
          <c:w val="0.88812751217564179"/>
          <c:h val="0.74530478986293958"/>
        </c:manualLayout>
      </c:layout>
      <c:barChart>
        <c:barDir val="col"/>
        <c:grouping val="stacked"/>
        <c:varyColors val="0"/>
        <c:ser>
          <c:idx val="0"/>
          <c:order val="0"/>
          <c:tx>
            <c:strRef>
              <c:f>Διαγράμματα!$A$18</c:f>
              <c:strCache>
                <c:ptCount val="1"/>
                <c:pt idx="0">
                  <c:v>Β.1</c:v>
                </c:pt>
              </c:strCache>
            </c:strRef>
          </c:tx>
          <c:spPr>
            <a:solidFill>
              <a:schemeClr val="accent5">
                <a:lumMod val="75000"/>
              </a:schemeClr>
            </a:solidFill>
            <a:ln>
              <a:solidFill>
                <a:schemeClr val="bg1">
                  <a:lumMod val="85000"/>
                </a:schemeClr>
              </a:solidFill>
            </a:ln>
            <a:effectLst>
              <a:outerShdw blurRad="50800" dist="38100" dir="2700000" algn="tl" rotWithShape="0">
                <a:prstClr val="black">
                  <a:alpha val="40000"/>
                </a:prstClr>
              </a:outerShdw>
            </a:effectLst>
          </c:spPr>
          <c:invertIfNegative val="0"/>
          <c:dLbls>
            <c:dLbl>
              <c:idx val="5"/>
              <c:layout>
                <c:manualLayout>
                  <c:x val="6.3097050218816772E-2"/>
                  <c:y val="-2.9184117773312633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437-4ABA-8F10-5995D1A7EBE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Διαγράμματα!$B$17:$G$17</c:f>
              <c:strCache>
                <c:ptCount val="6"/>
                <c:pt idx="0">
                  <c:v>Προϋπολογισμός (με βάση την 1η Αναθεώρηση)</c:v>
                </c:pt>
                <c:pt idx="1">
                  <c:v>Εξειδίκευση</c:v>
                </c:pt>
                <c:pt idx="2">
                  <c:v>Π/Υ Προσκλήσεων</c:v>
                </c:pt>
                <c:pt idx="3">
                  <c:v>Π/Υ Εντάξεων</c:v>
                </c:pt>
                <c:pt idx="4">
                  <c:v>Νομικές Δεσμεύσεις</c:v>
                </c:pt>
                <c:pt idx="5">
                  <c:v>Πιστοποιημένες Δαπάνες</c:v>
                </c:pt>
              </c:strCache>
            </c:strRef>
          </c:cat>
          <c:val>
            <c:numRef>
              <c:f>Διαγράμματα!$B$18:$G$18</c:f>
              <c:numCache>
                <c:formatCode>0.00</c:formatCode>
                <c:ptCount val="6"/>
                <c:pt idx="0">
                  <c:v>135</c:v>
                </c:pt>
                <c:pt idx="1">
                  <c:v>213.00949599</c:v>
                </c:pt>
                <c:pt idx="2">
                  <c:v>98.803456823500014</c:v>
                </c:pt>
                <c:pt idx="3">
                  <c:v>29.379928240999998</c:v>
                </c:pt>
                <c:pt idx="4">
                  <c:v>20.522850012999999</c:v>
                </c:pt>
                <c:pt idx="5">
                  <c:v>17.443725621999999</c:v>
                </c:pt>
              </c:numCache>
            </c:numRef>
          </c:val>
          <c:extLst xmlns:c16r2="http://schemas.microsoft.com/office/drawing/2015/06/chart">
            <c:ext xmlns:c16="http://schemas.microsoft.com/office/drawing/2014/chart" uri="{C3380CC4-5D6E-409C-BE32-E72D297353CC}">
              <c16:uniqueId val="{00000001-D437-4ABA-8F10-5995D1A7EBE3}"/>
            </c:ext>
          </c:extLst>
        </c:ser>
        <c:ser>
          <c:idx val="1"/>
          <c:order val="1"/>
          <c:tx>
            <c:strRef>
              <c:f>Διαγράμματα!$A$19</c:f>
              <c:strCache>
                <c:ptCount val="1"/>
                <c:pt idx="0">
                  <c:v>Β.2</c:v>
                </c:pt>
              </c:strCache>
            </c:strRef>
          </c:tx>
          <c:spPr>
            <a:solidFill>
              <a:schemeClr val="accent5">
                <a:lumMod val="40000"/>
                <a:lumOff val="60000"/>
              </a:schemeClr>
            </a:solidFill>
            <a:ln>
              <a:solidFill>
                <a:schemeClr val="bg1">
                  <a:lumMod val="85000"/>
                </a:schemeClr>
              </a:solidFill>
            </a:ln>
            <a:effectLst>
              <a:outerShdw blurRad="50800" dist="38100" dir="2700000" algn="tl" rotWithShape="0">
                <a:prstClr val="black">
                  <a:alpha val="40000"/>
                </a:prstClr>
              </a:outerShdw>
            </a:effectLst>
          </c:spPr>
          <c:invertIfNegative val="0"/>
          <c:dLbls>
            <c:dLbl>
              <c:idx val="5"/>
              <c:layout>
                <c:manualLayout>
                  <c:x val="-3.0045990499031712E-3"/>
                  <c:y val="5.4191695380738597E-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437-4ABA-8F10-5995D1A7EBE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Διαγράμματα!$B$17:$G$17</c:f>
              <c:strCache>
                <c:ptCount val="6"/>
                <c:pt idx="0">
                  <c:v>Προϋπολογισμός (με βάση την 1η Αναθεώρηση)</c:v>
                </c:pt>
                <c:pt idx="1">
                  <c:v>Εξειδίκευση</c:v>
                </c:pt>
                <c:pt idx="2">
                  <c:v>Π/Υ Προσκλήσεων</c:v>
                </c:pt>
                <c:pt idx="3">
                  <c:v>Π/Υ Εντάξεων</c:v>
                </c:pt>
                <c:pt idx="4">
                  <c:v>Νομικές Δεσμεύσεις</c:v>
                </c:pt>
                <c:pt idx="5">
                  <c:v>Πιστοποιημένες Δαπάνες</c:v>
                </c:pt>
              </c:strCache>
            </c:strRef>
          </c:cat>
          <c:val>
            <c:numRef>
              <c:f>Διαγράμματα!$B$19:$G$19</c:f>
              <c:numCache>
                <c:formatCode>0.00</c:formatCode>
                <c:ptCount val="6"/>
                <c:pt idx="0">
                  <c:v>88.137221999999994</c:v>
                </c:pt>
                <c:pt idx="1">
                  <c:v>90.045497900000001</c:v>
                </c:pt>
                <c:pt idx="2">
                  <c:v>36.915407116499999</c:v>
                </c:pt>
                <c:pt idx="3">
                  <c:v>40.346846499000009</c:v>
                </c:pt>
                <c:pt idx="4">
                  <c:v>35.617786347000006</c:v>
                </c:pt>
                <c:pt idx="5">
                  <c:v>18.818952908</c:v>
                </c:pt>
              </c:numCache>
            </c:numRef>
          </c:val>
          <c:extLst xmlns:c16r2="http://schemas.microsoft.com/office/drawing/2015/06/chart">
            <c:ext xmlns:c16="http://schemas.microsoft.com/office/drawing/2014/chart" uri="{C3380CC4-5D6E-409C-BE32-E72D297353CC}">
              <c16:uniqueId val="{00000003-D437-4ABA-8F10-5995D1A7EBE3}"/>
            </c:ext>
          </c:extLst>
        </c:ser>
        <c:dLbls>
          <c:showLegendKey val="0"/>
          <c:showVal val="1"/>
          <c:showCatName val="0"/>
          <c:showSerName val="0"/>
          <c:showPercent val="0"/>
          <c:showBubbleSize val="0"/>
        </c:dLbls>
        <c:gapWidth val="150"/>
        <c:overlap val="100"/>
        <c:axId val="522614088"/>
        <c:axId val="522615264"/>
      </c:barChart>
      <c:catAx>
        <c:axId val="522614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522615264"/>
        <c:crosses val="autoZero"/>
        <c:auto val="1"/>
        <c:lblAlgn val="ctr"/>
        <c:lblOffset val="100"/>
        <c:noMultiLvlLbl val="0"/>
      </c:catAx>
      <c:valAx>
        <c:axId val="522615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εκ. €</a:t>
                </a:r>
              </a:p>
            </c:rich>
          </c:tx>
          <c:layout>
            <c:manualLayout>
              <c:xMode val="edge"/>
              <c:yMode val="edge"/>
              <c:x val="0"/>
              <c:y val="0.365297891770497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l-GR"/>
          </a:p>
        </c:txPr>
        <c:crossAx val="522614088"/>
        <c:crosses val="autoZero"/>
        <c:crossBetween val="between"/>
      </c:valAx>
      <c:spPr>
        <a:noFill/>
        <a:ln>
          <a:solidFill>
            <a:schemeClr val="bg1">
              <a:lumMod val="85000"/>
            </a:schemeClr>
          </a:solidFill>
        </a:ln>
        <a:effectLst/>
      </c:spPr>
    </c:plotArea>
    <c:legend>
      <c:legendPos val="b"/>
      <c:layout>
        <c:manualLayout>
          <c:xMode val="edge"/>
          <c:yMode val="edge"/>
          <c:x val="0.83130789515148729"/>
          <c:y val="5.4799040922567384E-2"/>
          <c:w val="0.13340065814012936"/>
          <c:h val="6.9131184546592936E-2"/>
        </c:manualLayout>
      </c:layout>
      <c:overlay val="0"/>
      <c:spPr>
        <a:solidFill>
          <a:schemeClr val="bg1">
            <a:lumMod val="95000"/>
          </a:schemeClr>
        </a:solidFill>
        <a:ln>
          <a:solidFill>
            <a:schemeClr val="accent5">
              <a:lumMod val="40000"/>
              <a:lumOff val="6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8.8844594535936586E-2"/>
          <c:y val="2.2683018281251428E-2"/>
          <c:w val="0.88689961715094323"/>
          <c:h val="0.81066549608128258"/>
        </c:manualLayout>
      </c:layout>
      <c:barChart>
        <c:barDir val="col"/>
        <c:grouping val="stacked"/>
        <c:varyColors val="0"/>
        <c:ser>
          <c:idx val="0"/>
          <c:order val="0"/>
          <c:tx>
            <c:strRef>
              <c:f>Διαγράμματα!$A$38</c:f>
              <c:strCache>
                <c:ptCount val="1"/>
                <c:pt idx="0">
                  <c:v>Γ.1</c:v>
                </c:pt>
              </c:strCache>
            </c:strRef>
          </c:tx>
          <c:spPr>
            <a:solidFill>
              <a:schemeClr val="accent5">
                <a:lumMod val="75000"/>
              </a:schemeClr>
            </a:solidFill>
            <a:ln>
              <a:solidFill>
                <a:schemeClr val="bg1">
                  <a:lumMod val="85000"/>
                </a:schemeClr>
              </a:solidFill>
            </a:ln>
            <a:effectLst>
              <a:outerShdw blurRad="50800" dist="38100" dir="2700000" algn="tl" rotWithShape="0">
                <a:prstClr val="black">
                  <a:alpha val="40000"/>
                </a:prstClr>
              </a:outerShdw>
            </a:effectLst>
          </c:spPr>
          <c:invertIfNegative val="0"/>
          <c:dLbls>
            <c:dLbl>
              <c:idx val="3"/>
              <c:delete val="1"/>
              <c:extLst xmlns:c16r2="http://schemas.microsoft.com/office/drawing/2015/06/chart">
                <c:ext xmlns:c16="http://schemas.microsoft.com/office/drawing/2014/chart" uri="{C3380CC4-5D6E-409C-BE32-E72D297353CC}">
                  <c16:uniqueId val="{00000000-9BB2-4046-89E2-D462ABBD6CA6}"/>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1-9BB2-4046-89E2-D462ABBD6CA6}"/>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2-9BB2-4046-89E2-D462ABBD6CA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Διαγράμματα!$B$37:$G$37</c:f>
              <c:strCache>
                <c:ptCount val="6"/>
                <c:pt idx="0">
                  <c:v>Προϋπολογισμός (με βάση την 1η Αναθεώρηση)</c:v>
                </c:pt>
                <c:pt idx="1">
                  <c:v>Εξειδίκευση</c:v>
                </c:pt>
                <c:pt idx="2">
                  <c:v>Π/Υ Προσκλήσεων</c:v>
                </c:pt>
                <c:pt idx="3">
                  <c:v>Π/Υ Εντάξεων</c:v>
                </c:pt>
                <c:pt idx="4">
                  <c:v>Νομικές Δεσμεύσεις</c:v>
                </c:pt>
                <c:pt idx="5">
                  <c:v>Πιστοποιημένες Δαπάνες</c:v>
                </c:pt>
              </c:strCache>
            </c:strRef>
          </c:cat>
          <c:val>
            <c:numRef>
              <c:f>Διαγράμματα!$B$38:$G$38</c:f>
              <c:numCache>
                <c:formatCode>0.00</c:formatCode>
                <c:ptCount val="6"/>
                <c:pt idx="0">
                  <c:v>12</c:v>
                </c:pt>
                <c:pt idx="1">
                  <c:v>5.21</c:v>
                </c:pt>
                <c:pt idx="2">
                  <c:v>5</c:v>
                </c:pt>
                <c:pt idx="3">
                  <c:v>0</c:v>
                </c:pt>
                <c:pt idx="4">
                  <c:v>0</c:v>
                </c:pt>
                <c:pt idx="5">
                  <c:v>0</c:v>
                </c:pt>
              </c:numCache>
            </c:numRef>
          </c:val>
          <c:extLst xmlns:c16r2="http://schemas.microsoft.com/office/drawing/2015/06/chart">
            <c:ext xmlns:c16="http://schemas.microsoft.com/office/drawing/2014/chart" uri="{C3380CC4-5D6E-409C-BE32-E72D297353CC}">
              <c16:uniqueId val="{00000003-9BB2-4046-89E2-D462ABBD6CA6}"/>
            </c:ext>
          </c:extLst>
        </c:ser>
        <c:ser>
          <c:idx val="1"/>
          <c:order val="1"/>
          <c:tx>
            <c:strRef>
              <c:f>Διαγράμματα!$A$39</c:f>
              <c:strCache>
                <c:ptCount val="1"/>
                <c:pt idx="0">
                  <c:v>Γ.2</c:v>
                </c:pt>
              </c:strCache>
            </c:strRef>
          </c:tx>
          <c:spPr>
            <a:solidFill>
              <a:schemeClr val="accent5">
                <a:lumMod val="40000"/>
                <a:lumOff val="60000"/>
              </a:schemeClr>
            </a:solidFill>
            <a:ln>
              <a:solidFill>
                <a:schemeClr val="bg1">
                  <a:lumMod val="85000"/>
                </a:schemeClr>
              </a:solidFill>
            </a:ln>
            <a:effectLst>
              <a:outerShdw blurRad="50800" dist="38100" dir="2700000" algn="tl" rotWithShape="0">
                <a:prstClr val="black">
                  <a:alpha val="40000"/>
                </a:prstClr>
              </a:outerShdw>
            </a:effectLst>
          </c:spPr>
          <c:invertIfNegative val="0"/>
          <c:dLbls>
            <c:dLbl>
              <c:idx val="5"/>
              <c:layout>
                <c:manualLayout>
                  <c:x val="-3.0045990499031712E-3"/>
                  <c:y val="5.4191695380738597E-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B2-4046-89E2-D462ABBD6CA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Διαγράμματα!$B$37:$G$37</c:f>
              <c:strCache>
                <c:ptCount val="6"/>
                <c:pt idx="0">
                  <c:v>Προϋπολογισμός (με βάση την 1η Αναθεώρηση)</c:v>
                </c:pt>
                <c:pt idx="1">
                  <c:v>Εξειδίκευση</c:v>
                </c:pt>
                <c:pt idx="2">
                  <c:v>Π/Υ Προσκλήσεων</c:v>
                </c:pt>
                <c:pt idx="3">
                  <c:v>Π/Υ Εντάξεων</c:v>
                </c:pt>
                <c:pt idx="4">
                  <c:v>Νομικές Δεσμεύσεις</c:v>
                </c:pt>
                <c:pt idx="5">
                  <c:v>Πιστοποιημένες Δαπάνες</c:v>
                </c:pt>
              </c:strCache>
            </c:strRef>
          </c:cat>
          <c:val>
            <c:numRef>
              <c:f>Διαγράμματα!$B$39:$G$39</c:f>
              <c:numCache>
                <c:formatCode>0.00</c:formatCode>
                <c:ptCount val="6"/>
                <c:pt idx="0">
                  <c:v>102.34299900000001</c:v>
                </c:pt>
                <c:pt idx="1">
                  <c:v>102.5639611</c:v>
                </c:pt>
                <c:pt idx="2">
                  <c:v>90.230391999999995</c:v>
                </c:pt>
                <c:pt idx="3">
                  <c:v>80.671181799999999</c:v>
                </c:pt>
                <c:pt idx="4">
                  <c:v>61.00337811</c:v>
                </c:pt>
                <c:pt idx="5">
                  <c:v>41.147157129999997</c:v>
                </c:pt>
              </c:numCache>
            </c:numRef>
          </c:val>
          <c:extLst xmlns:c16r2="http://schemas.microsoft.com/office/drawing/2015/06/chart">
            <c:ext xmlns:c16="http://schemas.microsoft.com/office/drawing/2014/chart" uri="{C3380CC4-5D6E-409C-BE32-E72D297353CC}">
              <c16:uniqueId val="{00000005-9BB2-4046-89E2-D462ABBD6CA6}"/>
            </c:ext>
          </c:extLst>
        </c:ser>
        <c:dLbls>
          <c:showLegendKey val="0"/>
          <c:showVal val="1"/>
          <c:showCatName val="0"/>
          <c:showSerName val="0"/>
          <c:showPercent val="0"/>
          <c:showBubbleSize val="0"/>
        </c:dLbls>
        <c:gapWidth val="150"/>
        <c:overlap val="100"/>
        <c:axId val="522614480"/>
        <c:axId val="522614872"/>
      </c:barChart>
      <c:catAx>
        <c:axId val="522614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l-GR"/>
          </a:p>
        </c:txPr>
        <c:crossAx val="522614872"/>
        <c:crosses val="autoZero"/>
        <c:auto val="1"/>
        <c:lblAlgn val="ctr"/>
        <c:lblOffset val="100"/>
        <c:noMultiLvlLbl val="0"/>
      </c:catAx>
      <c:valAx>
        <c:axId val="522614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εκ. €</a:t>
                </a:r>
              </a:p>
            </c:rich>
          </c:tx>
          <c:layout>
            <c:manualLayout>
              <c:xMode val="edge"/>
              <c:yMode val="edge"/>
              <c:x val="1.1025358324145534E-2"/>
              <c:y val="0.3793395337777899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l-GR"/>
          </a:p>
        </c:txPr>
        <c:crossAx val="522614480"/>
        <c:crosses val="autoZero"/>
        <c:crossBetween val="between"/>
      </c:valAx>
      <c:spPr>
        <a:noFill/>
        <a:ln>
          <a:solidFill>
            <a:schemeClr val="bg1">
              <a:lumMod val="85000"/>
            </a:schemeClr>
          </a:solidFill>
        </a:ln>
        <a:effectLst/>
      </c:spPr>
    </c:plotArea>
    <c:legend>
      <c:legendPos val="b"/>
      <c:layout>
        <c:manualLayout>
          <c:xMode val="edge"/>
          <c:yMode val="edge"/>
          <c:x val="0.83130789515148729"/>
          <c:y val="5.4799040922567384E-2"/>
          <c:w val="0.13340065814012936"/>
          <c:h val="6.9131184546592936E-2"/>
        </c:manualLayout>
      </c:layout>
      <c:overlay val="0"/>
      <c:spPr>
        <a:solidFill>
          <a:schemeClr val="bg1">
            <a:lumMod val="95000"/>
          </a:schemeClr>
        </a:solidFill>
        <a:ln>
          <a:solidFill>
            <a:schemeClr val="accent5">
              <a:lumMod val="40000"/>
              <a:lumOff val="60000"/>
            </a:schemeClr>
          </a:solid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5.6139537505348718E-2"/>
          <c:y val="5.0569194819257514E-2"/>
          <c:w val="0.93886117830365701"/>
          <c:h val="0.75302964156328767"/>
        </c:manualLayout>
      </c:layout>
      <c:barChart>
        <c:barDir val="col"/>
        <c:grouping val="stacked"/>
        <c:varyColors val="0"/>
        <c:ser>
          <c:idx val="0"/>
          <c:order val="0"/>
          <c:tx>
            <c:strRef>
              <c:f>Διαγράμματα!$A$57</c:f>
              <c:strCache>
                <c:ptCount val="1"/>
                <c:pt idx="0">
                  <c:v>Δ.1.1</c:v>
                </c:pt>
              </c:strCache>
            </c:strRef>
          </c:tx>
          <c:spPr>
            <a:solidFill>
              <a:schemeClr val="accent5">
                <a:shade val="65000"/>
              </a:schemeClr>
            </a:solidFill>
            <a:ln>
              <a:solidFill>
                <a:schemeClr val="bg1">
                  <a:lumMod val="85000"/>
                </a:schemeClr>
              </a:solidFill>
            </a:ln>
            <a:effectLst>
              <a:outerShdw blurRad="50800" dist="38100" dir="2700000" algn="tl" rotWithShape="0">
                <a:prstClr val="black">
                  <a:alpha val="40000"/>
                </a:prstClr>
              </a:outerShdw>
            </a:effectLst>
          </c:spPr>
          <c:invertIfNegative val="0"/>
          <c:dLbls>
            <c:dLbl>
              <c:idx val="5"/>
              <c:layout>
                <c:manualLayout>
                  <c:x val="-5.2271062835207938E-2"/>
                  <c:y val="-6.3242838806702251E-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l-GR"/>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7EF-4154-8B3F-40D44904B83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l-G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Διαγράμματα!$B$55:$G$55</c:f>
              <c:strCache>
                <c:ptCount val="6"/>
                <c:pt idx="0">
                  <c:v>Προϋπολογισμός (με βάση την 1η Αναθεώρηση)</c:v>
                </c:pt>
                <c:pt idx="1">
                  <c:v>Εξειδίκευση</c:v>
                </c:pt>
                <c:pt idx="2">
                  <c:v>Π/Υ Προσκλήσεων</c:v>
                </c:pt>
                <c:pt idx="3">
                  <c:v>Π/Υ Εντάξεων</c:v>
                </c:pt>
                <c:pt idx="4">
                  <c:v>Νομικές Δεσμεύσεις</c:v>
                </c:pt>
                <c:pt idx="5">
                  <c:v>Πιστοποιημένες Δαπάνες</c:v>
                </c:pt>
              </c:strCache>
            </c:strRef>
          </c:cat>
          <c:val>
            <c:numRef>
              <c:f>Διαγράμματα!$B$57:$G$57</c:f>
              <c:numCache>
                <c:formatCode>0.00</c:formatCode>
                <c:ptCount val="6"/>
                <c:pt idx="0">
                  <c:v>2.3773309999999999</c:v>
                </c:pt>
                <c:pt idx="1">
                  <c:v>1.91916</c:v>
                </c:pt>
                <c:pt idx="2">
                  <c:v>1.3837229900000001</c:v>
                </c:pt>
                <c:pt idx="3">
                  <c:v>0.83828071000000004</c:v>
                </c:pt>
                <c:pt idx="4">
                  <c:v>0.64343397000000002</c:v>
                </c:pt>
                <c:pt idx="5">
                  <c:v>0.16684259000000001</c:v>
                </c:pt>
              </c:numCache>
            </c:numRef>
          </c:val>
          <c:extLst xmlns:c16r2="http://schemas.microsoft.com/office/drawing/2015/06/chart">
            <c:ext xmlns:c16="http://schemas.microsoft.com/office/drawing/2014/chart" uri="{C3380CC4-5D6E-409C-BE32-E72D297353CC}">
              <c16:uniqueId val="{00000001-67EF-4154-8B3F-40D44904B836}"/>
            </c:ext>
          </c:extLst>
        </c:ser>
        <c:ser>
          <c:idx val="1"/>
          <c:order val="1"/>
          <c:tx>
            <c:strRef>
              <c:f>Διαγράμματα!$A$58</c:f>
              <c:strCache>
                <c:ptCount val="1"/>
                <c:pt idx="0">
                  <c:v>Δ.1.2</c:v>
                </c:pt>
              </c:strCache>
            </c:strRef>
          </c:tx>
          <c:spPr>
            <a:solidFill>
              <a:srgbClr val="8AC9DA"/>
            </a:solidFill>
            <a:ln>
              <a:solidFill>
                <a:schemeClr val="bg1">
                  <a:lumMod val="85000"/>
                </a:schemeClr>
              </a:solidFill>
            </a:ln>
            <a:effectLst>
              <a:outerShdw blurRad="50800" dist="38100" dir="2700000" algn="tl" rotWithShape="0">
                <a:prstClr val="black">
                  <a:alpha val="40000"/>
                </a:prstClr>
              </a:outerShdw>
            </a:effectLst>
          </c:spPr>
          <c:invertIfNegative val="0"/>
          <c:dLbls>
            <c:dLbl>
              <c:idx val="3"/>
              <c:layout>
                <c:manualLayout>
                  <c:x val="6.0701879421531803E-2"/>
                  <c:y val="3.1621419403351126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7EF-4154-8B3F-40D44904B836}"/>
                </c:ext>
                <c:ext xmlns:c15="http://schemas.microsoft.com/office/drawing/2012/chart" uri="{CE6537A1-D6FC-4f65-9D91-7224C49458BB}"/>
              </c:extLst>
            </c:dLbl>
            <c:dLbl>
              <c:idx val="4"/>
              <c:layout>
                <c:manualLayout>
                  <c:x val="5.3957226152472712E-2"/>
                  <c:y val="3.1621419403351126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7EF-4154-8B3F-40D44904B836}"/>
                </c:ext>
                <c:ext xmlns:c15="http://schemas.microsoft.com/office/drawing/2012/chart" uri="{CE6537A1-D6FC-4f65-9D91-7224C49458BB}"/>
              </c:extLst>
            </c:dLbl>
            <c:dLbl>
              <c:idx val="5"/>
              <c:layout>
                <c:manualLayout>
                  <c:x val="5.2271062835207938E-2"/>
                  <c:y val="-6.3242838806702251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7EF-4154-8B3F-40D44904B83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l-G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Διαγράμματα!$B$55:$G$55</c:f>
              <c:strCache>
                <c:ptCount val="6"/>
                <c:pt idx="0">
                  <c:v>Προϋπολογισμός (με βάση την 1η Αναθεώρηση)</c:v>
                </c:pt>
                <c:pt idx="1">
                  <c:v>Εξειδίκευση</c:v>
                </c:pt>
                <c:pt idx="2">
                  <c:v>Π/Υ Προσκλήσεων</c:v>
                </c:pt>
                <c:pt idx="3">
                  <c:v>Π/Υ Εντάξεων</c:v>
                </c:pt>
                <c:pt idx="4">
                  <c:v>Νομικές Δεσμεύσεις</c:v>
                </c:pt>
                <c:pt idx="5">
                  <c:v>Πιστοποιημένες Δαπάνες</c:v>
                </c:pt>
              </c:strCache>
            </c:strRef>
          </c:cat>
          <c:val>
            <c:numRef>
              <c:f>Διαγράμματα!$B$58:$G$58</c:f>
              <c:numCache>
                <c:formatCode>0.00</c:formatCode>
                <c:ptCount val="6"/>
                <c:pt idx="0">
                  <c:v>1.592595</c:v>
                </c:pt>
                <c:pt idx="1">
                  <c:v>0.79964999999999997</c:v>
                </c:pt>
                <c:pt idx="2">
                  <c:v>0.27761200000000003</c:v>
                </c:pt>
                <c:pt idx="3">
                  <c:v>0.19372300000000001</c:v>
                </c:pt>
                <c:pt idx="4">
                  <c:v>0.11369899999999999</c:v>
                </c:pt>
                <c:pt idx="5">
                  <c:v>7.5741759999999991E-2</c:v>
                </c:pt>
              </c:numCache>
            </c:numRef>
          </c:val>
          <c:extLst xmlns:c16r2="http://schemas.microsoft.com/office/drawing/2015/06/chart">
            <c:ext xmlns:c16="http://schemas.microsoft.com/office/drawing/2014/chart" uri="{C3380CC4-5D6E-409C-BE32-E72D297353CC}">
              <c16:uniqueId val="{00000005-67EF-4154-8B3F-40D44904B836}"/>
            </c:ext>
          </c:extLst>
        </c:ser>
        <c:ser>
          <c:idx val="2"/>
          <c:order val="2"/>
          <c:tx>
            <c:strRef>
              <c:f>Διαγράμματα!$A$59</c:f>
              <c:strCache>
                <c:ptCount val="1"/>
                <c:pt idx="0">
                  <c:v>Δ.1.3</c:v>
                </c:pt>
              </c:strCache>
            </c:strRef>
          </c:tx>
          <c:spPr>
            <a:solidFill>
              <a:srgbClr val="DBF7F7"/>
            </a:solidFill>
            <a:ln>
              <a:solidFill>
                <a:schemeClr val="bg1">
                  <a:lumMod val="85000"/>
                </a:schemeClr>
              </a:solidFill>
            </a:ln>
            <a:effectLst>
              <a:outerShdw blurRad="50800" dist="38100" dir="2700000" algn="tl" rotWithShape="0">
                <a:prstClr val="black">
                  <a:alpha val="40000"/>
                </a:prstClr>
              </a:outerShdw>
            </a:effectLst>
          </c:spPr>
          <c:invertIfNegative val="0"/>
          <c:dLbls>
            <c:dLbl>
              <c:idx val="4"/>
              <c:layout>
                <c:manualLayout>
                  <c:x val="1.6861633172647723E-3"/>
                  <c:y val="-4.426998716469157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7EF-4154-8B3F-40D44904B836}"/>
                </c:ext>
                <c:ext xmlns:c15="http://schemas.microsoft.com/office/drawing/2012/chart" uri="{CE6537A1-D6FC-4f65-9D91-7224C49458BB}"/>
              </c:extLst>
            </c:dLbl>
            <c:dLbl>
              <c:idx val="5"/>
              <c:layout>
                <c:manualLayout>
                  <c:x val="1.6861633172647723E-3"/>
                  <c:y val="-4.110784522435646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7EF-4154-8B3F-40D44904B83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l-G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Διαγράμματα!$B$55:$G$55</c:f>
              <c:strCache>
                <c:ptCount val="6"/>
                <c:pt idx="0">
                  <c:v>Προϋπολογισμός (με βάση την 1η Αναθεώρηση)</c:v>
                </c:pt>
                <c:pt idx="1">
                  <c:v>Εξειδίκευση</c:v>
                </c:pt>
                <c:pt idx="2">
                  <c:v>Π/Υ Προσκλήσεων</c:v>
                </c:pt>
                <c:pt idx="3">
                  <c:v>Π/Υ Εντάξεων</c:v>
                </c:pt>
                <c:pt idx="4">
                  <c:v>Νομικές Δεσμεύσεις</c:v>
                </c:pt>
                <c:pt idx="5">
                  <c:v>Πιστοποιημένες Δαπάνες</c:v>
                </c:pt>
              </c:strCache>
            </c:strRef>
          </c:cat>
          <c:val>
            <c:numRef>
              <c:f>Διαγράμματα!$B$59:$G$59</c:f>
              <c:numCache>
                <c:formatCode>0.00</c:formatCode>
                <c:ptCount val="6"/>
                <c:pt idx="0">
                  <c:v>3.4236460000000002</c:v>
                </c:pt>
                <c:pt idx="1">
                  <c:v>1.2521191599999999</c:v>
                </c:pt>
                <c:pt idx="2">
                  <c:v>0.89492400000000005</c:v>
                </c:pt>
                <c:pt idx="3">
                  <c:v>0.54006642999999999</c:v>
                </c:pt>
                <c:pt idx="4">
                  <c:v>0.26019999999999999</c:v>
                </c:pt>
                <c:pt idx="5">
                  <c:v>0.23064000000000001</c:v>
                </c:pt>
              </c:numCache>
            </c:numRef>
          </c:val>
          <c:extLst xmlns:c16r2="http://schemas.microsoft.com/office/drawing/2015/06/chart">
            <c:ext xmlns:c16="http://schemas.microsoft.com/office/drawing/2014/chart" uri="{C3380CC4-5D6E-409C-BE32-E72D297353CC}">
              <c16:uniqueId val="{00000008-67EF-4154-8B3F-40D44904B836}"/>
            </c:ext>
          </c:extLst>
        </c:ser>
        <c:dLbls>
          <c:dLblPos val="ctr"/>
          <c:showLegendKey val="0"/>
          <c:showVal val="1"/>
          <c:showCatName val="0"/>
          <c:showSerName val="0"/>
          <c:showPercent val="0"/>
          <c:showBubbleSize val="0"/>
        </c:dLbls>
        <c:gapWidth val="150"/>
        <c:overlap val="100"/>
        <c:axId val="415688832"/>
        <c:axId val="415686088"/>
      </c:barChart>
      <c:catAx>
        <c:axId val="415688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15686088"/>
        <c:crosses val="autoZero"/>
        <c:auto val="1"/>
        <c:lblAlgn val="ctr"/>
        <c:lblOffset val="100"/>
        <c:noMultiLvlLbl val="0"/>
      </c:catAx>
      <c:valAx>
        <c:axId val="415686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εκ. €</a:t>
                </a:r>
              </a:p>
            </c:rich>
          </c:tx>
          <c:layout>
            <c:manualLayout>
              <c:xMode val="edge"/>
              <c:yMode val="edge"/>
              <c:x val="6.7599819183790733E-3"/>
              <c:y val="0.3704606237016581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15688832"/>
        <c:crosses val="autoZero"/>
        <c:crossBetween val="between"/>
      </c:valAx>
      <c:spPr>
        <a:noFill/>
        <a:ln>
          <a:solidFill>
            <a:schemeClr val="bg1">
              <a:lumMod val="85000"/>
            </a:schemeClr>
          </a:solidFill>
        </a:ln>
        <a:effectLst/>
      </c:spPr>
    </c:plotArea>
    <c:legend>
      <c:legendPos val="b"/>
      <c:layout>
        <c:manualLayout>
          <c:xMode val="edge"/>
          <c:yMode val="edge"/>
          <c:x val="0.73768154945350706"/>
          <c:y val="7.1403496729782995E-2"/>
          <c:w val="0.24025748986448359"/>
          <c:h val="5.2526777863850453E-2"/>
        </c:manualLayout>
      </c:layout>
      <c:overlay val="0"/>
      <c:spPr>
        <a:solidFill>
          <a:schemeClr val="bg1">
            <a:lumMod val="95000"/>
          </a:schemeClr>
        </a:solidFill>
        <a:ln>
          <a:solidFill>
            <a:schemeClr val="accent5">
              <a:lumMod val="40000"/>
              <a:lumOff val="60000"/>
            </a:schemeClr>
          </a:solid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8.0395350250457936E-2"/>
          <c:y val="5.0569194819257514E-2"/>
          <c:w val="0.91460538766722521"/>
          <c:h val="0.75302964156328767"/>
        </c:manualLayout>
      </c:layout>
      <c:barChart>
        <c:barDir val="col"/>
        <c:grouping val="stacked"/>
        <c:varyColors val="0"/>
        <c:ser>
          <c:idx val="0"/>
          <c:order val="0"/>
          <c:tx>
            <c:strRef>
              <c:f>Διαγράμματα!$A$79</c:f>
              <c:strCache>
                <c:ptCount val="1"/>
                <c:pt idx="0">
                  <c:v>Ε.1.1</c:v>
                </c:pt>
              </c:strCache>
            </c:strRef>
          </c:tx>
          <c:spPr>
            <a:solidFill>
              <a:schemeClr val="accent5">
                <a:shade val="65000"/>
              </a:schemeClr>
            </a:solidFill>
            <a:ln>
              <a:solidFill>
                <a:schemeClr val="bg1">
                  <a:lumMod val="85000"/>
                </a:schemeClr>
              </a:solidFill>
            </a:ln>
            <a:effectLst>
              <a:outerShdw blurRad="50800" dist="38100" dir="2700000" algn="tl" rotWithShape="0">
                <a:prstClr val="black">
                  <a:alpha val="40000"/>
                </a:prstClr>
              </a:outerShdw>
            </a:effectLst>
          </c:spPr>
          <c:invertIfNegative val="0"/>
          <c:dLbls>
            <c:dLbl>
              <c:idx val="5"/>
              <c:delete val="1"/>
              <c:extLst xmlns:c16r2="http://schemas.microsoft.com/office/drawing/2015/06/chart">
                <c:ext xmlns:c16="http://schemas.microsoft.com/office/drawing/2014/chart" uri="{C3380CC4-5D6E-409C-BE32-E72D297353CC}">
                  <c16:uniqueId val="{00000000-3148-4629-974B-A17A0691FAE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l-G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Διαγράμματα!$B$77:$G$77</c:f>
              <c:strCache>
                <c:ptCount val="6"/>
                <c:pt idx="0">
                  <c:v>Προϋπολογισμός (με βάση την 1η Αναθεώρηση)</c:v>
                </c:pt>
                <c:pt idx="1">
                  <c:v>Εξειδίκευση</c:v>
                </c:pt>
                <c:pt idx="2">
                  <c:v>Π/Υ Προσκλήσεων</c:v>
                </c:pt>
                <c:pt idx="3">
                  <c:v>Π/Υ Εντάξεων</c:v>
                </c:pt>
                <c:pt idx="4">
                  <c:v>Νομικές Δεσμεύσεις</c:v>
                </c:pt>
                <c:pt idx="5">
                  <c:v>Πιστοποιημένες Δαπάνες</c:v>
                </c:pt>
              </c:strCache>
            </c:strRef>
          </c:cat>
          <c:val>
            <c:numRef>
              <c:f>Διαγράμματα!$B$79:$G$79</c:f>
              <c:numCache>
                <c:formatCode>0.00</c:formatCode>
                <c:ptCount val="6"/>
                <c:pt idx="0">
                  <c:v>1.394609</c:v>
                </c:pt>
                <c:pt idx="1">
                  <c:v>1.6808399999999999</c:v>
                </c:pt>
                <c:pt idx="2">
                  <c:v>1.26718401</c:v>
                </c:pt>
                <c:pt idx="3">
                  <c:v>0.32194879999999998</c:v>
                </c:pt>
                <c:pt idx="4">
                  <c:v>0.14050022999999998</c:v>
                </c:pt>
                <c:pt idx="5">
                  <c:v>0</c:v>
                </c:pt>
              </c:numCache>
            </c:numRef>
          </c:val>
          <c:extLst xmlns:c16r2="http://schemas.microsoft.com/office/drawing/2015/06/chart">
            <c:ext xmlns:c16="http://schemas.microsoft.com/office/drawing/2014/chart" uri="{C3380CC4-5D6E-409C-BE32-E72D297353CC}">
              <c16:uniqueId val="{00000001-3148-4629-974B-A17A0691FAEA}"/>
            </c:ext>
          </c:extLst>
        </c:ser>
        <c:ser>
          <c:idx val="1"/>
          <c:order val="1"/>
          <c:tx>
            <c:strRef>
              <c:f>Διαγράμματα!$A$80</c:f>
              <c:strCache>
                <c:ptCount val="1"/>
                <c:pt idx="0">
                  <c:v>Ε.1.2</c:v>
                </c:pt>
              </c:strCache>
            </c:strRef>
          </c:tx>
          <c:spPr>
            <a:solidFill>
              <a:srgbClr val="8AC9DA"/>
            </a:solidFill>
            <a:ln>
              <a:solidFill>
                <a:schemeClr val="bg1"/>
              </a:solidFill>
            </a:ln>
            <a:effectLst>
              <a:outerShdw blurRad="50800" dist="38100" dir="2700000" algn="tl" rotWithShape="0">
                <a:prstClr val="black">
                  <a:alpha val="40000"/>
                </a:prstClr>
              </a:outerShdw>
            </a:effectLst>
          </c:spPr>
          <c:invertIfNegative val="0"/>
          <c:dLbls>
            <c:dLbl>
              <c:idx val="3"/>
              <c:layout>
                <c:manualLayout>
                  <c:x val="5.2921719955898651E-2"/>
                  <c:y val="-4.0849673202614381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148-4629-974B-A17A0691FAEA}"/>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3-3148-4629-974B-A17A0691FAE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l-G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Διαγράμματα!$B$77:$G$77</c:f>
              <c:strCache>
                <c:ptCount val="6"/>
                <c:pt idx="0">
                  <c:v>Προϋπολογισμός (με βάση την 1η Αναθεώρηση)</c:v>
                </c:pt>
                <c:pt idx="1">
                  <c:v>Εξειδίκευση</c:v>
                </c:pt>
                <c:pt idx="2">
                  <c:v>Π/Υ Προσκλήσεων</c:v>
                </c:pt>
                <c:pt idx="3">
                  <c:v>Π/Υ Εντάξεων</c:v>
                </c:pt>
                <c:pt idx="4">
                  <c:v>Νομικές Δεσμεύσεις</c:v>
                </c:pt>
                <c:pt idx="5">
                  <c:v>Πιστοποιημένες Δαπάνες</c:v>
                </c:pt>
              </c:strCache>
            </c:strRef>
          </c:cat>
          <c:val>
            <c:numRef>
              <c:f>Διαγράμματα!$B$80:$G$80</c:f>
              <c:numCache>
                <c:formatCode>0.00</c:formatCode>
                <c:ptCount val="6"/>
                <c:pt idx="0">
                  <c:v>1.3946080000000001</c:v>
                </c:pt>
                <c:pt idx="1">
                  <c:v>0.70035000000000003</c:v>
                </c:pt>
                <c:pt idx="2">
                  <c:v>0.22089800000000004</c:v>
                </c:pt>
                <c:pt idx="3">
                  <c:v>2.7841999999999999E-2</c:v>
                </c:pt>
                <c:pt idx="4">
                  <c:v>0</c:v>
                </c:pt>
                <c:pt idx="5">
                  <c:v>0</c:v>
                </c:pt>
              </c:numCache>
            </c:numRef>
          </c:val>
          <c:extLst xmlns:c16r2="http://schemas.microsoft.com/office/drawing/2015/06/chart">
            <c:ext xmlns:c16="http://schemas.microsoft.com/office/drawing/2014/chart" uri="{C3380CC4-5D6E-409C-BE32-E72D297353CC}">
              <c16:uniqueId val="{00000004-3148-4629-974B-A17A0691FAEA}"/>
            </c:ext>
          </c:extLst>
        </c:ser>
        <c:ser>
          <c:idx val="2"/>
          <c:order val="2"/>
          <c:tx>
            <c:strRef>
              <c:f>Διαγράμματα!$A$81</c:f>
              <c:strCache>
                <c:ptCount val="1"/>
                <c:pt idx="0">
                  <c:v>Ε.1.3</c:v>
                </c:pt>
              </c:strCache>
            </c:strRef>
          </c:tx>
          <c:spPr>
            <a:solidFill>
              <a:srgbClr val="DBF7F7"/>
            </a:solidFill>
            <a:ln>
              <a:solidFill>
                <a:schemeClr val="bg1"/>
              </a:solidFill>
            </a:ln>
            <a:effectLst>
              <a:outerShdw blurRad="50800" dist="38100" dir="2700000" algn="tl" rotWithShape="0">
                <a:prstClr val="black">
                  <a:alpha val="40000"/>
                </a:prstClr>
              </a:outerShdw>
            </a:effectLst>
          </c:spPr>
          <c:invertIfNegative val="0"/>
          <c:dLbls>
            <c:dLbl>
              <c:idx val="3"/>
              <c:layout>
                <c:manualLayout>
                  <c:x val="4.4101433296582946E-3"/>
                  <c:y val="-4.4934640522875817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148-4629-974B-A17A0691FAEA}"/>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6-3148-4629-974B-A17A0691FAEA}"/>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7-3148-4629-974B-A17A0691FAE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l-G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Διαγράμματα!$B$77:$G$77</c:f>
              <c:strCache>
                <c:ptCount val="6"/>
                <c:pt idx="0">
                  <c:v>Προϋπολογισμός (με βάση την 1η Αναθεώρηση)</c:v>
                </c:pt>
                <c:pt idx="1">
                  <c:v>Εξειδίκευση</c:v>
                </c:pt>
                <c:pt idx="2">
                  <c:v>Π/Υ Προσκλήσεων</c:v>
                </c:pt>
                <c:pt idx="3">
                  <c:v>Π/Υ Εντάξεων</c:v>
                </c:pt>
                <c:pt idx="4">
                  <c:v>Νομικές Δεσμεύσεις</c:v>
                </c:pt>
                <c:pt idx="5">
                  <c:v>Πιστοποιημένες Δαπάνες</c:v>
                </c:pt>
              </c:strCache>
            </c:strRef>
          </c:cat>
          <c:val>
            <c:numRef>
              <c:f>Διαγράμματα!$B$81:$G$81</c:f>
              <c:numCache>
                <c:formatCode>0.00</c:formatCode>
                <c:ptCount val="6"/>
                <c:pt idx="0">
                  <c:v>1.394609</c:v>
                </c:pt>
                <c:pt idx="1">
                  <c:v>1.0966318400000001</c:v>
                </c:pt>
                <c:pt idx="2">
                  <c:v>0.74942200000000014</c:v>
                </c:pt>
                <c:pt idx="3">
                  <c:v>0.21604403</c:v>
                </c:pt>
                <c:pt idx="4">
                  <c:v>0</c:v>
                </c:pt>
                <c:pt idx="5">
                  <c:v>0</c:v>
                </c:pt>
              </c:numCache>
            </c:numRef>
          </c:val>
          <c:extLst xmlns:c16r2="http://schemas.microsoft.com/office/drawing/2015/06/chart">
            <c:ext xmlns:c16="http://schemas.microsoft.com/office/drawing/2014/chart" uri="{C3380CC4-5D6E-409C-BE32-E72D297353CC}">
              <c16:uniqueId val="{00000008-3148-4629-974B-A17A0691FAEA}"/>
            </c:ext>
          </c:extLst>
        </c:ser>
        <c:dLbls>
          <c:dLblPos val="ctr"/>
          <c:showLegendKey val="0"/>
          <c:showVal val="1"/>
          <c:showCatName val="0"/>
          <c:showSerName val="0"/>
          <c:showPercent val="0"/>
          <c:showBubbleSize val="0"/>
        </c:dLbls>
        <c:gapWidth val="150"/>
        <c:overlap val="100"/>
        <c:axId val="415687264"/>
        <c:axId val="581954824"/>
      </c:barChart>
      <c:catAx>
        <c:axId val="415687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581954824"/>
        <c:crosses val="autoZero"/>
        <c:auto val="1"/>
        <c:lblAlgn val="ctr"/>
        <c:lblOffset val="100"/>
        <c:noMultiLvlLbl val="0"/>
      </c:catAx>
      <c:valAx>
        <c:axId val="581954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εκ. €</a:t>
                </a:r>
              </a:p>
            </c:rich>
          </c:tx>
          <c:layout>
            <c:manualLayout>
              <c:xMode val="edge"/>
              <c:yMode val="edge"/>
              <c:x val="6.7599819183790733E-3"/>
              <c:y val="0.3704606237016581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l-GR"/>
          </a:p>
        </c:txPr>
        <c:crossAx val="415687264"/>
        <c:crosses val="autoZero"/>
        <c:crossBetween val="between"/>
      </c:valAx>
      <c:spPr>
        <a:noFill/>
        <a:ln>
          <a:solidFill>
            <a:schemeClr val="bg1">
              <a:lumMod val="85000"/>
            </a:schemeClr>
          </a:solidFill>
        </a:ln>
        <a:effectLst/>
      </c:spPr>
    </c:plotArea>
    <c:legend>
      <c:legendPos val="b"/>
      <c:layout>
        <c:manualLayout>
          <c:xMode val="edge"/>
          <c:yMode val="edge"/>
          <c:x val="0.77957791108525987"/>
          <c:y val="6.296896711440482E-2"/>
          <c:w val="0.19999045047704209"/>
          <c:h val="5.3243690364068154E-2"/>
        </c:manualLayout>
      </c:layout>
      <c:overlay val="0"/>
      <c:spPr>
        <a:solidFill>
          <a:schemeClr val="bg1">
            <a:lumMod val="95000"/>
          </a:schemeClr>
        </a:solidFill>
        <a:ln>
          <a:solidFill>
            <a:schemeClr val="accent5">
              <a:lumMod val="40000"/>
              <a:lumOff val="60000"/>
            </a:schemeClr>
          </a:solid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l-G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255788313120176E-2"/>
          <c:y val="4.3307086614173228E-2"/>
          <c:w val="0.9691289966923925"/>
          <c:h val="0.84698586397172793"/>
        </c:manualLayout>
      </c:layout>
      <c:barChart>
        <c:barDir val="col"/>
        <c:grouping val="clustered"/>
        <c:varyColors val="0"/>
        <c:ser>
          <c:idx val="0"/>
          <c:order val="0"/>
          <c:tx>
            <c:strRef>
              <c:f>Διαγράμματα!$B$104</c:f>
              <c:strCache>
                <c:ptCount val="1"/>
                <c:pt idx="0">
                  <c:v>Προϋπολογισμός  (1η Αναθ.)</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solidFill>
                <a:schemeClr val="bg1"/>
              </a:solid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Διαγράμματα!$A$105:$A$107</c:f>
              <c:strCache>
                <c:ptCount val="3"/>
                <c:pt idx="0">
                  <c:v>Θεματικός Άξονας I</c:v>
                </c:pt>
                <c:pt idx="1">
                  <c:v>Θεματικός Άξονας II</c:v>
                </c:pt>
                <c:pt idx="2">
                  <c:v>Θεματικός Άξονας III</c:v>
                </c:pt>
              </c:strCache>
            </c:strRef>
          </c:cat>
          <c:val>
            <c:numRef>
              <c:f>Διαγράμματα!$B$105:$B$107</c:f>
              <c:numCache>
                <c:formatCode>0.0</c:formatCode>
                <c:ptCount val="3"/>
                <c:pt idx="0">
                  <c:v>167.24221499999999</c:v>
                </c:pt>
                <c:pt idx="1">
                  <c:v>223.13722200000001</c:v>
                </c:pt>
                <c:pt idx="2">
                  <c:v>114.34299900000001</c:v>
                </c:pt>
              </c:numCache>
            </c:numRef>
          </c:val>
          <c:extLst xmlns:c16r2="http://schemas.microsoft.com/office/drawing/2015/06/chart">
            <c:ext xmlns:c16="http://schemas.microsoft.com/office/drawing/2014/chart" uri="{C3380CC4-5D6E-409C-BE32-E72D297353CC}">
              <c16:uniqueId val="{00000000-73A1-422F-963D-80CC806A3691}"/>
            </c:ext>
          </c:extLst>
        </c:ser>
        <c:ser>
          <c:idx val="1"/>
          <c:order val="1"/>
          <c:tx>
            <c:strRef>
              <c:f>Διαγράμματα!$C$104</c:f>
              <c:strCache>
                <c:ptCount val="1"/>
                <c:pt idx="0">
                  <c:v>Εξειδίκευση</c:v>
                </c:pt>
              </c:strCache>
            </c:strRef>
          </c:tx>
          <c:spPr>
            <a:solidFill>
              <a:schemeClr val="accent6"/>
            </a:solidFill>
            <a:ln>
              <a:solidFill>
                <a:schemeClr val="bg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Διαγράμματα!$A$105:$A$107</c:f>
              <c:strCache>
                <c:ptCount val="3"/>
                <c:pt idx="0">
                  <c:v>Θεματικός Άξονας I</c:v>
                </c:pt>
                <c:pt idx="1">
                  <c:v>Θεματικός Άξονας II</c:v>
                </c:pt>
                <c:pt idx="2">
                  <c:v>Θεματικός Άξονας III</c:v>
                </c:pt>
              </c:strCache>
            </c:strRef>
          </c:cat>
          <c:val>
            <c:numRef>
              <c:f>Διαγράμματα!$C$105:$C$107</c:f>
              <c:numCache>
                <c:formatCode>0.0</c:formatCode>
                <c:ptCount val="3"/>
                <c:pt idx="0">
                  <c:v>130.52501859</c:v>
                </c:pt>
                <c:pt idx="1">
                  <c:v>303.05499388999999</c:v>
                </c:pt>
                <c:pt idx="2">
                  <c:v>107.77396109999999</c:v>
                </c:pt>
              </c:numCache>
            </c:numRef>
          </c:val>
          <c:extLst xmlns:c16r2="http://schemas.microsoft.com/office/drawing/2015/06/chart">
            <c:ext xmlns:c16="http://schemas.microsoft.com/office/drawing/2014/chart" uri="{C3380CC4-5D6E-409C-BE32-E72D297353CC}">
              <c16:uniqueId val="{00000001-73A1-422F-963D-80CC806A3691}"/>
            </c:ext>
          </c:extLst>
        </c:ser>
        <c:ser>
          <c:idx val="2"/>
          <c:order val="2"/>
          <c:tx>
            <c:strRef>
              <c:f>Διαγράμματα!$D$104</c:f>
              <c:strCache>
                <c:ptCount val="1"/>
                <c:pt idx="0">
                  <c:v>Π/Υ Προσκλήσεων</c:v>
                </c:pt>
              </c:strCache>
            </c:strRef>
          </c:tx>
          <c:spPr>
            <a:solidFill>
              <a:schemeClr val="accent4">
                <a:lumMod val="60000"/>
                <a:lumOff val="40000"/>
              </a:schemeClr>
            </a:solidFill>
            <a:ln>
              <a:solidFill>
                <a:schemeClr val="bg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Διαγράμματα!$A$105:$A$107</c:f>
              <c:strCache>
                <c:ptCount val="3"/>
                <c:pt idx="0">
                  <c:v>Θεματικός Άξονας I</c:v>
                </c:pt>
                <c:pt idx="1">
                  <c:v>Θεματικός Άξονας II</c:v>
                </c:pt>
                <c:pt idx="2">
                  <c:v>Θεματικός Άξονας III</c:v>
                </c:pt>
              </c:strCache>
            </c:strRef>
          </c:cat>
          <c:val>
            <c:numRef>
              <c:f>Διαγράμματα!$D$105:$D$107</c:f>
              <c:numCache>
                <c:formatCode>0.0</c:formatCode>
                <c:ptCount val="3"/>
                <c:pt idx="0">
                  <c:v>127.32230199999999</c:v>
                </c:pt>
                <c:pt idx="1">
                  <c:v>135.71886394000001</c:v>
                </c:pt>
                <c:pt idx="2">
                  <c:v>95.230391999999995</c:v>
                </c:pt>
              </c:numCache>
            </c:numRef>
          </c:val>
          <c:extLst xmlns:c16r2="http://schemas.microsoft.com/office/drawing/2015/06/chart">
            <c:ext xmlns:c16="http://schemas.microsoft.com/office/drawing/2014/chart" uri="{C3380CC4-5D6E-409C-BE32-E72D297353CC}">
              <c16:uniqueId val="{00000002-73A1-422F-963D-80CC806A3691}"/>
            </c:ext>
          </c:extLst>
        </c:ser>
        <c:ser>
          <c:idx val="3"/>
          <c:order val="3"/>
          <c:tx>
            <c:strRef>
              <c:f>Διαγράμματα!$E$104</c:f>
              <c:strCache>
                <c:ptCount val="1"/>
                <c:pt idx="0">
                  <c:v>Π/Υ Εντάξεων</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solidFill>
                <a:schemeClr val="bg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Διαγράμματα!$A$105:$A$107</c:f>
              <c:strCache>
                <c:ptCount val="3"/>
                <c:pt idx="0">
                  <c:v>Θεματικός Άξονας I</c:v>
                </c:pt>
                <c:pt idx="1">
                  <c:v>Θεματικός Άξονας II</c:v>
                </c:pt>
                <c:pt idx="2">
                  <c:v>Θεματικός Άξονας III</c:v>
                </c:pt>
              </c:strCache>
            </c:strRef>
          </c:cat>
          <c:val>
            <c:numRef>
              <c:f>Διαγράμματα!$E$105:$E$107</c:f>
              <c:numCache>
                <c:formatCode>0.0</c:formatCode>
                <c:ptCount val="3"/>
                <c:pt idx="0">
                  <c:v>90.283454739999996</c:v>
                </c:pt>
                <c:pt idx="1">
                  <c:v>69.726774739999996</c:v>
                </c:pt>
                <c:pt idx="2">
                  <c:v>80.671181800000014</c:v>
                </c:pt>
              </c:numCache>
            </c:numRef>
          </c:val>
          <c:extLst xmlns:c16r2="http://schemas.microsoft.com/office/drawing/2015/06/chart">
            <c:ext xmlns:c16="http://schemas.microsoft.com/office/drawing/2014/chart" uri="{C3380CC4-5D6E-409C-BE32-E72D297353CC}">
              <c16:uniqueId val="{00000003-73A1-422F-963D-80CC806A3691}"/>
            </c:ext>
          </c:extLst>
        </c:ser>
        <c:ser>
          <c:idx val="4"/>
          <c:order val="4"/>
          <c:tx>
            <c:strRef>
              <c:f>Διαγράμματα!$F$104</c:f>
              <c:strCache>
                <c:ptCount val="1"/>
                <c:pt idx="0">
                  <c:v>Νομικές Δεσμεύσεις</c:v>
                </c:pt>
              </c:strCache>
            </c:strRef>
          </c:tx>
          <c:spPr>
            <a:solidFill>
              <a:srgbClr val="44A9C4"/>
            </a:solidFill>
            <a:ln>
              <a:solidFill>
                <a:schemeClr val="bg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Διαγράμματα!$A$105:$A$107</c:f>
              <c:strCache>
                <c:ptCount val="3"/>
                <c:pt idx="0">
                  <c:v>Θεματικός Άξονας I</c:v>
                </c:pt>
                <c:pt idx="1">
                  <c:v>Θεματικός Άξονας II</c:v>
                </c:pt>
                <c:pt idx="2">
                  <c:v>Θεματικός Άξονας III</c:v>
                </c:pt>
              </c:strCache>
            </c:strRef>
          </c:cat>
          <c:val>
            <c:numRef>
              <c:f>Διαγράμματα!$F$105:$F$107</c:f>
              <c:numCache>
                <c:formatCode>0.0</c:formatCode>
                <c:ptCount val="3"/>
                <c:pt idx="0">
                  <c:v>63.546032049999994</c:v>
                </c:pt>
                <c:pt idx="1">
                  <c:v>56.140636360000009</c:v>
                </c:pt>
                <c:pt idx="2">
                  <c:v>61.00337811</c:v>
                </c:pt>
              </c:numCache>
            </c:numRef>
          </c:val>
          <c:extLst xmlns:c16r2="http://schemas.microsoft.com/office/drawing/2015/06/chart">
            <c:ext xmlns:c16="http://schemas.microsoft.com/office/drawing/2014/chart" uri="{C3380CC4-5D6E-409C-BE32-E72D297353CC}">
              <c16:uniqueId val="{00000004-73A1-422F-963D-80CC806A3691}"/>
            </c:ext>
          </c:extLst>
        </c:ser>
        <c:ser>
          <c:idx val="5"/>
          <c:order val="5"/>
          <c:tx>
            <c:strRef>
              <c:f>Διαγράμματα!$G$104</c:f>
              <c:strCache>
                <c:ptCount val="1"/>
                <c:pt idx="0">
                  <c:v>Πιστοποιημένες Δαπάνες</c:v>
                </c:pt>
              </c:strCache>
            </c:strRef>
          </c:tx>
          <c:spPr>
            <a:solidFill>
              <a:srgbClr val="FF0000"/>
            </a:solidFill>
            <a:ln>
              <a:solidFill>
                <a:schemeClr val="bg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Διαγράμματα!$A$105:$A$107</c:f>
              <c:strCache>
                <c:ptCount val="3"/>
                <c:pt idx="0">
                  <c:v>Θεματικός Άξονας I</c:v>
                </c:pt>
                <c:pt idx="1">
                  <c:v>Θεματικός Άξονας II</c:v>
                </c:pt>
                <c:pt idx="2">
                  <c:v>Θεματικός Άξονας III</c:v>
                </c:pt>
              </c:strCache>
            </c:strRef>
          </c:cat>
          <c:val>
            <c:numRef>
              <c:f>Διαγράμματα!$G$105:$G$107</c:f>
              <c:numCache>
                <c:formatCode>0.0</c:formatCode>
                <c:ptCount val="3"/>
                <c:pt idx="0">
                  <c:v>6.4794869800000008</c:v>
                </c:pt>
                <c:pt idx="1">
                  <c:v>36.262678529999995</c:v>
                </c:pt>
                <c:pt idx="2">
                  <c:v>41.147157130000004</c:v>
                </c:pt>
              </c:numCache>
            </c:numRef>
          </c:val>
          <c:extLst xmlns:c16r2="http://schemas.microsoft.com/office/drawing/2015/06/chart">
            <c:ext xmlns:c16="http://schemas.microsoft.com/office/drawing/2014/chart" uri="{C3380CC4-5D6E-409C-BE32-E72D297353CC}">
              <c16:uniqueId val="{00000005-73A1-422F-963D-80CC806A3691}"/>
            </c:ext>
          </c:extLst>
        </c:ser>
        <c:dLbls>
          <c:dLblPos val="outEnd"/>
          <c:showLegendKey val="0"/>
          <c:showVal val="1"/>
          <c:showCatName val="0"/>
          <c:showSerName val="0"/>
          <c:showPercent val="0"/>
          <c:showBubbleSize val="0"/>
        </c:dLbls>
        <c:gapWidth val="100"/>
        <c:overlap val="-24"/>
        <c:axId val="581956000"/>
        <c:axId val="581957176"/>
      </c:barChart>
      <c:catAx>
        <c:axId val="5819560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l-GR"/>
          </a:p>
        </c:txPr>
        <c:crossAx val="581957176"/>
        <c:crosses val="autoZero"/>
        <c:auto val="1"/>
        <c:lblAlgn val="ctr"/>
        <c:lblOffset val="100"/>
        <c:noMultiLvlLbl val="0"/>
      </c:catAx>
      <c:valAx>
        <c:axId val="581957176"/>
        <c:scaling>
          <c:orientation val="minMax"/>
        </c:scaling>
        <c:delete val="1"/>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crossAx val="581956000"/>
        <c:crosses val="autoZero"/>
        <c:crossBetween val="between"/>
      </c:valAx>
      <c:spPr>
        <a:noFill/>
        <a:ln>
          <a:solidFill>
            <a:schemeClr val="bg1">
              <a:lumMod val="85000"/>
            </a:schemeClr>
          </a:solidFill>
        </a:ln>
        <a:effectLst/>
      </c:spPr>
    </c:plotArea>
    <c:legend>
      <c:legendPos val="b"/>
      <c:layout>
        <c:manualLayout>
          <c:xMode val="edge"/>
          <c:yMode val="edge"/>
          <c:x val="0.5073902890032902"/>
          <c:y val="6.3708537417074829E-2"/>
          <c:w val="0.47915547491513949"/>
          <c:h val="0.1370788641577283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l-G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255788313120176E-2"/>
          <c:y val="3.8148083925784636E-2"/>
          <c:w val="0.96471885336273433"/>
          <c:h val="0.84180799829927799"/>
        </c:manualLayout>
      </c:layout>
      <c:barChart>
        <c:barDir val="col"/>
        <c:grouping val="clustered"/>
        <c:varyColors val="0"/>
        <c:ser>
          <c:idx val="0"/>
          <c:order val="0"/>
          <c:tx>
            <c:strRef>
              <c:f>Διαγράμματα!$B$104</c:f>
              <c:strCache>
                <c:ptCount val="1"/>
                <c:pt idx="0">
                  <c:v>Προϋπολογισμός  (1η Αναθ.)</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solidFill>
                <a:schemeClr val="bg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Διαγράμματα!$A$108:$A$109</c:f>
              <c:strCache>
                <c:ptCount val="2"/>
                <c:pt idx="0">
                  <c:v>Θεματικός Άξονας IV</c:v>
                </c:pt>
                <c:pt idx="1">
                  <c:v>Θεματικός Άξονας V</c:v>
                </c:pt>
              </c:strCache>
            </c:strRef>
          </c:cat>
          <c:val>
            <c:numRef>
              <c:f>Διαγράμματα!$B$108:$B$109</c:f>
              <c:numCache>
                <c:formatCode>0.0</c:formatCode>
                <c:ptCount val="2"/>
                <c:pt idx="0">
                  <c:v>7.3935719999999998</c:v>
                </c:pt>
                <c:pt idx="1">
                  <c:v>4.1838259999999998</c:v>
                </c:pt>
              </c:numCache>
            </c:numRef>
          </c:val>
          <c:extLst xmlns:c16r2="http://schemas.microsoft.com/office/drawing/2015/06/chart">
            <c:ext xmlns:c16="http://schemas.microsoft.com/office/drawing/2014/chart" uri="{C3380CC4-5D6E-409C-BE32-E72D297353CC}">
              <c16:uniqueId val="{00000000-DBF4-427E-A359-94A97774A27F}"/>
            </c:ext>
          </c:extLst>
        </c:ser>
        <c:ser>
          <c:idx val="1"/>
          <c:order val="1"/>
          <c:tx>
            <c:strRef>
              <c:f>Διαγράμματα!$C$104</c:f>
              <c:strCache>
                <c:ptCount val="1"/>
                <c:pt idx="0">
                  <c:v>Εξειδίκευση</c:v>
                </c:pt>
              </c:strCache>
            </c:strRef>
          </c:tx>
          <c:spPr>
            <a:solidFill>
              <a:schemeClr val="accent6"/>
            </a:solidFill>
            <a:ln>
              <a:solidFill>
                <a:schemeClr val="bg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Διαγράμματα!$A$108:$A$109</c:f>
              <c:strCache>
                <c:ptCount val="2"/>
                <c:pt idx="0">
                  <c:v>Θεματικός Άξονας IV</c:v>
                </c:pt>
                <c:pt idx="1">
                  <c:v>Θεματικός Άξονας V</c:v>
                </c:pt>
              </c:strCache>
            </c:strRef>
          </c:cat>
          <c:val>
            <c:numRef>
              <c:f>Διαγράμματα!$C$108:$C$109</c:f>
              <c:numCache>
                <c:formatCode>0.0</c:formatCode>
                <c:ptCount val="2"/>
                <c:pt idx="0">
                  <c:v>3.9709291600000003</c:v>
                </c:pt>
                <c:pt idx="1">
                  <c:v>3.4778218399999998</c:v>
                </c:pt>
              </c:numCache>
            </c:numRef>
          </c:val>
          <c:extLst xmlns:c16r2="http://schemas.microsoft.com/office/drawing/2015/06/chart">
            <c:ext xmlns:c16="http://schemas.microsoft.com/office/drawing/2014/chart" uri="{C3380CC4-5D6E-409C-BE32-E72D297353CC}">
              <c16:uniqueId val="{00000001-DBF4-427E-A359-94A97774A27F}"/>
            </c:ext>
          </c:extLst>
        </c:ser>
        <c:ser>
          <c:idx val="2"/>
          <c:order val="2"/>
          <c:tx>
            <c:strRef>
              <c:f>Διαγράμματα!$D$104</c:f>
              <c:strCache>
                <c:ptCount val="1"/>
                <c:pt idx="0">
                  <c:v>Π/Υ Προσκλήσεων</c:v>
                </c:pt>
              </c:strCache>
            </c:strRef>
          </c:tx>
          <c:spPr>
            <a:solidFill>
              <a:schemeClr val="accent4">
                <a:lumMod val="60000"/>
                <a:lumOff val="40000"/>
              </a:schemeClr>
            </a:solidFill>
            <a:ln>
              <a:solidFill>
                <a:schemeClr val="bg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Διαγράμματα!$A$108:$A$109</c:f>
              <c:strCache>
                <c:ptCount val="2"/>
                <c:pt idx="0">
                  <c:v>Θεματικός Άξονας IV</c:v>
                </c:pt>
                <c:pt idx="1">
                  <c:v>Θεματικός Άξονας V</c:v>
                </c:pt>
              </c:strCache>
            </c:strRef>
          </c:cat>
          <c:val>
            <c:numRef>
              <c:f>Διαγράμματα!$D$108:$D$109</c:f>
              <c:numCache>
                <c:formatCode>0.0</c:formatCode>
                <c:ptCount val="2"/>
                <c:pt idx="0">
                  <c:v>2.5562589899999999</c:v>
                </c:pt>
                <c:pt idx="1">
                  <c:v>2.2375040100000003</c:v>
                </c:pt>
              </c:numCache>
            </c:numRef>
          </c:val>
          <c:extLst xmlns:c16r2="http://schemas.microsoft.com/office/drawing/2015/06/chart">
            <c:ext xmlns:c16="http://schemas.microsoft.com/office/drawing/2014/chart" uri="{C3380CC4-5D6E-409C-BE32-E72D297353CC}">
              <c16:uniqueId val="{00000002-DBF4-427E-A359-94A97774A27F}"/>
            </c:ext>
          </c:extLst>
        </c:ser>
        <c:ser>
          <c:idx val="3"/>
          <c:order val="3"/>
          <c:tx>
            <c:strRef>
              <c:f>Διαγράμματα!$E$104</c:f>
              <c:strCache>
                <c:ptCount val="1"/>
                <c:pt idx="0">
                  <c:v>Π/Υ Εντάξεων</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solidFill>
                <a:schemeClr val="bg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Διαγράμματα!$A$108:$A$109</c:f>
              <c:strCache>
                <c:ptCount val="2"/>
                <c:pt idx="0">
                  <c:v>Θεματικός Άξονας IV</c:v>
                </c:pt>
                <c:pt idx="1">
                  <c:v>Θεματικός Άξονας V</c:v>
                </c:pt>
              </c:strCache>
            </c:strRef>
          </c:cat>
          <c:val>
            <c:numRef>
              <c:f>Διαγράμματα!$E$108:$E$109</c:f>
              <c:numCache>
                <c:formatCode>0.0</c:formatCode>
                <c:ptCount val="2"/>
                <c:pt idx="0">
                  <c:v>1.5720701399999999</c:v>
                </c:pt>
                <c:pt idx="1">
                  <c:v>0.56583483000000012</c:v>
                </c:pt>
              </c:numCache>
            </c:numRef>
          </c:val>
          <c:extLst xmlns:c16r2="http://schemas.microsoft.com/office/drawing/2015/06/chart">
            <c:ext xmlns:c16="http://schemas.microsoft.com/office/drawing/2014/chart" uri="{C3380CC4-5D6E-409C-BE32-E72D297353CC}">
              <c16:uniqueId val="{00000003-DBF4-427E-A359-94A97774A27F}"/>
            </c:ext>
          </c:extLst>
        </c:ser>
        <c:ser>
          <c:idx val="4"/>
          <c:order val="4"/>
          <c:tx>
            <c:strRef>
              <c:f>Διαγράμματα!$F$104</c:f>
              <c:strCache>
                <c:ptCount val="1"/>
                <c:pt idx="0">
                  <c:v>Νομικές Δεσμεύσεις</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solidFill>
                <a:schemeClr val="bg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Διαγράμματα!$A$108:$A$109</c:f>
              <c:strCache>
                <c:ptCount val="2"/>
                <c:pt idx="0">
                  <c:v>Θεματικός Άξονας IV</c:v>
                </c:pt>
                <c:pt idx="1">
                  <c:v>Θεματικός Άξονας V</c:v>
                </c:pt>
              </c:strCache>
            </c:strRef>
          </c:cat>
          <c:val>
            <c:numRef>
              <c:f>Διαγράμματα!$F$108:$F$109</c:f>
              <c:numCache>
                <c:formatCode>0.0</c:formatCode>
                <c:ptCount val="2"/>
                <c:pt idx="0">
                  <c:v>1.01733297</c:v>
                </c:pt>
                <c:pt idx="1">
                  <c:v>0.14050022999999998</c:v>
                </c:pt>
              </c:numCache>
            </c:numRef>
          </c:val>
          <c:extLst xmlns:c16r2="http://schemas.microsoft.com/office/drawing/2015/06/chart">
            <c:ext xmlns:c16="http://schemas.microsoft.com/office/drawing/2014/chart" uri="{C3380CC4-5D6E-409C-BE32-E72D297353CC}">
              <c16:uniqueId val="{00000004-DBF4-427E-A359-94A97774A27F}"/>
            </c:ext>
          </c:extLst>
        </c:ser>
        <c:ser>
          <c:idx val="5"/>
          <c:order val="5"/>
          <c:tx>
            <c:strRef>
              <c:f>Διαγράμματα!$G$104</c:f>
              <c:strCache>
                <c:ptCount val="1"/>
                <c:pt idx="0">
                  <c:v>Πιστοποιημένες Δαπάνες</c:v>
                </c:pt>
              </c:strCache>
            </c:strRef>
          </c:tx>
          <c:spPr>
            <a:solidFill>
              <a:srgbClr val="FF0000"/>
            </a:solidFill>
            <a:ln>
              <a:solidFill>
                <a:schemeClr val="bg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Διαγράμματα!$A$108:$A$109</c:f>
              <c:strCache>
                <c:ptCount val="2"/>
                <c:pt idx="0">
                  <c:v>Θεματικός Άξονας IV</c:v>
                </c:pt>
                <c:pt idx="1">
                  <c:v>Θεματικός Άξονας V</c:v>
                </c:pt>
              </c:strCache>
            </c:strRef>
          </c:cat>
          <c:val>
            <c:numRef>
              <c:f>Διαγράμματα!$G$108:$G$109</c:f>
              <c:numCache>
                <c:formatCode>0.0</c:formatCode>
                <c:ptCount val="2"/>
                <c:pt idx="0">
                  <c:v>0.47322435000000002</c:v>
                </c:pt>
                <c:pt idx="1">
                  <c:v>0</c:v>
                </c:pt>
              </c:numCache>
            </c:numRef>
          </c:val>
          <c:extLst xmlns:c16r2="http://schemas.microsoft.com/office/drawing/2015/06/chart">
            <c:ext xmlns:c16="http://schemas.microsoft.com/office/drawing/2014/chart" uri="{C3380CC4-5D6E-409C-BE32-E72D297353CC}">
              <c16:uniqueId val="{00000005-DBF4-427E-A359-94A97774A27F}"/>
            </c:ext>
          </c:extLst>
        </c:ser>
        <c:dLbls>
          <c:dLblPos val="outEnd"/>
          <c:showLegendKey val="0"/>
          <c:showVal val="1"/>
          <c:showCatName val="0"/>
          <c:showSerName val="0"/>
          <c:showPercent val="0"/>
          <c:showBubbleSize val="0"/>
        </c:dLbls>
        <c:gapWidth val="90"/>
        <c:overlap val="-36"/>
        <c:axId val="577473272"/>
        <c:axId val="577474448"/>
      </c:barChart>
      <c:catAx>
        <c:axId val="5774732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l-GR"/>
          </a:p>
        </c:txPr>
        <c:crossAx val="577474448"/>
        <c:crosses val="autoZero"/>
        <c:auto val="1"/>
        <c:lblAlgn val="ctr"/>
        <c:lblOffset val="100"/>
        <c:noMultiLvlLbl val="0"/>
      </c:catAx>
      <c:valAx>
        <c:axId val="577474448"/>
        <c:scaling>
          <c:orientation val="minMax"/>
        </c:scaling>
        <c:delete val="1"/>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crossAx val="577473272"/>
        <c:crosses val="autoZero"/>
        <c:crossBetween val="between"/>
      </c:valAx>
      <c:spPr>
        <a:noFill/>
        <a:ln>
          <a:solidFill>
            <a:schemeClr val="bg1">
              <a:lumMod val="85000"/>
            </a:schemeClr>
          </a:solidFill>
        </a:ln>
        <a:effectLst/>
      </c:spPr>
    </c:plotArea>
    <c:legend>
      <c:legendPos val="b"/>
      <c:layout>
        <c:manualLayout>
          <c:xMode val="edge"/>
          <c:yMode val="edge"/>
          <c:x val="0.51978522254729187"/>
          <c:y val="4.8898088363195986E-2"/>
          <c:w val="0.47862122251256628"/>
          <c:h val="0.1804491385692173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verPageProperties xmlns="http://schemas.microsoft.com/office/2006/coverPageProps">
  <PublishDate/>
  <Abstract>ΜΕΛΕΤΗ ΓΙΑ ΤΗΝ ΕΚΤΙΜΗΣΗ ΤΟΥ ΕΥΛΟΓΟΥ ΕΥΡΟΥΣ ΜΟΝΑΔΙΑΙΟΥ ΚΟΣΤΟΥΣ ΤΩΝ ΒΑΣΙΚΩΝ ΚΑΤΗΓΟΡΙΩΝ ΔΑΠΑΝΩΝ ΤΩΝ ΕΡΓΩΝ ΠΟΥ ΑΦΟΡΟΥΝ ΣΤΙΣ ΔΡΑΣΕΙΣ  1.1.1. ΚΑΙ 1.1.2 ΤΟΥ ΜΕΤΡΟΥ Μ01 “ΔΡΑΣΕΙΣ ΜΕΤΑΔΟΣΗΣ ΓΝΩΣΕΩΝ ΚΑΙ ΕΝΗΜΕΡΩΣΗΣ” ΤΟΥ ΠΑΑ 2014-2020</Abstract>
  <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30A942-3C84-4931-BFB6-E23B795E9E53}"/>
</file>

<file path=customXml/itemProps2.xml><?xml version="1.0" encoding="utf-8"?>
<ds:datastoreItem xmlns:ds="http://schemas.openxmlformats.org/officeDocument/2006/customXml" ds:itemID="{0C172CC7-2D52-44EC-B7D6-8CCFB5593059}"/>
</file>

<file path=customXml/itemProps3.xml><?xml version="1.0" encoding="utf-8"?>
<ds:datastoreItem xmlns:ds="http://schemas.openxmlformats.org/officeDocument/2006/customXml" ds:itemID="{9F889413-D0C5-4A6F-B1DC-ADC5A29DD2B8}"/>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F5734AEA-8C54-4853-8CA6-1BBE6EA5D902}"/>
</file>

<file path=docProps/app.xml><?xml version="1.0" encoding="utf-8"?>
<Properties xmlns="http://schemas.openxmlformats.org/officeDocument/2006/extended-properties" xmlns:vt="http://schemas.openxmlformats.org/officeDocument/2006/docPropsVTypes">
  <Template>Normal.dotm</Template>
  <TotalTime>33</TotalTime>
  <Pages>66</Pages>
  <Words>23458</Words>
  <Characters>126677</Characters>
  <Application>Microsoft Office Word</Application>
  <DocSecurity>0</DocSecurity>
  <Lines>1055</Lines>
  <Paragraphs>299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ΠΑΡΑΔΟΤΕΟ 2</vt:lpstr>
      <vt:lpstr>ΠΡΟΓΡΑΜΜΑ ΑΓΡΟΤΙΚΗΣ ΑΝΑΠΤΥΞΗΣ (ΠΑΑ) 2014-20</vt:lpstr>
    </vt:vector>
  </TitlesOfParts>
  <Company/>
  <LinksUpToDate>false</LinksUpToDate>
  <CharactersWithSpaces>149836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ΠΑΡΑΔΟΤΕΟ 2</dc:title>
  <dc:subject/>
  <dc:creator>akaretsou@remaco.gr</dc:creator>
  <cp:keywords/>
  <dc:description/>
  <cp:lastModifiedBy>Αγγελική Καρέτσου</cp:lastModifiedBy>
  <cp:revision>5</cp:revision>
  <cp:lastPrinted>2018-07-19T07:19:00Z</cp:lastPrinted>
  <dcterms:created xsi:type="dcterms:W3CDTF">2018-07-03T07:10:00Z</dcterms:created>
  <dcterms:modified xsi:type="dcterms:W3CDTF">2018-07-19T07:38:00Z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